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State-Dependent or Time-Dependent? Release Timing and Software Degradation in the Open-Source AI Ecosystem</w:t>
      </w:r>
    </w:p>
    <w:p>
      <w:pPr>
        <w:pStyle w:val="Heading2"/>
      </w:pPr>
      <w:r>
        <w:t xml:space="preserve">Abstract</w:t>
      </w:r>
    </w:p>
    <w:p>
      <w:pPr>
        <w:pStyle w:val="FirstParagraph"/>
      </w:pPr>
      <w:r>
        <w:t xml:space="preserve">Organizations increasingly deploy systems built on large language models and are expected to refresh them as the world drifts away from their training data, yet little is known about what triggers a refresh. Borrowing the distinction between state-dependent and time-dependent adjustment from the economics of price setting, we derive from a Poisson model of accumulating errors what each kind of refresh rule implies, and we test those implications on weekly issue, release, pull-request, and commit histories for 19 widely used open-source repositories (3,432 repository-weeks; 2,456 releases). Bug reports do not rise with the time since the last release once issue volume is controlled, release probabilities show no significant response to surges in bug reports, and they show no detectable response to 38 upstream model launches. The release hazard instead tends to rise with the stock of merged changes since the last regular release, although the data cannot cleanly separate that stock from calendar time (median within-repository correlation 0.74). Releases therefore appear to follow accumulating work and not accumulating errors. The finding bears on how monitoring of AI systems should be designed, because release frequency signals development activity and not responsiveness to degradation.</w:t>
      </w:r>
    </w:p>
    <w:p>
      <w:pPr>
        <w:pStyle w:val="BodyText"/>
      </w:pPr>
      <w:r>
        <w:rPr>
          <w:b/>
          <w:bCs/>
        </w:rPr>
        <w:t xml:space="preserve">Keywords:</w:t>
      </w:r>
      <w:r>
        <w:t xml:space="preserve"> open-source software; artificial intelligence; software maintenance; state-dependent adjustment; time-dependent adjustment; hazard models</w:t>
      </w:r>
    </w:p>
    <w:p>
      <w:pPr>
        <w:pStyle w:val="Heading2"/>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w:t>
      </w:r>
      <w:r>
        <w:t xml:space="preserve">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
          <w:bCs/>
        </w:rPr>
        <w:t xml:space="preserve">RQ4.</w:t>
      </w:r>
      <w:r>
        <w:t xml:space="preserve"> </w:t>
      </w:r>
      <w:r>
        <w:t xml:space="preserve">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no. Once total issue volume is controlled, bug reports do not rise with the age of a release, and the pooled estimate is precise enough to rule out a 1 percent weekly increase. The answer to RQ3 is also no, with a qualification: releases show no significant response to surges in bug reports and no detectable response to 38 upstream model launches, although release notes often mention a new model after its launch, which suggests that the content of releases responds while their timing does not. The answer to RQ2 is that the age profile of the release hazard is not what a response to errors would produce. Only one repository (vLLM) has a hazard that rises significantly with age, the pooled slope is not distinguishable from zero, and the raw hazard is highest in the week after a release, when hot-fixes are issued. 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accumulating work, not by accumulating errors and not clearly by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four contributions. First, it brings the distinction between state-dependent and time-dependent adjustment to the maintenance of AI software and derives, from a simple Poisson model of accumulating errors, what each class of rule implies for observable data (Section 3). Second, it connects that distinction to the information systems literature on maintenance, which describes what maintenance consists of and what drives its cost but has not tested whether the timing of maintenance responds to measured deterioration (Section 2.2). Third, it provides evidence from 19 repositories that releases do not follow accumulating errors, that they show no significant response to bug surges or detectable response to upstream launches, and that they tend to follow accumulating work (Section 5). Fourth, it draws out implications for the design of monitoring and governance of deployed AI. Release cadence is not evidence that degradation is being managed, and detecting degradation requires data that public repositories do not contain (Section 6). A replication package accompanies the paper.</w:t>
      </w:r>
    </w:p>
    <w:p>
      <w:pPr>
        <w:pStyle w:val="BodyText"/>
      </w:pPr>
      <w:r>
        <w:t xml:space="preserve">We should say at the outset what the study does not show. The repositories are tools and not model-retraining pipelines, so a release is a proxy for a refresh, and the results do not speak directly to how commercial operators maintain hosted models. Section 6.3 discusses how this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same properties hold in a discounted dynamic version of the model with unobserved payoff shocks (Rust 1987), where the monotonicity of the refresh probability can be proved.</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t>
      </w:r>
      <w:r>
        <w:t xml:space="preserve">Within a repository, the probability of a release rises after a signal of degradation: a recent surge in bug reports (controlling for total issue volume and the age of the release) or the launch of an upstream model to which the repository is exposed. Under state dependence in errors or in the environment, maintainers respond to the signal; under time dependence they do not.</w:t>
      </w:r>
    </w:p>
    <w:p>
      <w:pPr>
        <w:pStyle w:val="BodyText"/>
      </w:pPr>
      <w:r>
        <w:rPr>
          <w:b/>
          <w:bCs/>
        </w:rPr>
        <w:t xml:space="preserve">H5 (work-driven state).</w:t>
      </w:r>
      <w:r>
        <w:t xml:space="preserve"> </w:t>
      </w:r>
      <w:r>
        <w:t xml:space="preserve">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so we do not report an estimate of it.</w:t>
      </w:r>
    </w:p>
    <w:p>
      <w:pPr>
        <w:pStyle w:val="Heading3"/>
      </w:pPr>
      <w:r>
        <w:t xml:space="preserve">3.5 Simulation benchmark</w:t>
      </w:r>
    </w:p>
    <w:p>
      <w:pPr>
        <w:pStyle w:val="FirstParagraph"/>
      </w:pPr>
      <w:r>
        <w:t xml:space="preserve">To check that the tests would detect the state-dependent signatures if they were present, we simulated the dynamic version of the model (Appendix A) with </w:t>
      </w:r>
      <w:r>
        <w:rPr>
          <w:i/>
          <w:iCs/>
        </w:rPr>
        <w:t xml:space="preserve">γ</w:t>
      </w:r>
      <w:r>
        <w:t xml:space="preserve">=0.5, </w:t>
      </w:r>
      <w:r>
        <w:rPr>
          <w:i/>
          <w:iCs/>
        </w:rPr>
        <w:t xml:space="preserve">RC</w:t>
      </w:r>
      <w:r>
        <w:t xml:space="preserve">=40, </w:t>
      </w:r>
      <w:r>
        <w:rPr>
          <w:i/>
          <w:iCs/>
        </w:rPr>
        <w:t xml:space="preserve">λ₀</w:t>
      </w:r>
      <w:r>
        <w:t xml:space="preserve">=5, Poisson(1) drift increments, and a discount factor of 0.95. The optimal policy refreshes at a drift of 14, where the expected error rate is 12.0, or 2.4 times the baseline. Across 100 replications of 3,000 weeks, </w:t>
      </w:r>
      <w:r>
        <w:rPr>
          <w:i/>
          <w:iCs/>
        </w:rPr>
        <w:t xml:space="preserve">γ</w:t>
      </w:r>
      <w:r>
        <w:t xml:space="preserve"> was recovered with a mean of 0.499 (SD 0.011), so the central parameter of (1) is well identified whenever errors and drift are observed. The refresh cost is harder to recover. A two-step estimator gave </w:t>
      </w:r>
      <w:r>
        <w:rPr>
          <w:i/>
          <w:iCs/>
        </w:rPr>
        <w:t xml:space="preserve">RC</w:t>
      </w:r>
      <w:r>
        <w:t xml:space="preserve"> with a mean of 39.9 (SD 1.0), and estimating </w:t>
      </w:r>
      <w:r>
        <w:rPr>
          <w:i/>
          <w:iCs/>
        </w:rPr>
        <w:t xml:space="preserve">γ</w:t>
      </w:r>
      <w:r>
        <w:t xml:space="preserve"> and </w:t>
      </w:r>
      <w:r>
        <w:rPr>
          <w:i/>
          <w:iCs/>
        </w:rPr>
        <w:t xml:space="preserve">RC</w:t>
      </w:r>
      <w:r>
        <w:t xml:space="preserve"> jointly from choice data alone gave a mean of 40.1 (SD 3.0). Precision falls with sample length: the SD of the estimated </w:t>
      </w:r>
      <w:r>
        <w:rPr>
          <w:i/>
          <w:iCs/>
        </w:rPr>
        <w:t xml:space="preserve">RC</w:t>
      </w:r>
      <w:r>
        <w:t xml:space="preserve"> is 6.7 at 100 weeks, 4.8 at 250 weeks, 2.8 at 500 weeks, and 2.1 at 1,000 weeks. The repositories we study have between 143 and 197 weekly observations, so a cost estimate would be imprecise even under ideal conditions. This is a further reason to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 This is a convenience sample of prominent projects and not a random sample of the ecosystem, and nearly all of them are software and tooling and not model-retraining pipelines.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FirstParagraph"/>
      </w:pPr>
      <w:r>
        <w:rPr>
          <w:b/>
          <w:bCs/>
        </w:rPr>
        <w:t xml:space="preserve">Accumulated work and upstream launches.</w:t>
      </w:r>
      <w:r>
        <w:t xml:space="preserve"> </w:t>
      </w:r>
      <w:r>
        <w:t xml:space="preserve">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(0.083)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0.010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(0.205)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(0.021)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(0.102)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(0.020)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0.017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(0.078)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−0.045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(0.117)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0.006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(1.627)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−0.019 (0.047)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(0.275)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−0.151 (0.064)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0.018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(0.176)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0.014 (0.033)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(1.615)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(0.028)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(0.110)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(0.010)</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(0.210)</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For each repository we fit a Poisson regression of weekly bug counts on the weeks since release, with an offset equal to the log of total weekly issues and a linear time trend. This is the empirical counterpart of (2): the sign of the coefficient on age is the sign of </w:t>
      </w:r>
      <w:r>
        <w:rPr>
          <w:i/>
          <w:iCs/>
        </w:rPr>
        <w:t xml:space="preserve">γ</w:t>
      </w:r>
      <w:r>
        <w:t xml:space="preserve">. We use a log link and treat the regression as Poisson quasi-maximum likelihood, which estimates the coefficients consistently as long as the conditional mean is correctly specified, even when the counts are overdispersed (Gourieroux et al. 1984). </w:t>
      </w:r>
      <w:r>
        <w:t xml:space="preserve">Pearson dispersion statistics (the Pearson chi-square divided by the residual degrees of freedom) are close to one in most repositories (median 0.94, range 0.48 to 1.94) and exceed 1.5 only in Transformers, autogen, semantic-kernel, Ollama, and vLLM. As a robustness check we also fit negative binomial models with the same offset and trend; the pooled age slope from these models is −0.0013 (95% CI −0.0092 to 0.0067). This is almost the same as the cycle-bootstrap Poisson estimate reported in Section 5.1 (−0.0013; −0.0091 to 0.0066), which is expected when dispersion is close to one; the two were computed separately. Poisson quasi-maximum likelihood with repository-clustered robust standard errors gives −0.0022 (−0.0102 to 0.0057).</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t>
      </w:r>
      <w:r>
        <w:t xml:space="preserve">We use four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 (iv) We compare the observed patterns with the release policies stated in each repository’s contributing guide and release documents.</w:t>
      </w:r>
    </w:p>
    <w:p>
      <w:pPr>
        <w:pStyle w:val="BodyText"/>
      </w:pPr>
      <w:r>
        <w:rPr>
          <w:b/>
          <w:bCs/>
        </w:rPr>
        <w:t xml:space="preserve">Response to error signals (RQ3).</w:t>
      </w:r>
      <w:r>
        <w:t xml:space="preserve"> </w:t>
      </w:r>
      <w:r>
        <w:t xml:space="preserve">For each repository-week we regress an indicator for a release on the within-repository standardized logarithm of one plus the number of bug reports in the previous week (and, in a second specification, in each of the previous three weeks), controlling for the standardized logarithm of total issues in the previous week, the age of the release capped at eight weeks, a linear time trend, and repository fixed effects, with standard errors clustered by repository. We also estimate the coefficient repository by repository and pool the estimates with the random-effects model above, and we compare release probabilities after a bug spike (a weekly bug count more than 1.5 standard deviations above the repository mean) with those in other weeks, controlling for total issues and repository fixed effects. Because there are only 19 clusters, we also report p-values from a wild cluster bootstrap with Webb weights (Cameron, Gelbach, and Miller 2008). Under H4 the coefficients are positive.</w:t>
      </w:r>
    </w:p>
    <w:p>
      <w:pPr>
        <w:pStyle w:val="BodyText"/>
      </w:pPr>
      <w:r>
        <w:rPr>
          <w:b/>
          <w:bCs/>
        </w:rPr>
        <w:t xml:space="preserve">Upstream launches (RQ3).</w:t>
      </w:r>
      <w:r>
        <w:t xml:space="preserve"> </w:t>
      </w:r>
      <w:r>
        <w:t xml:space="preserve">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pPr>
      <w:r>
        <w:rPr>
          <w:b/>
          <w:bCs/>
        </w:rPr>
        <w:t xml:space="preserve">Accumulated work (RQ4).</w:t>
      </w:r>
      <w:r>
        <w:t xml:space="preserve"> </w:t>
      </w:r>
      <w:r>
        <w:t xml:space="preserve">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Heading2"/>
      </w:pPr>
      <w:r>
        <w:t xml:space="preserve">5 Results</w:t>
      </w:r>
    </w:p>
    <w:p>
      <w:pPr>
        <w:pStyle w:val="Heading3"/>
      </w:pPr>
      <w:r>
        <w:t xml:space="preserve">5.1 RQ1: Bug reports do not rise with the age of a release</w:t>
      </w:r>
    </w:p>
    <w:p>
      <w:pPr>
        <w:pStyle w:val="FirstParagraph"/>
      </w:pPr>
      <w:r>
        <w:t xml:space="preserve">Pooling the 19 repository-level slopes with a random-effects model, the log-rate slope of bug reports on weeks since release is −0.0013 per week (95% CI −0.009 to 0.007), with no detectable heterogeneity across repositories (</w:t>
      </w:r>
      <w:r>
        <w:rPr>
          <w:i/>
          <w:iCs/>
        </w:rPr>
        <w:t xml:space="preserve">τ²</w:t>
      </w:r>
      <w:r>
        <w:t xml:space="preserve"> = 0). The estimate is precise enough to rule out, for instance, a 1 percent weekly increase in the bug rate. Eight of the 19 repository-level slopes are positive and 11 are negative. None is significantly positive at the 5 percent level and one (semantic-kernel) is significantly negative, about what chance alone would produce among 19 tests. Negative binomial estimates give a pooled slope of −0.0013 (95% CI −0.0092 to 0.0067), nearly identical to the Poisson estimate because dispersion is close to one in most repositories, so the result does not depend on the Poisson variance assumption. H1 is not supported.</w:t>
      </w:r>
    </w:p>
    <w:p>
      <w:pPr>
        <w:pStyle w:val="BodyText"/>
      </w:pPr>
      <w:r>
        <w:t xml:space="preserve">Raw bug counts do fall with age. Without the offset for total issue volume the pooled slope is −0.032 (95% CI −0.054 to −0.010), and in Transformers, bug counts fell from 22.1 per week in the first week after a release to 11.5 after five weeks. Once we account for the total number of issues filed, however, the decline disappears. The early surge appears to be a general burst of issue-filing right after a release, driven by attention, announcements, and defects together, and not a change in the share of reports that concern bugs. In the terms of Section 3, there is no evidence of an accumulating error state in these data.</w:t>
      </w:r>
    </w:p>
    <w:p>
      <w:pPr>
        <w:pStyle w:val="Heading3"/>
      </w:pPr>
      <w:r>
        <w:t xml:space="preserve">5.2 RQ2: The release hazard does not rise with age</w:t>
      </w:r>
    </w:p>
    <w:p>
      <w:pPr>
        <w:pStyle w:val="FirstParagraph"/>
      </w:pPr>
      <w:r>
        <w:t xml:space="preserve">The pooled release-hazard logit slope is −0.091 per week of age (95% CI −0.213 to 0.032; </w:t>
      </w:r>
      <w:r>
        <w:rPr>
          <w:i/>
          <w:iCs/>
        </w:rPr>
        <w:t xml:space="preserve">τ²</w:t>
      </w:r>
      <w:r>
        <w:t xml:space="preserve"> = 0.050), which is not distinguishable from zero. Eight of the 19 repository-level slopes are positive. One, for vLLM, is significantly positive at the 5 percent level (a ratio of slope to standard error of about 2.3),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Five repositories have a significantly negative slope, and three of them (anthropic-sdk-python, openai-python, and llama_index) are among the seven repositories with a median release cycle of one week, which also publish hot-fixes soon after a release. Excluding the seven weekly releasers gives a pooled slope of 0.038 (95% CI −0.084 to 0.159),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w:t>
      </w:r>
      <w:r>
        <w:t xml:space="preserve">Of the 2,659 releases in the collected histories (2,456 of them within the weekly panels; the others precede the first panel week), 45 percent are classified as hot-fixes, from none in lm-evaluation-harness and FastChat to about three quarters in Ollama and llama_index. The hot-fix hazard is concentrated in the first week after a release: 40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58 percent of the 2,659 releases raise only the patch component of the previous version, and 77 percent of those appear within seven days of the previous release (median three days).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(18 repositories; FastChat has too few regular releases) pool to 0.096 (95% CI −0.006 to 0.198; </w:t>
      </w:r>
      <w:r>
        <w:rPr>
          <w:i/>
          <w:iCs/>
        </w:rPr>
        <w:t xml:space="preserve">τ²</w:t>
      </w:r>
      <w:r>
        <w:t xml:space="preserve"> = 0.030). Five are significantly positive (diffusers, peft, Transformers, Ollama, and vLLM) and one is significantly negative. In the pooled data, by contrast, the share of repository-weeks with a regular release falls from 0.37 at two weeks to 0.26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w:t>
      </w:r>
      <w:r>
        <w:t xml:space="preserve">In the pooled logit with a repository-level random intercept, the slope on age is −0.117 per week for all releases (standard error 0.027; standard deviation of the intercept 1.10). It is −0.045 (0.018) when the seven weekly releasers are excluded and −0.099 (0.017) when only ages of two weeks or more are used. For regular releases measured from the last regular release the slope is 0.017 (0.015), and 0.059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w:t>
      </w:r>
      <w:r>
        <w:t xml:space="preserve">The coefficient of variation of the intervals between releases of any kind has a median of 1.05 across the 19 repositories, and 11 of them exceed one, which indicates bursts and gaps. For regular releases only, the median is 0.77 (range 0.33 to 1.72)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the error rate is flat.</w:t>
      </w:r>
    </w:p>
    <w:p>
      <w:pPr>
        <w:pStyle w:val="BodyText"/>
      </w:pPr>
      <w:r>
        <w:rPr>
          <w:b/>
          <w:bCs/>
        </w:rPr>
        <w:t xml:space="preserve">Documented release policies.</w:t>
      </w:r>
      <w:r>
        <w:t xml:space="preserve"> </w:t>
      </w:r>
      <w:r>
        <w:t xml:space="preserve">None of the contributing guides or release documents we collected states a release calendar. Those of anthropic-sdk-python and openai-python describe an automated release pull-request pipeline that publishes to PyPI, which fits their weekly cadence and frequent hot-fixes. autogen and TRL document manual, maintainer-triggered procedures (a version-bump pull request followed by a tag in autogen; a release branch and a separate branch for patch releases in TRL) without a cadence. The remaining repositories document contribution rules but not how releases are made. Documented policy therefore gives little independent evidence on cadence, and we rely on the release histories.</w:t>
      </w:r>
    </w:p>
    <w:p>
      <w:pPr>
        <w:pStyle w:val="BodyText"/>
      </w:pPr>
      <w:r>
        <w:t xml:space="preserve">Taken together with Section 5.1, the evidence favors the second explanation in Section 3.3: there is no accumulating error state in these data to which a state-dependent rule could have responded, and release timing follows accumulated work, and perhaps the calendar, but not errors (Sections 5.3 to 5.5). We cannot exclude that maintainers would also be inattentive if such a state existed.</w:t>
      </w:r>
    </w:p>
    <w:p>
      <w:pPr>
        <w:pStyle w:val="Heading3"/>
      </w:pPr>
      <w:r>
        <w:t xml:space="preserve">5.3 RQ3: Releases show no significant response to recent bug surges</w:t>
      </w:r>
    </w:p>
    <w:p>
      <w:pPr>
        <w:pStyle w:val="FirstParagraph"/>
      </w:pPr>
      <w:r>
        <w:t xml:space="preserve">We find no significant response of the release probability to the error signal that a maintainer can observe, although the estimates are positive and the data cannot rule out a modest response. For each standard deviation of the previous week’s bug count, the log-odds of a release in a given week rise by 0.147 (clustered standard error 0.122; p = 0.23), controlling for total issues, age, a time trend, and repository fixed effects. With three lags, the coefficients are 0.088, 0.068, and 0.074 (standard errors 0.109, 0.072, and 0.059), and none is significant; the average of the three lags gives 0.226 (0.132; p = 0.09), the largest of the estimates. With only 19 clusters, we also report p-values from a wild cluster bootstrap with Webb weights (9,999 draws; Cameron, Gelbach, and Miller 2008): 0.28 for the one-week lag, 0.15 for the three-week average, and 0.45 for the one-week lag when two further lags are included. The share of issues that are bug reports has a coefficient of 0.021 (0.083), and restricting the sample to weeks beyond the first week after a release gives 0.095 (0.141). Repository by repository, the pooled coefficient is −0.048 (95% CI −0.248 to 0.151); eight of the 19 estimates are positive, one (autogen) is significantly positive, and one (openai-python) is significantly negative.</w:t>
      </w:r>
    </w:p>
    <w:p>
      <w:pPr>
        <w:pStyle w:val="FirstParagraph"/>
      </w:pPr>
      <w:r>
        <w:t xml:space="preserve">The comparison around bug spikes gives the same answer. The release probability in the following week is 43 percent after a spike (175 spikes) and 40 percent in other weeks, and the difference is not significant after controls (log-odds −0.05; standard error 0.25). The coefficients at horizons of one to four weeks are −0.050, −0.140, −0.083, and 0.309, with standard errors of 0.251, 0.285, 0.189, and 0.230. Releases are instead associated with total issue volume: a standard deviation more issues in the previous week raises the log-odds of a release by 0.25 (0.11; p = 0.025; wild cluster bootstrap p = 0.010). This is what one would expect if maintainers respond to overall activity and attention and not to defects as such, although we do not test that interpretation. H4 is not supported by the bug-report signal. The test is more demanding than the age profile, because it asks whether the observable state moves releases, which state dependence requires.</w:t>
      </w:r>
    </w:p>
    <w:p>
      <w:pPr>
        <w:pStyle w:val="Heading3"/>
      </w:pPr>
      <w:r>
        <w:t xml:space="preserve">5.4 RQ3: No detectable release response to upstream model launches</w:t>
      </w:r>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FirstParagraph"/>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If most are correct, the pattern is consistent with the content of releases responding to a launch while their timing does not: support for a new model is shipped in releases that would probably have appeared anyway. H4 is not supported by the upstream signal either.</w:t>
      </w:r>
    </w:p>
    <w:p>
      <w:pPr>
        <w:pStyle w:val="Heading3"/>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w:t>
      </w:r>
      <w:r>
        <w:rPr>
          <w:i/>
          <w:iCs/>
        </w:rPr>
        <w:t xml:space="preserve">τ²</w:t>
      </w:r>
      <w:r>
        <w:t xml:space="preserve"> = 0.020), and on work age alone it is 0.223 (0.132 to 0.314; </w:t>
      </w:r>
      <w:r>
        <w:rPr>
          <w:i/>
          <w:iCs/>
        </w:rPr>
        <w:t xml:space="preserve">τ²</w:t>
      </w:r>
      <w:r>
        <w:t xml:space="preserve"> = 0.017). When both are included, work age has a pooled coefficient of 0.182 (0.029 to 0.335; </w:t>
      </w:r>
      <w:r>
        <w:rPr>
          <w:i/>
          <w:iCs/>
        </w:rPr>
        <w:t xml:space="preserve">τ²</w:t>
      </w:r>
      <w:r>
        <w:t xml:space="preserve"> = 0.040) and calendar age has 0.065 (−0.089 to 0.219; </w:t>
      </w:r>
      <w:r>
        <w:rPr>
          <w:i/>
          <w:iCs/>
        </w:rPr>
        <w:t xml:space="preserve">τ²</w:t>
      </w:r>
      <w:r>
        <w:t xml:space="preserve">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w:t>
      </w:r>
    </w:p>
    <w:p>
      <w:pPr>
        <w:pStyle w:val="FirstParagraph"/>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p>
      <w:pPr>
        <w:pStyle w:val="Heading2"/>
      </w:pPr>
      <w:r>
        <w:t xml:space="preserve">6 Discussion</w:t>
      </w:r>
    </w:p>
    <w:p>
      <w:pPr>
        <w:pStyle w:val="Heading3"/>
      </w:pPr>
      <w:r>
        <w:t xml:space="preserve">6.1 Interpretation</w:t>
      </w:r>
    </w:p>
    <w:p>
      <w:pPr>
        <w:pStyle w:val="FirstParagraph"/>
      </w:pPr>
      <w:r>
        <w:t xml:space="preserve">Releases in these repositories do not follow the error state. Bug reports do not accumulate with the age of a release, releases show no significant response to surges in bug reports or to upstream model launches, and the release hazard tends to rise with the stock of merged changes. The repositories therefore resemble firms whose adjustment depends on an accumulating state, as in Sheshinski and Weiss (1977), but the state is accumulated work and not accumulated errors. A calendar cadence, as in Taylor (1980), cannot be excluded, because work and calendar time are correlated. Because bug reports do not build up either, these data cannot distinguish a maintainer who ignores an accumulating error state from one who has none to respond to. Both readings carry the same practical message. In this ecosystem, release timing is not a mechanism through which degradation, if it occurs, would be corrected.</w:t>
      </w:r>
    </w:p>
    <w:p>
      <w:pPr>
        <w:pStyle w:val="Heading3"/>
      </w:pPr>
      <w:r>
        <w:t xml:space="preserve">6.2 Implications for policy and practice</w:t>
      </w:r>
    </w:p>
    <w:p>
      <w:pPr>
        <w:pStyle w:val="FirstParagraph"/>
      </w:pPr>
      <w:r>
        <w:rPr>
          <w:b/>
          <w:bCs/>
        </w:rPr>
        <w:t xml:space="preserve">Release cadence is not a signal of responsiveness.</w:t>
      </w:r>
      <w:r>
        <w:t xml:space="preserve"> A project that releases every week looks actively maintained, but if release timing follows accumulated work or the calendar, it need not respond to degradation. Buyers, auditors, and regulators that use update frequency as an indicator of maintenance quality should not read it as evidence that degradation is being corrected.</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accumulated work or a calendar. Where degradation is a concern, obligations framed in terms of measured error rates, rather than update schedules, are more likely to produce state-dependent responses. This inference is indirect, because our repositories are tools rather than deployed models.</w:t>
      </w:r>
    </w:p>
    <w:p>
      <w:pPr>
        <w:pStyle w:val="BodyText"/>
      </w:pPr>
      <w:r>
        <w:rPr>
          <w:b/>
          <w:bCs/>
        </w:rPr>
        <w:t xml:space="preserve">Maintenance as feedback.</w:t>
      </w:r>
      <w:r>
        <w:t xml:space="preserve"> </w:t>
      </w:r>
      <w:r>
        <w:t xml:space="preserve">For research on information systems, the results suggest that the maintenance of AI-enabled systems cannot be assumed to be a feedback process. Treating release activity as a measure of how well a system is monitored and maintained would misread development activity as a control loop. Organizations that depend on third-party AI components should therefore ask whether maintainers respond to measured performance, not how often they release.</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standardized error reporting, and research access to operators’ error logs and refresh histories are examples. Public repositories do not contain the data needed to test for degradation directly.</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t>
      </w:r>
      <w:r>
        <w:t xml:space="preserve">We did not validate the classification against a manually labeled sample, so misclassification remains a limitation.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Several repository-level intervals are wide, and the absence of a significant result is not evidence of absence. We therefore say that the evidence does not support the hypotheses, give interval estimates, and avoid claiming that the effects are zero.</w:t>
      </w:r>
    </w:p>
    <w:p>
      <w:pPr>
        <w:pStyle w:val="BodyText"/>
      </w:pPr>
      <w:r>
        <w:rPr>
          <w:b/>
          <w:bCs/>
        </w:rPr>
        <w:t xml:space="preserve">Causality and scope.</w:t>
      </w:r>
      <w:r>
        <w:t xml:space="preserve"> </w:t>
      </w:r>
      <w:r>
        <w:t xml:space="preserve">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Work age, calendar age, and exposure coding.</w:t>
      </w:r>
      <w:r>
        <w:t xml:space="preserve"> </w:t>
      </w:r>
      <w:r>
        <w:t xml:space="preserve">Work age, calendar age, and exposure coding. Work age and calendar age are correlated (median 0.74), so the separation of the two rules rests on limited variation in the pace of merging, and the wild cluster bootstrap does not reject at 5 percent.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with the age of a release once total issue volume is controlled, releases show no significant response to surges in bug reports or to upstream model launches, and the release hazard rises significantly with age in only one repository. The hazard does tend to rise with the stock of merged changes, although the data cannot cleanly separate that stock from calendar time. Release timing in this ecosystem therefore appears to follow accumulating work and not accumulating errors. The finding implies that release cadence should not be read as evidence that degradation is managed, and that detecting and correcting degradation requires performance data that public repositories do not contain.</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Over a wide range of parameter values, the optimal drift threshold is increasing in the refresh cost and in the speed of drift and decreasing in the discount factor, as the tables below show. These comparative statics are numerical regularities and not proved results. For the refresh cost and the speed of drift they agree in direction with the closed-form threshold </w:t>
      </w:r>
      <w:r>
        <w:rPr>
          <w:i/>
          <w:iCs/>
        </w:rPr>
        <w:t xml:space="preserve">x</w:t>
      </w:r>
      <w:r>
        <w:t xml:space="preserve">* of Section 3.2, which approximates the undiscounted case.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Refresh cost </w:t>
            </w:r>
            <w:r>
              <w:rPr>
                <w:rFonts w:eastAsia="Times New Roman" w:cs="Times New Roman"/>
                <w:i/>
                <w:iCs/>
                <w:kern w:val="0"/>
                <w:sz w:val="20"/>
                <w:szCs w:val="20"/>
                <w:lang w:val="en-US" w:eastAsia="en-US" w:bidi="ar-SA"/>
              </w:rPr>
              <w:t>RC</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1"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40</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r>
      <w:tr>
        <w:trPr/>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321"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21</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32</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Drift speed </w:t>
            </w:r>
            <w:r>
              <w:rPr>
                <w:rFonts w:eastAsia="Times New Roman" w:cs="Times New Roman"/>
                <w:i/>
                <w:iCs/>
                <w:kern w:val="0"/>
                <w:sz w:val="20"/>
                <w:szCs w:val="20"/>
                <w:lang w:val="en-US" w:eastAsia="en-US" w:bidi="ar-SA"/>
              </w:rPr>
              <w:t>μ</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r>
      <w:tr>
        <w:trPr/>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11</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Discount factor </w:t>
            </w:r>
            <w:r>
              <w:rPr>
                <w:rFonts w:eastAsia="Times New Roman" w:cs="Times New Roman"/>
                <w:i/>
                <w:iCs/>
                <w:kern w:val="0"/>
                <w:sz w:val="20"/>
                <w:szCs w:val="20"/>
                <w:lang w:val="en-US" w:eastAsia="en-US" w:bidi="ar-SA"/>
              </w:rPr>
              <w:t>β</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0.90</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0.95</w:t>
            </w:r>
          </w:p>
        </w:tc>
        <w:tc>
          <w:tcPr>
            <w:tcW w:w="197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0.99</w:t>
            </w:r>
          </w:p>
        </w:tc>
      </w:tr>
      <w:tr>
        <w:trPr/>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97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13</w:t>
            </w:r>
            <w:bookmarkStart w:id="27" w:name="X9c2d2319a2c40fad0b893d6b242d542108da474"/>
            <w:bookmarkEnd w:id="27"/>
          </w:p>
        </w:tc>
      </w:tr>
    </w:tbl>
    <w:p>
      <w:pPr>
        <w:pStyle w:val="Heading2"/>
      </w:pPr>
      <w:r>
        <w:t xml:space="preserve">References</w:t>
      </w:r>
    </w:p>
    <w:p>
      <w:pPr>
        <w:pStyle w:val="Bibliography"/>
      </w:pPr>
      <w:r>
        <w:t xml:space="preserve">Aguirregabiria, V., and Mira, P. (2010). Dynamic discrete choice structural models: A survey. </w:t>
      </w:r>
      <w:r>
        <w:rPr>
          <w:i/>
          <w:iCs/>
        </w:rPr>
        <w:t xml:space="preserve">Journal of Econometrics</w:t>
      </w:r>
      <w:r>
        <w:t xml:space="preserve">, 156(1), 38–67.</w:t>
      </w:r>
    </w:p>
    <w:p>
      <w:pPr>
        <w:pStyle w:val="Bibliography"/>
      </w:pPr>
      <w:r>
        <w:t xml:space="preserve">Alvarez, F. E., Lippi, F., and Paciello, L. (2011). Optimal price setting with observation and menu costs. </w:t>
      </w:r>
      <w:r>
        <w:rPr>
          <w:i/>
          <w:iCs/>
        </w:rPr>
        <w:t xml:space="preserve">Quarterly Journal of Economics</w:t>
      </w:r>
      <w:r>
        <w:t xml:space="preserve">, 126(4), 1909–1960.</w:t>
      </w:r>
    </w:p>
    <w:p>
      <w:pPr>
        <w:pStyle w:val="Bibliography"/>
      </w:pPr>
      <w:r>
        <w:t xml:space="preserve">Amershi, S., Begel, A., Bird, C., DeLine, R., Gall, H., Kamar, E., Nagappan, N., Nushi, B., and Zimmermann, T. (2019). Software engineering for machine learning: A case study. In </w:t>
      </w:r>
      <w:r>
        <w:rPr>
          <w:i/>
          <w:iCs/>
        </w:rPr>
        <w:t xml:space="preserve">Proceedings of the 41st International Conference on Software Engineering: Software Engineering in Practice (ICSE-SEIP)</w:t>
      </w:r>
      <w:r>
        <w:t xml:space="preserve">, 291–300.</w:t>
      </w:r>
    </w:p>
    <w:p>
      <w:pPr>
        <w:pStyle w:val="Bibliography"/>
      </w:pPr>
      <w:r>
        <w:t xml:space="preserve">Banker, R. D., Datar, S. M., Kemerer, C. F., and Zweig, D. (1993). Software complexity and maintenance costs. Communications of the ACM, 36(11), 81–94.</w:t>
      </w:r>
    </w:p>
    <w:p>
      <w:pPr>
        <w:pStyle w:val="Bibliography"/>
      </w:pPr>
      <w:r>
        <w:t xml:space="preserve">Barlow, R., and Hunter, L. (1960). Optimum preventive maintenance policies. </w:t>
      </w:r>
      <w:r>
        <w:rPr>
          <w:i/>
          <w:iCs/>
        </w:rPr>
        <w:t xml:space="preserve">Operations Research</w:t>
      </w:r>
      <w:r>
        <w:t xml:space="preserve">, 8(1), 90–100.</w:t>
      </w:r>
    </w:p>
    <w:p>
      <w:pPr>
        <w:pStyle w:val="Bibliography"/>
      </w:pPr>
      <w:r>
        <w:t xml:space="preserve">Caballero, R. J., and Engel, E. M. R. A. (1999). Explaining investment dynamics in U.S. manufacturing: A generalized (S,s) approach. </w:t>
      </w:r>
      <w:r>
        <w:rPr>
          <w:i/>
          <w:iCs/>
        </w:rPr>
        <w:t xml:space="preserve">Econometrica</w:t>
      </w:r>
      <w:r>
        <w:t xml:space="preserve">, 67(4), 783–826.</w:t>
      </w:r>
    </w:p>
    <w:p>
      <w:pPr>
        <w:pStyle w:val="Bibliography"/>
      </w:pPr>
      <w:r>
        <w:t xml:space="preserve">Calvo, G. A. (1983). Staggered prices in a utility-maximizing framework. </w:t>
      </w:r>
      <w:r>
        <w:rPr>
          <w:i/>
          <w:iCs/>
        </w:rPr>
        <w:t xml:space="preserve">Journal of Monetary Economics</w:t>
      </w:r>
      <w:r>
        <w:t xml:space="preserve">, 12(3), 383–398.</w:t>
      </w:r>
    </w:p>
    <w:p>
      <w:pPr>
        <w:pStyle w:val="Bibliography"/>
      </w:pPr>
      <w:r>
        <w:t xml:space="preserve">Cameron, A. C., Gelbach, J. B., and Miller, D. L. (2008). Bootstrap-based improvements for inference with clustered errors. Review of Economics and Statistics, 90(3), 414–427.</w:t>
      </w:r>
    </w:p>
    <w:p>
      <w:pPr>
        <w:pStyle w:val="Bibliography"/>
      </w:pPr>
      <w:r>
        <w:t xml:space="preserve">Chen, L., Zaharia, M., and Zou, J. (2024). How is ChatGPT’s behavior changing over time? </w:t>
      </w:r>
      <w:r>
        <w:rPr>
          <w:i/>
          <w:iCs/>
        </w:rPr>
        <w:t xml:space="preserve">Harvard Data Science Review</w:t>
      </w:r>
      <w:r>
        <w:t xml:space="preserve">, 6(2).</w:t>
      </w:r>
    </w:p>
    <w:p>
      <w:pPr>
        <w:pStyle w:val="Bibliography"/>
      </w:pPr>
      <w:r>
        <w:t xml:space="preserve">DerSimonian, R., and Laird, N. (1986). Meta-analysis in clinical trials. </w:t>
      </w:r>
      <w:r>
        <w:rPr>
          <w:i/>
          <w:iCs/>
        </w:rPr>
        <w:t xml:space="preserve">Controlled Clinical Trials</w:t>
      </w:r>
      <w:r>
        <w:t xml:space="preserve">, 7(3), 177–188.</w:t>
      </w:r>
    </w:p>
    <w:p>
      <w:pPr>
        <w:pStyle w:val="Bibliography"/>
      </w:pPr>
      <w:r>
        <w:t xml:space="preserve">Duncan, A. J. (1956). The economic design of X̄ charts used to maintain current control of a process. </w:t>
      </w:r>
      <w:r>
        <w:rPr>
          <w:i/>
          <w:iCs/>
        </w:rPr>
        <w:t xml:space="preserve">Journal of the American Statistical Association</w:t>
      </w:r>
      <w:r>
        <w:t xml:space="preserve">, 51(274), 228–242.</w:t>
      </w:r>
    </w:p>
    <w:p>
      <w:pPr>
        <w:pStyle w:val="Bibliography"/>
      </w:pPr>
      <w:r>
        <w:t xml:space="preserve">Gama, J., Žliobaitė, I., Bifet, A., Pechenizkiy, M., and Bouchachia, A. (2014). A survey on concept drift adaptation. </w:t>
      </w:r>
      <w:r>
        <w:rPr>
          <w:i/>
          <w:iCs/>
        </w:rPr>
        <w:t xml:space="preserve">ACM Computing Surveys</w:t>
      </w:r>
      <w:r>
        <w:t xml:space="preserve">, 46(4), Article 44.</w:t>
      </w:r>
    </w:p>
    <w:p>
      <w:pPr>
        <w:pStyle w:val="Bibliography"/>
      </w:pPr>
      <w:r>
        <w:t xml:space="preserve">Gourieroux, C., Monfort, A., and Trognon, A. (1984). Pseudo maximum likelihood methods: Applications to Poisson models. </w:t>
      </w:r>
      <w:r>
        <w:rPr>
          <w:i/>
          <w:iCs/>
        </w:rPr>
        <w:t xml:space="preserve">Econometrica</w:t>
      </w:r>
      <w:r>
        <w:t xml:space="preserve">, 52(3), 681–700.</w:t>
      </w:r>
    </w:p>
    <w:p>
      <w:pPr>
        <w:pStyle w:val="Bibliography"/>
      </w:pPr>
      <w:r>
        <w:t xml:space="preserve">Heckman, J., and Singer, B. (1984). A method for minimizing the impact of distributional assumptions in econometric models for duration data. </w:t>
      </w:r>
      <w:r>
        <w:rPr>
          <w:i/>
          <w:iCs/>
        </w:rPr>
        <w:t xml:space="preserve">Econometrica</w:t>
      </w:r>
      <w:r>
        <w:t xml:space="preserve">, 52(2), 271–320.</w:t>
      </w:r>
    </w:p>
    <w:p>
      <w:pPr>
        <w:pStyle w:val="Bibliography"/>
      </w:pPr>
      <w:r>
        <w:t xml:space="preserve">Hotz, V. J., and Miller, R. A. (1993). Conditional choice probabilities and the estimation of dynamic models. </w:t>
      </w:r>
      <w:r>
        <w:rPr>
          <w:i/>
          <w:iCs/>
        </w:rPr>
        <w:t xml:space="preserve">Review of Economic Studies</w:t>
      </w:r>
      <w:r>
        <w:t xml:space="preserve">, 60(3), 497–529.</w:t>
      </w:r>
    </w:p>
    <w:p>
      <w:pPr>
        <w:pStyle w:val="Bibliography"/>
      </w:pPr>
      <w:r>
        <w:t xml:space="preserve">Jenkins, S. P. (1995). Easy estimation methods for discrete-time duration models. </w:t>
      </w:r>
      <w:r>
        <w:rPr>
          <w:i/>
          <w:iCs/>
        </w:rPr>
        <w:t xml:space="preserve">Oxford Bulletin of Economics and Statistics</w:t>
      </w:r>
      <w:r>
        <w:t xml:space="preserve">, 57(1), 129–138.</w:t>
      </w:r>
    </w:p>
    <w:p>
      <w:pPr>
        <w:pStyle w:val="Bibliography"/>
      </w:pPr>
      <w:r>
        <w:t xml:space="preserve">Kemerer, C. F., and Slaughter, S. (1999). An empirical approach to studying software evolution. IEEE Transactions on Software Engineering, 25(4), 493–509.</w:t>
      </w:r>
    </w:p>
    <w:p>
      <w:pPr>
        <w:pStyle w:val="Bibliography"/>
      </w:pPr>
      <w:r>
        <w:t xml:space="preserve">Khomh, F., Dhaliwal, T., Zou, Y., and Adams, B. (2012). Do faster releases improve software quality? An empirical case study of Mozilla Firefox. In </w:t>
      </w:r>
      <w:r>
        <w:rPr>
          <w:i/>
          <w:iCs/>
        </w:rPr>
        <w:t xml:space="preserve">Proceedings of the 9th IEEE Working Conference on Mining Software Repositories (MSR)</w:t>
      </w:r>
      <w:r>
        <w:t xml:space="preserve">, 179–188.</w:t>
      </w:r>
    </w:p>
    <w:p>
      <w:pPr>
        <w:pStyle w:val="Bibliography"/>
      </w:pPr>
      <w:r>
        <w:t xml:space="preserve">Klenow, P. J., and Kryvtsov, O. (2008). State-dependent or time-dependent pricing: Does it matter for recent U.S. inflation? </w:t>
      </w:r>
      <w:r>
        <w:rPr>
          <w:i/>
          <w:iCs/>
        </w:rPr>
        <w:t xml:space="preserve">Quarterly Journal of Economics</w:t>
      </w:r>
      <w:r>
        <w:t xml:space="preserve">, 123(3), 863–904.</w:t>
      </w:r>
    </w:p>
    <w:p>
      <w:pPr>
        <w:pStyle w:val="Bibliography"/>
      </w:pPr>
      <w:r>
        <w:t xml:space="preserve">Lazaridou, A., Kuncoro, A., Gribovskaya, E., Agrawal, D., Liska, A., Terzi, T., et al. (2021). Mind the gap: Assessing temporal generalization in neural language models. </w:t>
      </w:r>
      <w:r>
        <w:rPr>
          <w:i/>
          <w:iCs/>
        </w:rPr>
        <w:t xml:space="preserve">Advances in Neural Information Processing Systems</w:t>
      </w:r>
      <w:r>
        <w:t xml:space="preserve">, 34.</w:t>
      </w:r>
    </w:p>
    <w:p>
      <w:pPr>
        <w:pStyle w:val="Bibliography"/>
      </w:pPr>
      <w:r>
        <w:t xml:space="preserve">Lehman, M. M. (1980). Programs, life cycles, and laws of software evolution. Proceedings of the IEEE, 68(9), 1060–1076.</w:t>
      </w:r>
    </w:p>
    <w:p>
      <w:pPr>
        <w:pStyle w:val="Bibliography"/>
      </w:pPr>
      <w:r>
        <w:t xml:space="preserve">Lerner, J., and Tirole, J. (2002). Some simple economics of open source. </w:t>
      </w:r>
      <w:r>
        <w:rPr>
          <w:i/>
          <w:iCs/>
        </w:rPr>
        <w:t xml:space="preserve">Journal of Industrial Economics</w:t>
      </w:r>
      <w:r>
        <w:t xml:space="preserve">, 50(2), 197–234.</w:t>
      </w:r>
    </w:p>
    <w:p>
      <w:pPr>
        <w:pStyle w:val="Bibliography"/>
      </w:pPr>
      <w:r>
        <w:t xml:space="preserve">Luu, K., Khashabi, D., Gururangan, S., Mandyam, K., and Smith, N. A. (2022). Time waits for no one! Analysis and challenges of temporal misalignment. In </w:t>
      </w:r>
      <w:r>
        <w:rPr>
          <w:i/>
          <w:iCs/>
        </w:rPr>
        <w:t xml:space="preserve">Proceedings of the 2022 Conference of the North American Chapter of the Association for Computational Linguistics (NAACL)</w:t>
      </w:r>
      <w:r>
        <w:t xml:space="preserve">.</w:t>
      </w:r>
    </w:p>
    <w:p>
      <w:pPr>
        <w:pStyle w:val="Bibliography"/>
      </w:pPr>
      <w:r>
        <w:t xml:space="preserve">Mankiw, N. G., and Reis, R. (2002). Sticky information versus sticky prices: A proposal to replace the New Keynesian Phillips curve. </w:t>
      </w:r>
      <w:r>
        <w:rPr>
          <w:i/>
          <w:iCs/>
        </w:rPr>
        <w:t xml:space="preserve">Quarterly Journal of Economics</w:t>
      </w:r>
      <w:r>
        <w:t xml:space="preserve">, 117(4), 1295–1328.</w:t>
      </w:r>
    </w:p>
    <w:p>
      <w:pPr>
        <w:pStyle w:val="Bibliography"/>
      </w:pPr>
      <w:r>
        <w:t xml:space="preserve">Nakamura, E., and Steinsson, J. (2008). Five facts about prices: A reevaluation of menu cost models. </w:t>
      </w:r>
      <w:r>
        <w:rPr>
          <w:i/>
          <w:iCs/>
        </w:rPr>
        <w:t xml:space="preserve">Quarterly Journal of Economics</w:t>
      </w:r>
      <w:r>
        <w:t xml:space="preserve">, 123(4), 1415–1464.</w:t>
      </w:r>
    </w:p>
    <w:p>
      <w:pPr>
        <w:pStyle w:val="Bibliography"/>
      </w:pPr>
      <w:r>
        <w:t xml:space="preserve">Reis, R. (2006). Inattentive producers. </w:t>
      </w:r>
      <w:r>
        <w:rPr>
          <w:i/>
          <w:iCs/>
        </w:rPr>
        <w:t xml:space="preserve">Review of Economic Studies</w:t>
      </w:r>
      <w:r>
        <w:t xml:space="preserve">, 73(3), 793–821.</w:t>
      </w:r>
    </w:p>
    <w:p>
      <w:pPr>
        <w:pStyle w:val="Bibliography"/>
      </w:pPr>
      <w:r>
        <w:t xml:space="preserve">Rust, J. (1987). Optimal replacement of GMC bus engines: An empirical model of Harold Zurcher. </w:t>
      </w:r>
      <w:r>
        <w:rPr>
          <w:i/>
          <w:iCs/>
        </w:rPr>
        <w:t xml:space="preserve">Econometrica</w:t>
      </w:r>
      <w:r>
        <w:t xml:space="preserve">, 55(5), 999–1033.</w:t>
      </w:r>
    </w:p>
    <w:p>
      <w:pPr>
        <w:pStyle w:val="Bibliography"/>
      </w:pPr>
      <w:r>
        <w:t xml:space="preserve">Sculley, D., Holt, G., Golovin, D., Davydov, E., Phillips, T., Ebner, D., et al. (2015). Hidden technical debt in machine learning systems. </w:t>
      </w:r>
      <w:r>
        <w:rPr>
          <w:i/>
          <w:iCs/>
        </w:rPr>
        <w:t xml:space="preserve">Advances in Neural Information Processing Systems</w:t>
      </w:r>
      <w:r>
        <w:t xml:space="preserve">, 28.</w:t>
      </w:r>
    </w:p>
    <w:p>
      <w:pPr>
        <w:pStyle w:val="Bibliography"/>
      </w:pPr>
      <w:r>
        <w:t xml:space="preserve">Sheshinski, E., and Weiss, Y. (1977). Inflation and costs of price adjustment. </w:t>
      </w:r>
      <w:r>
        <w:rPr>
          <w:i/>
          <w:iCs/>
        </w:rPr>
        <w:t xml:space="preserve">Review of Economic Studies</w:t>
      </w:r>
      <w:r>
        <w:t xml:space="preserve">, 44(2), 287–303.</w:t>
      </w:r>
    </w:p>
    <w:p>
      <w:pPr>
        <w:pStyle w:val="Bibliography"/>
      </w:pPr>
      <w:r>
        <w:t xml:space="preserve">Sims, C. A. (2003). Implications of rational inattention. </w:t>
      </w:r>
      <w:r>
        <w:rPr>
          <w:i/>
          <w:iCs/>
        </w:rPr>
        <w:t xml:space="preserve">Journal of Monetary Economics</w:t>
      </w:r>
      <w:r>
        <w:t xml:space="preserve">, 50(3), 665–690.</w:t>
      </w:r>
    </w:p>
    <w:p>
      <w:pPr>
        <w:pStyle w:val="Bibliography"/>
      </w:pPr>
      <w:r>
        <w:t xml:space="preserve">Swanson, E. B. (1976). The dimensions of maintenance. In Proceedings of the 2nd International Conference on Software Engineering, 492–497.</w:t>
      </w:r>
    </w:p>
    <w:p>
      <w:pPr>
        <w:pStyle w:val="Bibliography"/>
      </w:pPr>
      <w:r>
        <w:t xml:space="preserve">Taylor, J. B. (1980). Aggregate dynamics and staggered contracts. </w:t>
      </w:r>
      <w:r>
        <w:rPr>
          <w:i/>
          <w:iCs/>
        </w:rPr>
        <w:t xml:space="preserve">Journal of Political Economy</w:t>
      </w:r>
      <w:r>
        <w:t xml:space="preserve">, 88(1), 1–23.</w:t>
      </w:r>
    </w:p>
    <w:p>
      <w:pPr>
        <w:pStyle w:val="Bibliography"/>
      </w:pPr>
      <w:r>
        <w:t xml:space="preserve">von Hippel, E., and von Krogh, G. (2003). Open source software and the “private-collective” innovation model: Issues for organization science. </w:t>
      </w:r>
      <w:r>
        <w:rPr>
          <w:i/>
          <w:iCs/>
        </w:rPr>
        <w:t xml:space="preserve">Organization Science</w:t>
      </w:r>
      <w:r>
        <w:t xml:space="preserve">, 14(2), 209–223.</w:t>
      </w:r>
    </w:p>
    <w:sectPr>
      <w:footerReference w:type="even" r:id="rId2"/>
      <w:footerReference w:type="default" r:id="rId3"/>
      <w:footerReference w:type="first" r:id="rId4"/>
      <w:type w:val="nextPage"/>
      <w:pgSz w:w="11906" w:h="16838"/>
      <w:pgMar w:left="1440" w:right="1440" w:gutter="0" w:header="0" w:top="1440" w:footer="708"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360" w:after="12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uiPriority w:val="9"/>
    <w:unhideWhenUsed/>
    <w:qFormat/>
    <w:pPr>
      <w:keepNext w:val="true"/>
      <w:keepLines/>
      <w:spacing w:before="360" w:after="12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48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32"/>
      <w:szCs w:val="32"/>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12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Does Release Timing in the LLM Software Ecosystem Respond to Accumulating Degradation? An Empirical Study of Open-Source Repositories and Public Chat Logs</dc:title>
</cp:coreProperties>
</file>

<file path=docProps/custom.xml><?xml version="1.0" encoding="utf-8"?>
<Properties xmlns="http://schemas.openxmlformats.org/officeDocument/2006/custom-properties" xmlns:vt="http://schemas.openxmlformats.org/officeDocument/2006/docPropsVTypes"/>
</file>