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the</w:t>
      </w:r>
      <w:r>
        <w:t xml:space="preserve"> </w:t>
      </w:r>
      <w:r>
        <w:t xml:space="preserve">Platform</w:t>
      </w:r>
      <w:r>
        <w:t xml:space="preserve"> </w:t>
      </w:r>
      <w:r>
        <w:t xml:space="preserve">Moves</w:t>
      </w:r>
      <w:r>
        <w:t xml:space="preserve"> </w:t>
      </w:r>
      <w:r>
        <w:t xml:space="preserve">Underneath:</w:t>
      </w:r>
      <w:r>
        <w:t xml:space="preserve"> </w:t>
      </w:r>
      <w:r>
        <w:t xml:space="preserve">Maintaining</w:t>
      </w:r>
      <w:r>
        <w:t xml:space="preserve"> </w:t>
      </w:r>
      <w:r>
        <w:t xml:space="preserve">Complementary</w:t>
      </w:r>
      <w:r>
        <w:t xml:space="preserve"> </w:t>
      </w:r>
      <w:r>
        <w:t xml:space="preserve">IT</w:t>
      </w:r>
      <w:r>
        <w:t xml:space="preserve"> </w:t>
      </w:r>
      <w:r>
        <w:t xml:space="preserve">Assets</w:t>
      </w:r>
      <w:r>
        <w:t xml:space="preserve"> </w:t>
      </w:r>
      <w:r>
        <w:t xml:space="preserve">under</w:t>
      </w:r>
      <w:r>
        <w:t xml:space="preserve"> </w:t>
      </w:r>
      <w:r>
        <w:t xml:space="preserve">Endogenous</w:t>
      </w:r>
      <w:r>
        <w:t xml:space="preserve"> </w:t>
      </w:r>
      <w:r>
        <w:t xml:space="preserve">Release</w:t>
      </w:r>
      <w:r>
        <w:t xml:space="preserve"> </w:t>
      </w:r>
      <w:r>
        <w:t xml:space="preserve">Cadence</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ten open model pairs (160M to 3B parameters) falls with upgrade size, while the room for a costly transfer method shrinks as models grow. The practical rule that follows is simple: copy by default, buy a transfer tool only when its measured cost is below</w:t>
      </w:r>
      <w:r>
        <w:t xml:space="preserve"> </w:t>
      </w:r>
      <m:oMath>
        <m:r>
          <m:t>Γ</m:t>
        </m:r>
      </m:oMath>
      <w:r>
        <w:t xml:space="preserve">, and read the arrival of owner-provided compatibility tooling as a signal of faster release.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1–2)</w:t>
            </w:r>
          </w:p>
        </w:tc>
        <w:tc>
          <w:tcPr/>
          <w:p>
            <w:pPr>
              <w:pStyle w:val="Compact"/>
              <w:jc w:val="left"/>
            </w:pPr>
            <w:r>
              <w:t xml:space="preserve">Waiting is valuable when the asset can be partly rescued and may be rescued again</w:t>
            </w:r>
          </w:p>
        </w:tc>
        <w:tc>
          <w:tcPr/>
          <w:p>
            <w:pPr>
              <w:pStyle w:val="Compact"/>
              <w:jc w:val="left"/>
            </w:pPr>
            <w:r>
              <w:t xml:space="preserve">Copy first; do not retrain by default, and triage assets by value relative to retraining cost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2b)</w:t>
            </w:r>
          </w:p>
        </w:tc>
        <w:tc>
          <w:tcPr/>
          <w:p>
            <w:pPr>
              <w:pStyle w:val="Compact"/>
              <w:jc w:val="left"/>
            </w:pPr>
            <w:r>
              <w:t xml:space="preserve">Low-value assets are served by copy and high-value assets are retrained anyway</w:t>
            </w:r>
          </w:p>
        </w:tc>
        <w:tc>
          <w:tcPr/>
          <w:p>
            <w:pPr>
              <w:pStyle w:val="Compact"/>
              <w:jc w:val="left"/>
            </w:pPr>
            <w:r>
              <w:t xml:space="preserve">Default to free copy; buy a compatibility tool only if its measured cost is below</w:t>
            </w:r>
            <w:r>
              <w:t xml:space="preserve"> </w:t>
            </w:r>
            <m:oMath>
              <m:r>
                <m:t>Γ</m:t>
              </m:r>
            </m:oMath>
          </w:p>
        </w:tc>
      </w:tr>
      <w:tr>
        <w:tc>
          <w:tcPr/>
          <w:p>
            <w:pPr>
              <w:pStyle w:val="Compact"/>
              <w:jc w:val="left"/>
            </w:pPr>
            <w:r>
              <w:t xml:space="preserve">A revenue-sharing owner over-releases iff the average customer is harmed at the margin (Prop. 3)</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(Props. 4a,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4b)</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 5)</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(Numerical Finding 1)</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rPr>
          <w:bCs/>
          <w:b/>
        </w:rPr>
        <w:t xml:space="preserve">The practical message.</w:t>
      </w:r>
      <w:r>
        <w:t xml:space="preserve"> </w:t>
      </w:r>
      <w:r>
        <w:t xml:space="preserve">The model’s central prescription is a default:</w:t>
      </w:r>
      <w:r>
        <w:t xml:space="preserve"> </w:t>
      </w:r>
      <w:r>
        <w:rPr>
          <w:iCs/>
          <w:i/>
        </w:rPr>
        <w:t xml:space="preserve">when free copy recovers most of the value, copy.</w:t>
      </w:r>
      <w:r>
        <w:t xml:space="preserve"> </w:t>
      </w:r>
      <w:r>
        <w:t xml:space="preserve">Retraining is warranted only for assets whose value exceeds a threshold that is high relative to the NPV rule, and a costly transfer tool pays only in a bounded intermediate band and only if its cost is below</w:t>
      </w:r>
      <w:r>
        <w:t xml:space="preserve"> </w:t>
      </w:r>
      <m:oMath>
        <m:r>
          <m:t>Γ</m:t>
        </m:r>
      </m:oMath>
      <w:r>
        <w:t xml:space="preserve">. Our measurements fit this default. In nine of the ten open model pairs we tested, free copy leaves too little to gain for any costly method with a plausible cost to be worthwhile; the exception is a large upgrade of a small model, where copy recovered only 40 percent of the retraining gain. The paper therefore argues against two habits that look prudent: retraining at every upgrade, and buying compatibility tools by default.</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ten open model pairs show that upgrade size, not the brand of transfer method, is the first-order determinant of</w:t>
      </w:r>
      <w:r>
        <w:t xml:space="preserve"> </w:t>
      </w:r>
      <m:oMath>
        <m:r>
          <m:t>R</m:t>
        </m:r>
      </m:oMath>
      <w:r>
        <w:t xml:space="preserve">: for 160M-parameter models a naive copy recovered about 95 percent of the retraining gain after small continued-training upgrades and about 40 percent after a large one, and for 1.4B-parameter models about 99 and 79 percent (means of five seeds). A costly transfer method adds little beyond copy in the larger models.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 and whose default is free copy.</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What the paper changes in IS theory.</w:t>
      </w:r>
      <w:r>
        <w:t xml:space="preserve"> </w:t>
      </w:r>
      <w:r>
        <w:t xml:space="preserve">Three conceptual moves connect the model to established IS constructs. First, digital options (Sambamurthy et al. 2003, Fichman 2004) are usually treated as assets the adopter accumulates; here they are assets the platform owner can extinguish, so the option’s life is a choice variable of the owner. Second, compatibility tools such as migration kits, converters, and long-term-support promises are boundary resources in the sense of Ghazawneh and Henfridsson (2013). The literature treats them as instruments for attracting third-party development; we show that they also change the owner’s incentive to change the platform, so that resource provision and platform evolution (Tiwana et al. 2010) cannot be analyzed separately. Third, generativity (Yoo et al. 2010) is the capacity of a platform to be changed by many uncoordinated actors; our model shows its cost side, since a platform whose owner changes it often imposes a maintenance burden that falls unevenly on the actors that build on it.</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Running the target without the adapter is always feasible and corresponds to</w:t>
      </w:r>
      <w:r>
        <w:t xml:space="preserve"> </w:t>
      </w:r>
      <m:oMath>
        <m:r>
          <m:t>R</m:t>
        </m:r>
        <m:r>
          <m:rPr>
            <m:sty m:val="p"/>
          </m:rPr>
          <m:t>=</m:t>
        </m:r>
        <m:r>
          <m:t>0</m:t>
        </m:r>
      </m:oMath>
      <w:r>
        <w:t xml:space="preserve">, so a method whose measured recovery is negative is treated as</w:t>
      </w:r>
      <w:r>
        <w:t xml:space="preserve"> </w:t>
      </w:r>
      <m:oMath>
        <m:r>
          <m:t>R</m:t>
        </m:r>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0b009bb14b76d064ce3618c4464fd8bdc078eae"/>
    <w:p>
      <w:pPr>
        <w:pStyle w:val="Heading3"/>
      </w:pPr>
      <w:r>
        <w:t xml:space="preserve">3.3 Stylized fact 2: recovery falls sharply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C). Each pair was run with five seeds that resample the training and calibration rows and the training order. After two small Pythia continued-training upgrades, copy recovered 0.948 and 0.923 of the retraining gain (means of five seeds; 95% intervals [0.93, 0.97] and [0.90, 0.94]). After a large Pythia upgrade, copy recovered 0.404 (95% interval [0.31, 0.50]) and the calibration method 0.725 ([0.64, 0.81]); the calibration method beat copy in all five seeds. Base-to-instruct upgrades sat in between, at 0.73 to 0.75 for copy, with a gain from the calibration method of at most 0.04. Compute-only cost ratios for the calibration method were 0.35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p>
      <w:pPr>
        <w:pStyle w:val="BodyText"/>
      </w:pPr>
      <w:r>
        <w:t xml:space="preserve">We repeated the design on five pairs of larger models (1.4B to 3B parameters, five seeds; 4 seeds for the 3B pair; Online Appendix C, Table C.2). Recovery still falls with upgrade size, but much less: copy recovered 0.987 [0.95, 1.03] after the small Pythia-1.4B upgrade and 0.786 [0.72, 0.85] after the large one, against 0.40 for the 160M model. The calibration method improved on copy by at most 0.03 in the Pythia pairs and by 0.01 for Qwen2.5-1.5B, and did not improve on it for Qwen2.5-3B. Base-to-instruct pairs varied widely: copy recovered 0.81 for Qwen2.5-1.5B and 0.65 for Qwen2.5-3B, and for SmolLM2-1.7B copying made the adapter</w:t>
      </w:r>
      <w:r>
        <w:t xml:space="preserve"> </w:t>
      </w:r>
      <w:r>
        <w:rPr>
          <w:iCs/>
          <w:i/>
        </w:rPr>
        <w:t xml:space="preserve">worse</w:t>
      </w:r>
      <w:r>
        <w:t xml:space="preserve"> </w:t>
      </w:r>
      <w:r>
        <w:t xml:space="preserve">than no adapter (negative recovery), because the instruct model already scores well without one and the retraining gain is small (0.08 nats). The size of the cost-saving room therefore depends on both upgrade size and model scale, and it is small for the larger models in our sample. That is the regime in which the model recommends free copy.</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(Maintenance option).</w:t>
      </w:r>
      <w:r>
        <w:t xml:space="preserve"> </w:t>
      </w:r>
      <w:r>
        <w:t xml:space="preserve">(a) 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 (b)</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2 (Copy dominance and the costly-transfer band).</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There the bound is</w:t>
      </w:r>
      <w:r>
        <w:t xml:space="preserve"> </w:t>
      </w:r>
      <m:oMath>
        <m:r>
          <m:t>Γ</m:t>
        </m:r>
        <m:r>
          <m:rPr>
            <m:sty m:val="p"/>
          </m:rPr>
          <m:t>=</m:t>
        </m:r>
        <m:r>
          <m:t>0.45</m:t>
        </m:r>
      </m:oMath>
      <w:r>
        <w:t xml:space="preserve"> </w:t>
      </w:r>
      <w:r>
        <w:t xml:space="preserve">at the seed-mean recovery rates and exceeds the compute-only cost ratio 0.36, and the transfer-optimal band is</w:t>
      </w:r>
      <w:r>
        <w:t xml:space="preserve"> </w:t>
      </w:r>
      <m:oMath>
        <m:r>
          <m:t>v</m:t>
        </m:r>
        <m:r>
          <m:rPr>
            <m:sty m:val="p"/>
          </m:rPr>
          <m:t>∈</m:t>
        </m:r>
        <m:d>
          <m:dPr>
            <m:begChr m:val="["/>
            <m:endChr m:val="]"/>
            <m:sepChr m:val=""/>
            <m:grow/>
          </m:dPr>
          <m:e>
            <m:r>
              <m:t>2.2</m:t>
            </m:r>
            <m:r>
              <m:rPr>
                <m:sty m:val="p"/>
              </m:rPr>
              <m:t>,</m:t>
            </m:r>
            <m:r>
              <m:t>4.5</m:t>
            </m:r>
          </m:e>
        </m:d>
      </m:oMath>
      <w:r>
        <w:t xml:space="preserve"> </w:t>
      </w:r>
      <w:r>
        <w:t xml:space="preserve">in units of retraining cost. The ordering is the same in each of the five seeds (</w:t>
      </w:r>
      <m:oMath>
        <m:r>
          <m:t>Γ</m:t>
        </m:r>
      </m:oMath>
      <w:r>
        <w:t xml:space="preserve"> </w:t>
      </w:r>
      <w:r>
        <w:t xml:space="preserve">between 0.37 and 0.50), but it is sensitive to measurement error: at the least favorable corner of the two 95% intervals</w:t>
      </w:r>
      <w:r>
        <w:t xml:space="preserve"> </w:t>
      </w:r>
      <m:oMath>
        <m:r>
          <m:t>Γ</m:t>
        </m:r>
        <m:r>
          <m:rPr>
            <m:sty m:val="p"/>
          </m:rPr>
          <m:t>=</m:t>
        </m:r>
        <m:r>
          <m:t>0.22</m:t>
        </m:r>
      </m:oMath>
      <w:r>
        <w:t xml:space="preserve">, below the cost ratio. For the two small upgrades and the two base-to-instruct pairs</w:t>
      </w:r>
      <w:r>
        <w:t xml:space="preserve"> </w:t>
      </w:r>
      <m:oMath>
        <m:r>
          <m:t>Γ</m:t>
        </m:r>
      </m:oMath>
      <w:r>
        <w:t xml:space="preserve"> </w:t>
      </w:r>
      <w:r>
        <w:t xml:space="preserve">is between 0 and 0.12 and no costly method has a market. For the larger models,</w:t>
      </w:r>
      <w:r>
        <w:t xml:space="preserve"> </w:t>
      </w:r>
      <m:oMath>
        <m:r>
          <m:t>Γ</m:t>
        </m:r>
      </m:oMath>
      <w:r>
        <w:t xml:space="preserve"> </w:t>
      </w:r>
      <w:r>
        <w:t xml:space="preserve">is about 0.07 for Pythia-1.4B after the large upgrade and about 0.04 for Qwen2.5-1.5B, and zero for Qwen2.5-3B and SmolLM2-1.7B; for the small Pythia-1.4B upgrade both methods recover essentially everything and</w:t>
      </w:r>
      <w:r>
        <w:t xml:space="preserve"> </w:t>
      </w:r>
      <m:oMath>
        <m:r>
          <m:t>Γ</m:t>
        </m:r>
      </m:oMath>
      <w:r>
        <w:t xml:space="preserve"> </w:t>
      </w:r>
      <w:r>
        <w:t xml:space="preserve">is not informative. With any plausible cost ratio, such as the 0.36 measured for the 160M models, no costly method pays in the larger models: free copy is sufficient, which is the prediction of Proposition 2(a).</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3 (Cadence and over-release).</w:t>
      </w:r>
      <w:r>
        <w:t xml:space="preserve"> </w:t>
      </w:r>
      <w:r>
        <w:t xml:space="preserve">(a) 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 (b) 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that is, if and only if the average customer is harmed at the margin.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4 (Complementarity and distribution).</w:t>
      </w:r>
      <w:r>
        <w:t xml:space="preserve"> </w:t>
      </w:r>
      <w:r>
        <w:t xml:space="preserve">Suppose</w:t>
      </w:r>
      <w:r>
        <w:t xml:space="preserve"> </w:t>
      </w:r>
      <m:oMath>
        <m:r>
          <m:t>F</m:t>
        </m:r>
      </m:oMath>
      <w:r>
        <w:t xml:space="preserve"> </w:t>
      </w:r>
      <w:r>
        <w:t xml:space="preserve">puts positive mass on both sides of</w:t>
      </w:r>
      <w:r>
        <w:t xml:space="preserve"> </w:t>
      </w:r>
      <m:oMath>
        <m:acc>
          <m:accPr>
            <m:chr m:val="̂"/>
          </m:accPr>
          <m:e>
            <m:r>
              <m:t>v</m:t>
            </m:r>
          </m:e>
        </m:acc>
      </m:oMath>
      <w:r>
        <w:t xml:space="preserve">, so that some firms transfer and some retrain. (a)</w:t>
      </w:r>
      <w:r>
        <w:t xml:space="preserve"> </w:t>
      </w:r>
      <w:r>
        <w:rPr>
          <w:iCs/>
          <w:i/>
        </w:rPr>
        <w:t xml:space="preserve">Strategic complementarity:</w:t>
      </w:r>
      <w:r>
        <w:t xml:space="preserve"> </w:t>
      </w:r>
      <m:oMath>
        <m:r>
          <m:t>d</m:t>
        </m:r>
        <m:sSub>
          <m:e>
            <m:r>
              <m:t>μ</m:t>
            </m:r>
          </m:e>
          <m:sub>
            <m:r>
              <m:t>V</m:t>
            </m:r>
          </m:sub>
        </m:sSub>
        <m:r>
          <m:rPr>
            <m:sty m:val="p"/>
          </m:rPr>
          <m:t>/</m:t>
        </m:r>
        <m:r>
          <m:t>d</m:t>
        </m:r>
        <m:r>
          <m:t>R</m:t>
        </m:r>
        <m:r>
          <m:rPr>
            <m:sty m:val="p"/>
          </m:rPr>
          <m:t>&gt;</m:t>
        </m:r>
        <m:r>
          <m:t>0</m:t>
        </m:r>
      </m:oMath>
      <w:r>
        <w:t xml:space="preserve"> </w:t>
      </w:r>
      <w:r>
        <w:t xml:space="preserve">for any such</w:t>
      </w:r>
      <w:r>
        <w:t xml:space="preserve"> </w:t>
      </w:r>
      <m:oMath>
        <m:r>
          <m:t>F</m:t>
        </m:r>
      </m:oMath>
      <w:r>
        <w:t xml:space="preserve">. If all firms retrain or all transfer,</w:t>
      </w:r>
      <w:r>
        <w:t xml:space="preserve"> </w:t>
      </w:r>
      <m:oMath>
        <m:r>
          <m:t>R</m:t>
        </m:r>
      </m:oMath>
      <w:r>
        <w:t xml:space="preserve"> </w:t>
      </w:r>
      <w:r>
        <w:t xml:space="preserve">has no effect on the owner’s problem and</w:t>
      </w:r>
      <w:r>
        <w:t xml:space="preserve"> </w:t>
      </w:r>
      <m:oMath>
        <m:r>
          <m:t>d</m:t>
        </m:r>
        <m:sSub>
          <m:e>
            <m:r>
              <m:t>μ</m:t>
            </m:r>
          </m:e>
          <m:sub>
            <m:r>
              <m:t>V</m:t>
            </m:r>
          </m:sub>
        </m:sSub>
        <m:r>
          <m:rPr>
            <m:sty m:val="p"/>
          </m:rPr>
          <m:t>/</m:t>
        </m:r>
        <m:r>
          <m:t>d</m:t>
        </m:r>
        <m:r>
          <m:t>R</m:t>
        </m:r>
        <m:r>
          <m:rPr>
            <m:sty m:val="p"/>
          </m:rPr>
          <m:t>=</m:t>
        </m:r>
        <m:r>
          <m:t>0</m:t>
        </m:r>
      </m:oMath>
      <w:r>
        <w:t xml:space="preserve">. (b)</w:t>
      </w:r>
      <w:r>
        <w:t xml:space="preserve"> </w:t>
      </w:r>
      <w:r>
        <w:rPr>
          <w:iCs/>
          <w:i/>
        </w:rPr>
        <w:t xml:space="preserve">Distribution:</w:t>
      </w:r>
      <w:r>
        <w:t xml:space="preserve"> </w:t>
      </w:r>
      <w:r>
        <w:t xml:space="preserve">a small increase in</w:t>
      </w:r>
      <w:r>
        <w:t xml:space="preserve"> </w:t>
      </w:r>
      <m:oMath>
        <m:r>
          <m:t>R</m:t>
        </m:r>
      </m:oMath>
      <w:r>
        <w:t xml:space="preserve"> </w:t>
      </w:r>
      <w:r>
        <w:t xml:space="preserve">has a direct effect and a cadence effect.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A transferring firm with</w:t>
      </w:r>
      <w:r>
        <w:t xml:space="preserve"> </w:t>
      </w:r>
      <m:oMath>
        <m:r>
          <m:t>v</m:t>
        </m:r>
        <m:r>
          <m:rPr>
            <m:sty m:val="p"/>
          </m:rPr>
          <m:t>→</m:t>
        </m:r>
        <m:r>
          <m:t>0</m:t>
        </m:r>
      </m:oMath>
      <w:r>
        <w:t xml:space="preserve"> </w:t>
      </w:r>
      <w:r>
        <w:t xml:space="preserve">gains from both effects. In the over-release region the cadence effect is negative on average, so mean surplus can fall even as</w:t>
      </w:r>
      <w:r>
        <w:t xml:space="preserve"> </w:t>
      </w:r>
      <m:oMath>
        <m:r>
          <m:t>R</m:t>
        </m:r>
      </m:oMath>
      <w:r>
        <w:t xml:space="preserve"> </w:t>
      </w:r>
      <w:r>
        <w:t xml:space="preserve">improves.</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 The firms that cannot use the tool bear the faster clock.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5 (One-third rule and efficiency).</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 (d) 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6 (Complementarity under competition).</w:t>
      </w:r>
      <w:r>
        <w:t xml:space="preserve"> </w:t>
      </w:r>
      <w:r>
        <w:t xml:space="preserve">Under the condition of Proposition 4,</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Numerical Finding 1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This is a grid-search finding at one parameterization, not a theorem, and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54"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5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46"/>
    <w:bookmarkStart w:id="50" w:name="Xcf049ce62945e82eef5623402cebbb68b2d7210"/>
    <w:p>
      <w:pPr>
        <w:pStyle w:val="Heading3"/>
      </w:pPr>
      <w:r>
        <w:t xml:space="preserve">7.6 Parameter grid and alternative value distributions</w:t>
      </w:r>
    </w:p>
    <w:p>
      <w:pPr>
        <w:pStyle w:val="FirstParagraph"/>
      </w:pPr>
      <w:r>
        <w:t xml:space="preserve">The numerical illustrations use one parameter vector and uniform values. To check that Propositions 3 to 4 do not depend on them, we solved the monopoly problem on a grid of</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w:t>
      </w:r>
      <w:r>
        <w:t xml:space="preserve">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under six value distributions with the same mean as</w:t>
      </w:r>
      <w:r>
        <w:t xml:space="preserve"> </w:t>
      </w:r>
      <m:oMath>
        <m:r>
          <m:t>U</m:t>
        </m:r>
        <m:d>
          <m:dPr>
            <m:begChr m:val="["/>
            <m:endChr m:val="]"/>
            <m:sepChr m:val=""/>
            <m:grow/>
          </m:dPr>
          <m:e>
            <m:r>
              <m:t>0</m:t>
            </m:r>
            <m:r>
              <m:rPr>
                <m:sty m:val="p"/>
              </m:rPr>
              <m:t>,</m:t>
            </m:r>
            <m:r>
              <m:t>40</m:t>
            </m:r>
          </m:e>
        </m:d>
      </m:oMath>
      <w:r>
        <w:t xml:space="preserve"> </w:t>
      </w:r>
      <w:r>
        <w:t xml:space="preserve">(uniform, exponential, gamma with shape 3, lognormal with</w:t>
      </w:r>
      <w:r>
        <w:t xml:space="preserve"> </w:t>
      </w:r>
      <m:oMath>
        <m:r>
          <m:t>s</m:t>
        </m:r>
        <m:r>
          <m:rPr>
            <m:sty m:val="p"/>
          </m:rPr>
          <m:t>=</m:t>
        </m:r>
        <m:r>
          <m:t>0.5</m:t>
        </m:r>
      </m:oMath>
      <w:r>
        <w:t xml:space="preserve"> </w:t>
      </w:r>
      <w:r>
        <w:t xml:space="preserve">and</w:t>
      </w:r>
      <w:r>
        <w:t xml:space="preserve"> </w:t>
      </w:r>
      <m:oMath>
        <m:r>
          <m:t>s</m:t>
        </m:r>
        <m:r>
          <m:rPr>
            <m:sty m:val="p"/>
          </m:rPr>
          <m:t>=</m:t>
        </m:r>
        <m:r>
          <m:t>1</m:t>
        </m:r>
      </m:oMath>
      <w:r>
        <w:t xml:space="preserve">, and Pareto with tail index 2.5). The code reproduces Tables 5 and 7 (static columns) exactly. Of the 16,200 cells, 6,505 satisfy the hypotheses of the propositions: the owner’s and the planner’s objectives are globally concave on the grid and both have interior maximizers (Appendix F reports the breakdown). Three results follow. First, strategic complementarity (Proposition 4a) holds in every one of them:</w:t>
      </w:r>
      <w:r>
        <w:t xml:space="preserve"> </w:t>
      </w:r>
      <m:oMath>
        <m:r>
          <m:t>d</m:t>
        </m:r>
        <m:sSub>
          <m:e>
            <m:r>
              <m:t>μ</m:t>
            </m:r>
          </m:e>
          <m:sub>
            <m:r>
              <m:t>V</m:t>
            </m:r>
          </m:sub>
        </m:sSub>
        <m:r>
          <m:rPr>
            <m:sty m:val="p"/>
          </m:rPr>
          <m:t>/</m:t>
        </m:r>
        <m:r>
          <m:t>d</m:t>
        </m:r>
        <m:r>
          <m:t>R</m:t>
        </m:r>
        <m:r>
          <m:rPr>
            <m:sty m:val="p"/>
          </m:rPr>
          <m:t>&gt;</m:t>
        </m:r>
        <m:r>
          <m:t>0</m:t>
        </m:r>
      </m:oMath>
      <w:r>
        <w:t xml:space="preserve"> </w:t>
      </w:r>
      <w:r>
        <w:t xml:space="preserve">in 5,212 cells, equals zero in 392 cells, and is negative in none. In every zero cell essentially no firm transfers (the threshold</w:t>
      </w:r>
      <w:r>
        <w:t xml:space="preserve"> </w:t>
      </w:r>
      <m:oMath>
        <m:acc>
          <m:accPr>
            <m:chr m:val="̂"/>
          </m:accPr>
          <m:e>
            <m:r>
              <m:t>v</m:t>
            </m:r>
          </m:e>
        </m:acc>
      </m:oMath>
      <w:r>
        <w:t xml:space="preserve"> </w:t>
      </w:r>
      <w:r>
        <w:t xml:space="preserve">lies below the support of</w:t>
      </w:r>
      <w:r>
        <w:t xml:space="preserve"> </w:t>
      </w:r>
      <m:oMath>
        <m:r>
          <m:t>F</m:t>
        </m:r>
      </m:oMath>
      <w:r>
        <w:t xml:space="preserve">, or the mass below it is at most</w:t>
      </w:r>
      <w:r>
        <w:t xml:space="preserve"> </w:t>
      </w:r>
      <m:oMath>
        <m:r>
          <m:t>4</m:t>
        </m:r>
        <m:r>
          <m:rPr>
            <m:sty m:val="p"/>
          </m:rPr>
          <m:t>×</m:t>
        </m:r>
        <m:sSup>
          <m:e>
            <m:r>
              <m:t>10</m:t>
            </m:r>
          </m:e>
          <m:sup>
            <m:r>
              <m:rPr>
                <m:sty m:val="p"/>
              </m:rPr>
              <m:t>−</m:t>
            </m:r>
            <m:r>
              <m:t>8</m:t>
            </m:r>
          </m:sup>
        </m:sSup>
      </m:oMath>
      <w:r>
        <w:t xml:space="preserve">), which is the degenerate case excluded in the statement of Proposition 4. Second, the over-release criterion of Proposition 3(b),</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e>
            </m:d>
          </m:e>
        </m:d>
        <m:r>
          <m:rPr>
            <m:sty m:val="p"/>
          </m:rPr>
          <m:t>&lt;</m:t>
        </m:r>
        <m:r>
          <m:t>0</m:t>
        </m:r>
      </m:oMath>
      <w:r>
        <w:t xml:space="preserve">, agrees with the direct comparison of</w:t>
      </w:r>
      <w:r>
        <w:t xml:space="preserve"> </w:t>
      </w:r>
      <m:oMath>
        <m:sSub>
          <m:e>
            <m:r>
              <m:t>μ</m:t>
            </m:r>
          </m:e>
          <m:sub>
            <m:r>
              <m:t>V</m:t>
            </m:r>
          </m:sub>
        </m:sSub>
      </m:oMath>
      <w:r>
        <w:t xml:space="preserve"> </w:t>
      </w:r>
      <w:r>
        <w:t xml:space="preserve">and</w:t>
      </w:r>
      <w:r>
        <w:t xml:space="preserve"> </w:t>
      </w:r>
      <m:oMath>
        <m:sSub>
          <m:e>
            <m:r>
              <m:t>μ</m:t>
            </m:r>
          </m:e>
          <m:sub>
            <m:r>
              <m:t>P</m:t>
            </m:r>
          </m:sub>
        </m:sSub>
      </m:oMath>
      <w:r>
        <w:t xml:space="preserve"> </w:t>
      </w:r>
      <w:r>
        <w:t xml:space="preserve">in all 6,505 cells, with 31 exact ties at</w:t>
      </w:r>
      <w:r>
        <w:t xml:space="preserve"> </w:t>
      </w:r>
      <m:oMath>
        <m:sSub>
          <m:e>
            <m:r>
              <m:t>μ</m:t>
            </m:r>
          </m:e>
          <m:sub>
            <m:r>
              <m:t>V</m:t>
            </m:r>
          </m:sub>
        </m:sSub>
        <m:r>
          <m:rPr>
            <m:sty m:val="p"/>
          </m:rPr>
          <m:t>=</m:t>
        </m:r>
        <m:sSub>
          <m:e>
            <m:r>
              <m:t>μ</m:t>
            </m:r>
          </m:e>
          <m:sub>
            <m:r>
              <m:t>P</m:t>
            </m:r>
          </m:sub>
        </m:sSub>
      </m:oMath>
      <w:r>
        <w:t xml:space="preserve">. Third, over-release is not an artifact of one parameter vector: it occurs in 23 to 34 percent of valid cells depending on the distribution, and in the uniform case it arises when</w:t>
      </w:r>
      <w:r>
        <w:t xml:space="preserve"> </w:t>
      </w:r>
      <m:oMath>
        <m:r>
          <m:t>b</m:t>
        </m:r>
      </m:oMath>
      <w:r>
        <w:t xml:space="preserve"> </w:t>
      </w:r>
      <w:r>
        <w:t xml:space="preserve">is below roughly</w:t>
      </w:r>
      <w:r>
        <w:t xml:space="preserve"> </w:t>
      </w:r>
      <m:oMath>
        <m:sSub>
          <m:e>
            <m:r>
              <m:t>C</m:t>
            </m:r>
          </m:e>
          <m:sub>
            <m:r>
              <m:t>N</m:t>
            </m:r>
          </m:sub>
        </m:sSub>
        <m:r>
          <m:rPr>
            <m:sty m:val="p"/>
          </m:rPr>
          <m:t>/</m:t>
        </m:r>
        <m:r>
          <m:t>ρ</m:t>
        </m:r>
      </m:oMath>
      <w:r>
        <w:t xml:space="preserve"> </w:t>
      </w:r>
      <w:r>
        <w:t xml:space="preserve">(Figure 5b), the region in which firms that retrain are harmed at the margin.</w:t>
      </w:r>
    </w:p>
    <w:p>
      <w:pPr>
        <w:pStyle w:val="BodyText"/>
      </w:pPr>
      <w:r>
        <w:drawing>
          <wp:inline>
            <wp:extent cx="5334000" cy="2036618"/>
            <wp:effectExtent b="0" l="0" r="0" t="0"/>
            <wp:docPr descr="Figure 5. Robustness of the monopoly results. (a) Equilibrium intensity as a function of R under six value distributions with common mean (baseline parameters \rho=0.10, b=7, \psi=6, c=2, \theta=0.5). (b) Difference between owner and planner intensity for uniform F; the black line is the over-release boundary."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334000" cy="2036618"/>
                    </a:xfrm>
                    <a:prstGeom prst="rect">
                      <a:avLst/>
                    </a:prstGeom>
                    <a:noFill/>
                    <a:ln w="9525">
                      <a:noFill/>
                      <a:headEnd/>
                      <a:tailEnd/>
                    </a:ln>
                  </pic:spPr>
                </pic:pic>
              </a:graphicData>
            </a:graphic>
          </wp:inline>
        </w:drawing>
      </w:r>
      <w:r>
        <w:t xml:space="preserve"> </w:t>
      </w:r>
      <w:r>
        <w:t xml:space="preserve">## 8. Implications for Research and Practice</w:t>
      </w:r>
    </w:p>
    <w:bookmarkEnd w:id="50"/>
    <w:bookmarkStart w:id="51"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and boundary-resource provision (Ghazawneh and Henfridsson 2013) should be modeled as endogenous to platform evolution rather than as a fixed offer.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51"/>
    <w:bookmarkStart w:id="52" w:name="implications-for-practice"/>
    <w:p>
      <w:pPr>
        <w:pStyle w:val="Heading3"/>
      </w:pPr>
      <w:r>
        <w:t xml:space="preserve">8.2 Implications for practice</w:t>
      </w:r>
    </w:p>
    <w:p>
      <w:pPr>
        <w:pStyle w:val="FirstParagraph"/>
      </w:pPr>
      <w:r>
        <w:t xml:space="preserve">The model’s main practical prescription is a default:</w:t>
      </w:r>
      <w:r>
        <w:t xml:space="preserve"> </w:t>
      </w:r>
      <w:r>
        <w:rPr>
          <w:bCs/>
          <w:b/>
        </w:rPr>
        <w:t xml:space="preserve">when free copy recovers most of the value, copy.</w:t>
      </w:r>
      <w:r>
        <w:t xml:space="preserve"> </w:t>
      </w:r>
      <w:r>
        <w:t xml:space="preserve">Five implications do not depend on a named transfer algorithm.</w:t>
      </w:r>
    </w:p>
    <w:p>
      <w:pPr>
        <w:numPr>
          <w:ilvl w:val="0"/>
          <w:numId w:val="1001"/>
        </w:numPr>
        <w:pStyle w:val="Compact"/>
      </w:pPr>
      <w:r>
        <w:rPr>
          <w:bCs/>
          <w:b/>
        </w:rPr>
        <w:t xml:space="preserve">Default to free copy.</w:t>
      </w:r>
      <w:r>
        <w:t xml:space="preserve"> </w:t>
      </w:r>
      <w:r>
        <w:t xml:space="preserve">Reuse the existing adapter on the new base model first. Proposition 2(a) shows that this weakly dominates retraining immediately for every asset value, because the right to retrain later is kept. In our measurements copy recovered 92 to 99 percent of the retraining gain after small upgrades and 65 to 81 percent for three of the four larger pairs, leaving little for any costly method to add. Compare the copied adapter with running the new model without one: for SmolLM2-1.7B the copy was worse than no adapter, in which case the right default is the base model, not the copy.</w:t>
      </w:r>
    </w:p>
    <w:p>
      <w:pPr>
        <w:numPr>
          <w:ilvl w:val="0"/>
          <w:numId w:val="1001"/>
        </w:numPr>
        <w:pStyle w:val="Compact"/>
      </w:pPr>
      <w:r>
        <w:rPr>
          <w:bCs/>
          <w:b/>
        </w:rPr>
        <w:t xml:space="preserve">Retrain only above the threshold, and not at every upgrade.</w:t>
      </w:r>
      <w:r>
        <w:t xml:space="preserve"> </w:t>
      </w:r>
      <w:r>
        <w:t xml:space="preserve">Retraining is optimal only for assets whose value exceeds</w:t>
      </w:r>
      <w:r>
        <w:t xml:space="preserve"> </w:t>
      </w:r>
      <m:oMath>
        <m:sSup>
          <m:e>
            <m:r>
              <m:t>v</m:t>
            </m:r>
          </m:e>
          <m:sup>
            <m:r>
              <m:rPr>
                <m:sty m:val="p"/>
              </m:rPr>
              <m:t>*</m:t>
            </m:r>
          </m:sup>
        </m:sSup>
      </m:oMath>
      <w:r>
        <w:t xml:space="preserve">, which is higher than the NPV threshold and rises with upgrade intensity and volatility (Proposition 1). Triage the portfolio by value relative to retraining cost, and let the platform’s estimated</w:t>
      </w:r>
      <w:r>
        <w:t xml:space="preserve"> </w:t>
      </w:r>
      <m:oMath>
        <m:r>
          <m:t>μ</m:t>
        </m:r>
      </m:oMath>
      <w:r>
        <w:t xml:space="preserve"> </w:t>
      </w:r>
      <w:r>
        <w:t xml:space="preserve">set the boundaries: copy below a high cutoff, retrain above it.</w:t>
      </w:r>
    </w:p>
    <w:p>
      <w:pPr>
        <w:numPr>
          <w:ilvl w:val="0"/>
          <w:numId w:val="1001"/>
        </w:numPr>
        <w:pStyle w:val="Compact"/>
      </w:pPr>
      <w:r>
        <w:rPr>
          <w:bCs/>
          <w:b/>
        </w:rPr>
        <w:t xml:space="preserve">Buy transfer tools only against a measured</w:t>
      </w:r>
      <w:r>
        <w:rPr>
          <w:bCs/>
          <w:b/>
        </w:rPr>
        <w:t xml:space="preserve"> </w:t>
      </w:r>
      <m:oMath>
        <m:r>
          <m:t>Γ</m:t>
        </m:r>
      </m:oMath>
      <w:r>
        <w:rPr>
          <w:bCs/>
          <w:b/>
        </w:rPr>
        <w:t xml:space="preserve">.</w:t>
      </w:r>
      <w:r>
        <w:t xml:space="preserve"> </w:t>
      </w:r>
      <w:r>
        <w:t xml:space="preserve">A costly tool can pay only in an intermediate band, and only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That inequality failed in nine of the ten pairs we tested (for the four larger pairs, against the cost ratio of 0.36 measured on the smaller models, since we did not measure CPU costs at that scale). It held only for a large upgrade of a 160M-parameter model, where copy recovered 40 percent. Test copy first on a sample of adapters; if it already recovers most of the gain, do not buy.</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(Proposition 4a).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and time.</w:t>
      </w:r>
      <w:r>
        <w:t xml:space="preserve"> </w:t>
      </w:r>
      <w:r>
        <w:t xml:space="preserve">If owners separate into frontier and stable platforms, park high-value and regulated adapters on the stable line and mid-value adapters on the frontier line. When the next dated release is near, defer retraining of adapters that sit close to</w:t>
      </w:r>
      <w:r>
        <w:t xml:space="preserve"> </w:t>
      </w:r>
      <m:oMath>
        <m:sSup>
          <m:e>
            <m:r>
              <m:t>v</m:t>
            </m:r>
          </m:e>
          <m:sup>
            <m:r>
              <m:rPr>
                <m:sty m:val="p"/>
              </m:rPr>
              <m:t>*</m:t>
            </m:r>
          </m:sup>
        </m:sSup>
      </m:oMath>
      <w:r>
        <w:t xml:space="preserve">.</w:t>
      </w:r>
    </w:p>
    <w:bookmarkEnd w:id="52"/>
    <w:bookmarkStart w:id="53"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3B parameters, one task, five seeds, float32 on one GPU);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4(a) is whether the introduction of owner-provided migration tooling predicts a subsequent change in release frequency.</w:t>
      </w:r>
    </w:p>
    <w:bookmarkEnd w:id="53"/>
    <w:bookmarkEnd w:id="54"/>
    <w:bookmarkStart w:id="55" w:name="conclusion"/>
    <w:p>
      <w:pPr>
        <w:pStyle w:val="Heading2"/>
      </w:pPr>
      <w:r>
        <w:t xml:space="preserve">9. Conclusion</w:t>
      </w:r>
    </w:p>
    <w:p>
      <w:pPr>
        <w:pStyle w:val="FirstParagraph"/>
      </w:pPr>
      <w:r>
        <w:t xml:space="preserve">The paper’s practical message is a default, free copy, and its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55"/>
    <w:bookmarkStart w:id="56"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6"/>
    <w:bookmarkStart w:id="57" w:name="Xa9655facc0fef39d2d1857b7da2b9b7690d1ce1"/>
    <w:p>
      <w:pPr>
        <w:pStyle w:val="Heading2"/>
      </w:pPr>
      <w:r>
        <w:t xml:space="preserve">Appendix A. Proofs of Propositions 1 to 6</w:t>
      </w:r>
    </w:p>
    <w:p>
      <w:pPr>
        <w:pStyle w:val="FirstParagraph"/>
      </w:pPr>
      <w:r>
        <w:rPr>
          <w:bCs/>
          <w:b/>
        </w:rPr>
        <w:t xml:space="preserve">Proof of Proposition 1.</w:t>
      </w:r>
      <w:r>
        <w:t xml:space="preserve"> </w:t>
      </w:r>
      <w:r>
        <w:t xml:space="preserve">(a) 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p>
    <w:p>
      <w:pPr>
        <w:numPr>
          <w:ilvl w:val="0"/>
          <w:numId w:val="1002"/>
        </w:numPr>
        <w:pStyle w:val="Compact"/>
      </w:pP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FirstParagraph"/>
      </w:pPr>
      <w:r>
        <w:rPr>
          <w:bCs/>
          <w:b/>
        </w:rPr>
        <w:t xml:space="preserve">Proof of Proposition 2.</w:t>
      </w:r>
      <w:r>
        <w:t xml:space="preserve"> </w:t>
      </w:r>
      <w:r>
        <w:t xml:space="preserve">(a) 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(b)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3.</w:t>
      </w:r>
      <w:r>
        <w:t xml:space="preserve"> </w:t>
      </w:r>
      <w:r>
        <w:t xml:space="preserve">(a) 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p>
    <w:p>
      <w:pPr>
        <w:numPr>
          <w:ilvl w:val="0"/>
          <w:numId w:val="1003"/>
        </w:numPr>
        <w:pStyle w:val="Compact"/>
      </w:pP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FirstParagraph"/>
      </w:pPr>
      <w:r>
        <w:rPr>
          <w:bCs/>
          <w:b/>
        </w:rPr>
        <w:t xml:space="preserve">Proof of Proposition 4.</w:t>
      </w:r>
      <w:r>
        <w:t xml:space="preserve"> </w:t>
      </w:r>
      <w:r>
        <w:t xml:space="preserve">(a)</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Both terms vanish if no firm transfers or no firm retrains.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 </w:t>
      </w:r>
      <w:r>
        <w:t xml:space="preserve">when</w:t>
      </w:r>
      <w:r>
        <w:t xml:space="preserve"> </w:t>
      </w:r>
      <m:oMath>
        <m:r>
          <m:t>F</m:t>
        </m:r>
      </m:oMath>
      <w:r>
        <w:t xml:space="preserve"> </w:t>
      </w:r>
      <w:r>
        <w:t xml:space="preserve">puts mass on both sides of</w:t>
      </w:r>
      <w:r>
        <w:t xml:space="preserve"> </w:t>
      </w:r>
      <m:oMath>
        <m:acc>
          <m:accPr>
            <m:chr m:val="̂"/>
          </m:accPr>
          <m:e>
            <m:r>
              <m:t>v</m:t>
            </m:r>
          </m:e>
        </m:acc>
      </m:oMath>
      <w:r>
        <w:t xml:space="preserve">.</w:t>
      </w:r>
    </w:p>
    <w:p>
      <w:pPr>
        <w:numPr>
          <w:ilvl w:val="0"/>
          <w:numId w:val="1004"/>
        </w:numPr>
        <w:pStyle w:val="Compact"/>
      </w:pP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part (a).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FirstParagraph"/>
      </w:pPr>
      <w:r>
        <w:rPr>
          <w:bCs/>
          <w:b/>
        </w:rPr>
        <w:t xml:space="preserve">Proof of Proposition 5.</w:t>
      </w:r>
      <w:r>
        <w:t xml:space="preserve"> </w:t>
      </w:r>
      <w:r>
        <w:t xml:space="preserve">(a), (b), (c) 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p>
    <w:p>
      <w:pPr>
        <w:numPr>
          <w:ilvl w:val="0"/>
          <w:numId w:val="1005"/>
        </w:numPr>
        <w:pStyle w:val="Compact"/>
      </w:pP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part (b)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FirstParagraph"/>
      </w:pPr>
      <w:r>
        <w:rPr>
          <w:bCs/>
          <w:b/>
        </w:rPr>
        <w:t xml:space="preserve">Proof of Proposition 6.</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4.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Numerical Finding 1 is a grid search, not a proof. The two-period switching extension in Section 7.3 is a first-order characterization, not an equilibrium existence theorem.</w:t>
      </w:r>
    </w:p>
    <w:bookmarkEnd w:id="57"/>
    <w:bookmarkStart w:id="58" w:name="appendix-b.-additional-results"/>
    <w:p>
      <w:pPr>
        <w:pStyle w:val="Heading2"/>
      </w:pPr>
      <w:r>
        <w:t xml:space="preserve">Appendix B. Additional Results</w:t>
      </w:r>
    </w:p>
    <w:p>
      <w:pPr>
        <w:pStyle w:val="FirstParagraph"/>
      </w:pPr>
      <w:r>
        <w:rPr>
          <w:bCs/>
          <w:b/>
        </w:rPr>
        <w:t xml:space="preserve">Proposition B1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p>
      <w:pPr>
        <w:pStyle w:val="BodyText"/>
      </w:pPr>
      <w:r>
        <w:rPr>
          <w:iCs/>
          <w:i/>
        </w:rPr>
        <w:t xml:space="preserve">Proof.</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4(a),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bookmarkEnd w:id="58"/>
    <w:bookmarkStart w:id="59" w:name="X0f31936179fd3bd470ed8a078b91c99dbb3660c"/>
    <w:p>
      <w:pPr>
        <w:pStyle w:val="Heading2"/>
      </w:pPr>
      <w:r>
        <w:t xml:space="preserve">Appendix C.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Table C.1 covers 160M to 0.5B parameters and Table C.2 covers 1.4B to 3B parameters; all pairs use one task (GSM8K), and a short training budget (500 training problems, 300 steps). Each pair was run with five seeds (0 to 4) on a single GPU in float32; the seed resamples the training and calibration rows and the training order, and the 200 evaluation rows are fixed.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pct" w:w="5000"/>
        <w:tblLook w:firstRow="1" w:lastRow="0" w:firstColumn="0" w:lastColumn="0" w:noHBand="0" w:noVBand="0" w:val="0020"/>
        <w:jc w:val="start"/>
      </w:tblPr>
      <w:tblGrid>
        <w:gridCol w:w="1377"/>
        <w:gridCol w:w="1721"/>
        <w:gridCol w:w="1721"/>
        <w:gridCol w:w="1721"/>
        <w:gridCol w:w="1377"/>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center"/>
            </w:pPr>
            <w:r>
              <w:t xml:space="preserve">0.948 [0.929, 0.967]</w:t>
            </w:r>
          </w:p>
        </w:tc>
        <w:tc>
          <w:tcPr/>
          <w:p>
            <w:pPr>
              <w:pStyle w:val="Compact"/>
              <w:jc w:val="center"/>
            </w:pPr>
            <w:r>
              <w:t xml:space="preserve">0.944 [0.921, 0.967]</w:t>
            </w:r>
          </w:p>
        </w:tc>
        <w:tc>
          <w:tcPr/>
          <w:p>
            <w:pPr>
              <w:pStyle w:val="Compact"/>
              <w:jc w:val="center"/>
            </w:pPr>
            <w:r>
              <w:t xml:space="preserve">0 of 5</w:t>
            </w:r>
          </w:p>
        </w:tc>
        <w:tc>
          <w:tcPr/>
          <w:p>
            <w:pPr>
              <w:pStyle w:val="Compact"/>
              <w:jc w:val="right"/>
            </w:pPr>
            <w:r>
              <w:t xml:space="preserve">0.377</w:t>
            </w:r>
          </w:p>
        </w:tc>
      </w:tr>
      <w:tr>
        <w:tc>
          <w:tcPr/>
          <w:p>
            <w:pPr>
              <w:pStyle w:val="Compact"/>
              <w:jc w:val="left"/>
            </w:pPr>
            <w:r>
              <w:t xml:space="preserve">Pythia-160M, +30k steps</w:t>
            </w:r>
          </w:p>
        </w:tc>
        <w:tc>
          <w:tcPr/>
          <w:p>
            <w:pPr>
              <w:pStyle w:val="Compact"/>
              <w:jc w:val="center"/>
            </w:pPr>
            <w:r>
              <w:t xml:space="preserve">0.923 [0.902, 0.944]</w:t>
            </w:r>
          </w:p>
        </w:tc>
        <w:tc>
          <w:tcPr/>
          <w:p>
            <w:pPr>
              <w:pStyle w:val="Compact"/>
              <w:jc w:val="center"/>
            </w:pPr>
            <w:r>
              <w:t xml:space="preserve">0.936 [0.916, 0.956]</w:t>
            </w:r>
          </w:p>
        </w:tc>
        <w:tc>
          <w:tcPr/>
          <w:p>
            <w:pPr>
              <w:pStyle w:val="Compact"/>
              <w:jc w:val="center"/>
            </w:pPr>
            <w:r>
              <w:t xml:space="preserve">5 of 5</w:t>
            </w:r>
          </w:p>
        </w:tc>
        <w:tc>
          <w:tcPr/>
          <w:p>
            <w:pPr>
              <w:pStyle w:val="Compact"/>
              <w:jc w:val="right"/>
            </w:pPr>
            <w:r>
              <w:t xml:space="preserve">0.348</w:t>
            </w:r>
          </w:p>
        </w:tc>
      </w:tr>
      <w:tr>
        <w:tc>
          <w:tcPr/>
          <w:p>
            <w:pPr>
              <w:pStyle w:val="Compact"/>
              <w:jc w:val="left"/>
            </w:pPr>
            <w:r>
              <w:t xml:space="preserve">Pythia-160M, +70k steps</w:t>
            </w:r>
          </w:p>
        </w:tc>
        <w:tc>
          <w:tcPr/>
          <w:p>
            <w:pPr>
              <w:pStyle w:val="Compact"/>
              <w:jc w:val="center"/>
            </w:pPr>
            <w:r>
              <w:t xml:space="preserve">0.404 [0.309, 0.499]</w:t>
            </w:r>
          </w:p>
        </w:tc>
        <w:tc>
          <w:tcPr/>
          <w:p>
            <w:pPr>
              <w:pStyle w:val="Compact"/>
              <w:jc w:val="center"/>
            </w:pPr>
            <w:r>
              <w:t xml:space="preserve">0.725 [0.643, 0.806]</w:t>
            </w:r>
          </w:p>
        </w:tc>
        <w:tc>
          <w:tcPr/>
          <w:p>
            <w:pPr>
              <w:pStyle w:val="Compact"/>
              <w:jc w:val="center"/>
            </w:pPr>
            <w:r>
              <w:t xml:space="preserve">5 of 5</w:t>
            </w:r>
          </w:p>
        </w:tc>
        <w:tc>
          <w:tcPr/>
          <w:p>
            <w:pPr>
              <w:pStyle w:val="Compact"/>
              <w:jc w:val="right"/>
            </w:pPr>
            <w:r>
              <w:t xml:space="preserve">0.359</w:t>
            </w:r>
          </w:p>
        </w:tc>
      </w:tr>
      <w:tr>
        <w:tc>
          <w:tcPr/>
          <w:p>
            <w:pPr>
              <w:pStyle w:val="Compact"/>
              <w:jc w:val="left"/>
            </w:pPr>
            <w:r>
              <w:t xml:space="preserve">SmolLM2-360M, Base → Instruct</w:t>
            </w:r>
          </w:p>
        </w:tc>
        <w:tc>
          <w:tcPr/>
          <w:p>
            <w:pPr>
              <w:pStyle w:val="Compact"/>
              <w:jc w:val="center"/>
            </w:pPr>
            <w:r>
              <w:t xml:space="preserve">0.734 [0.702, 0.767]</w:t>
            </w:r>
          </w:p>
        </w:tc>
        <w:tc>
          <w:tcPr/>
          <w:p>
            <w:pPr>
              <w:pStyle w:val="Compact"/>
              <w:jc w:val="center"/>
            </w:pPr>
            <w:r>
              <w:t xml:space="preserve">0.734 [0.694, 0.775]</w:t>
            </w:r>
          </w:p>
        </w:tc>
        <w:tc>
          <w:tcPr/>
          <w:p>
            <w:pPr>
              <w:pStyle w:val="Compact"/>
              <w:jc w:val="center"/>
            </w:pPr>
            <w:r>
              <w:t xml:space="preserve">1 of 5</w:t>
            </w:r>
          </w:p>
        </w:tc>
        <w:tc>
          <w:tcPr/>
          <w:p>
            <w:pPr>
              <w:pStyle w:val="Compact"/>
              <w:jc w:val="right"/>
            </w:pPr>
            <w:r>
              <w:t xml:space="preserve">0.612</w:t>
            </w:r>
          </w:p>
        </w:tc>
      </w:tr>
      <w:tr>
        <w:tc>
          <w:tcPr/>
          <w:p>
            <w:pPr>
              <w:pStyle w:val="Compact"/>
              <w:jc w:val="left"/>
            </w:pPr>
            <w:r>
              <w:t xml:space="preserve">Qwen2.5-0.5B, Base → Instruct</w:t>
            </w:r>
          </w:p>
        </w:tc>
        <w:tc>
          <w:tcPr/>
          <w:p>
            <w:pPr>
              <w:pStyle w:val="Compact"/>
              <w:jc w:val="center"/>
            </w:pPr>
            <w:r>
              <w:t xml:space="preserve">0.745 [0.571, 0.919]</w:t>
            </w:r>
          </w:p>
        </w:tc>
        <w:tc>
          <w:tcPr/>
          <w:p>
            <w:pPr>
              <w:pStyle w:val="Compact"/>
              <w:jc w:val="center"/>
            </w:pPr>
            <w:r>
              <w:t xml:space="preserve">0.782 [0.613, 0.951]</w:t>
            </w:r>
          </w:p>
        </w:tc>
        <w:tc>
          <w:tcPr/>
          <w:p>
            <w:pPr>
              <w:pStyle w:val="Compact"/>
              <w:jc w:val="center"/>
            </w:pPr>
            <w:r>
              <w:t xml:space="preserve">5 of 5</w:t>
            </w:r>
          </w:p>
        </w:tc>
        <w:tc>
          <w:tcPr/>
          <w:p>
            <w:pPr>
              <w:pStyle w:val="Compact"/>
              <w:jc w:val="right"/>
            </w:pPr>
            <w:r>
              <w:t xml:space="preserve">0.433</w:t>
            </w:r>
          </w:p>
        </w:tc>
      </w:tr>
    </w:tbl>
    <w:p>
      <w:pPr>
        <w:pStyle w:val="BodyText"/>
      </w:pPr>
      <w:r>
        <w:rPr>
          <w:iCs/>
          <w:i/>
        </w:rPr>
        <w:t xml:space="preserve">Table C.1. Recovery rates over five seeds and compute-only cost ratios on five open model pairs.</w:t>
      </w:r>
      <w:r>
        <w:t xml:space="preserve"> </w:t>
      </w:r>
      <w:r>
        <w:t xml:space="preserve">The cost ratios are wall-clock ratios from CPU runs (seed 0 for the Pythia +10k and +70k pairs; the other three from a single earlier CPU run), because on a GPU the fixed overhead of the calibration method dominates and the ratio is not informative. Recovery on CPU with seed 0 is 0.940 and 0.941 for Pythia +10k and 0.242 and 0.584 for Pythia +70k (copy and calibration method), so the recovery estimates do not depend on the device beyond the sampling spread; the large-upgrade copy recovery has the widest spread across seeds (0.31 to 0.51 on GPU).</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p>
      <w:pPr>
        <w:pStyle w:val="BodyText"/>
      </w:pPr>
      <w:r>
        <w:rPr>
          <w:bCs/>
          <w:b/>
        </w:rPr>
        <w:t xml:space="preserve">Larger models.</w:t>
      </w:r>
      <w:r>
        <w:t xml:space="preserve"> </w:t>
      </w:r>
      <w:r>
        <w:t xml:space="preserve">Table C.2 repeats the design with 1.4B to 3B parameters, using the same task, hyperparameters, and float32 precision. Seeds run on one GPU; the Qwen2.5-3B pair has four seeds because the fifth was cut off by the time limit of the run.</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center"/>
            </w:pPr>
            <w:r>
              <w:t xml:space="preserve">NLL: none / retrain</w:t>
            </w:r>
          </w:p>
        </w:tc>
      </w:tr>
      <w:tr>
        <w:tc>
          <w:tcPr/>
          <w:p>
            <w:pPr>
              <w:pStyle w:val="Compact"/>
              <w:jc w:val="left"/>
            </w:pPr>
            <w:r>
              <w:t xml:space="preserve">Pythia-1.4B, +10k steps</w:t>
            </w:r>
          </w:p>
        </w:tc>
        <w:tc>
          <w:tcPr/>
          <w:p>
            <w:pPr>
              <w:pStyle w:val="Compact"/>
              <w:jc w:val="center"/>
            </w:pPr>
            <w:r>
              <w:t xml:space="preserve">0.987 [0.947, 1.028]</w:t>
            </w:r>
          </w:p>
        </w:tc>
        <w:tc>
          <w:tcPr/>
          <w:p>
            <w:pPr>
              <w:pStyle w:val="Compact"/>
              <w:jc w:val="center"/>
            </w:pPr>
            <w:r>
              <w:t xml:space="preserve">0.991 [0.952, 1.030]</w:t>
            </w:r>
          </w:p>
        </w:tc>
        <w:tc>
          <w:tcPr/>
          <w:p>
            <w:pPr>
              <w:pStyle w:val="Compact"/>
              <w:jc w:val="center"/>
            </w:pPr>
            <w:r>
              <w:t xml:space="preserve">5 of 5</w:t>
            </w:r>
          </w:p>
        </w:tc>
        <w:tc>
          <w:tcPr/>
          <w:p>
            <w:pPr>
              <w:pStyle w:val="Compact"/>
              <w:jc w:val="center"/>
            </w:pPr>
            <w:r>
              <w:t xml:space="preserve">2.06 / 0.99 to 1.02</w:t>
            </w:r>
          </w:p>
        </w:tc>
      </w:tr>
      <w:tr>
        <w:tc>
          <w:tcPr/>
          <w:p>
            <w:pPr>
              <w:pStyle w:val="Compact"/>
              <w:jc w:val="left"/>
            </w:pPr>
            <w:r>
              <w:t xml:space="preserve">Pythia-1.4B, +70k steps</w:t>
            </w:r>
          </w:p>
        </w:tc>
        <w:tc>
          <w:tcPr/>
          <w:p>
            <w:pPr>
              <w:pStyle w:val="Compact"/>
              <w:jc w:val="center"/>
            </w:pPr>
            <w:r>
              <w:t xml:space="preserve">0.786 [0.722, 0.850]</w:t>
            </w:r>
          </w:p>
        </w:tc>
        <w:tc>
          <w:tcPr/>
          <w:p>
            <w:pPr>
              <w:pStyle w:val="Compact"/>
              <w:jc w:val="center"/>
            </w:pPr>
            <w:r>
              <w:t xml:space="preserve">0.809 [0.754, 0.863]</w:t>
            </w:r>
          </w:p>
        </w:tc>
        <w:tc>
          <w:tcPr/>
          <w:p>
            <w:pPr>
              <w:pStyle w:val="Compact"/>
              <w:jc w:val="center"/>
            </w:pPr>
            <w:r>
              <w:t xml:space="preserve">5 of 5</w:t>
            </w:r>
          </w:p>
        </w:tc>
        <w:tc>
          <w:tcPr/>
          <w:p>
            <w:pPr>
              <w:pStyle w:val="Compact"/>
              <w:jc w:val="center"/>
            </w:pPr>
            <w:r>
              <w:t xml:space="preserve">2.06 / 0.97 to 1.03</w:t>
            </w:r>
          </w:p>
        </w:tc>
      </w:tr>
      <w:tr>
        <w:tc>
          <w:tcPr/>
          <w:p>
            <w:pPr>
              <w:pStyle w:val="Compact"/>
              <w:jc w:val="left"/>
            </w:pPr>
            <w:r>
              <w:t xml:space="preserve">Qwen2.5-1.5B, Base → Instruct</w:t>
            </w:r>
          </w:p>
        </w:tc>
        <w:tc>
          <w:tcPr/>
          <w:p>
            <w:pPr>
              <w:pStyle w:val="Compact"/>
              <w:jc w:val="center"/>
            </w:pPr>
            <w:r>
              <w:t xml:space="preserve">0.810 [0.584, 1.036]</w:t>
            </w:r>
          </w:p>
        </w:tc>
        <w:tc>
          <w:tcPr/>
          <w:p>
            <w:pPr>
              <w:pStyle w:val="Compact"/>
              <w:jc w:val="center"/>
            </w:pPr>
            <w:r>
              <w:t xml:space="preserve">0.822 [0.590, 1.055]</w:t>
            </w:r>
          </w:p>
        </w:tc>
        <w:tc>
          <w:tcPr/>
          <w:p>
            <w:pPr>
              <w:pStyle w:val="Compact"/>
              <w:jc w:val="center"/>
            </w:pPr>
            <w:r>
              <w:t xml:space="preserve">5 of 5</w:t>
            </w:r>
          </w:p>
        </w:tc>
        <w:tc>
          <w:tcPr/>
          <w:p>
            <w:pPr>
              <w:pStyle w:val="Compact"/>
              <w:jc w:val="center"/>
            </w:pPr>
            <w:r>
              <w:t xml:space="preserve">0.87 / 0.58 to 0.64</w:t>
            </w:r>
          </w:p>
        </w:tc>
      </w:tr>
      <w:tr>
        <w:tc>
          <w:tcPr/>
          <w:p>
            <w:pPr>
              <w:pStyle w:val="Compact"/>
              <w:jc w:val="left"/>
            </w:pPr>
            <w:r>
              <w:t xml:space="preserve">Qwen2.5-3B, Base → Instruct (4 seeds)</w:t>
            </w:r>
          </w:p>
        </w:tc>
        <w:tc>
          <w:tcPr/>
          <w:p>
            <w:pPr>
              <w:pStyle w:val="Compact"/>
              <w:jc w:val="center"/>
            </w:pPr>
            <w:r>
              <w:t xml:space="preserve">0.645 [0.396, 0.895]</w:t>
            </w:r>
          </w:p>
        </w:tc>
        <w:tc>
          <w:tcPr/>
          <w:p>
            <w:pPr>
              <w:pStyle w:val="Compact"/>
              <w:jc w:val="center"/>
            </w:pPr>
            <w:r>
              <w:t xml:space="preserve">0.625 [0.362, 0.888]</w:t>
            </w:r>
          </w:p>
        </w:tc>
        <w:tc>
          <w:tcPr/>
          <w:p>
            <w:pPr>
              <w:pStyle w:val="Compact"/>
              <w:jc w:val="center"/>
            </w:pPr>
            <w:r>
              <w:t xml:space="preserve">0 of 4</w:t>
            </w:r>
          </w:p>
        </w:tc>
        <w:tc>
          <w:tcPr/>
          <w:p>
            <w:pPr>
              <w:pStyle w:val="Compact"/>
              <w:jc w:val="center"/>
            </w:pPr>
            <w:r>
              <w:t xml:space="preserve">1.20 / 0.63 to 0.66</w:t>
            </w:r>
          </w:p>
        </w:tc>
      </w:tr>
      <w:tr>
        <w:tc>
          <w:tcPr/>
          <w:p>
            <w:pPr>
              <w:pStyle w:val="Compact"/>
              <w:jc w:val="left"/>
            </w:pPr>
            <w:r>
              <w:t xml:space="preserve">SmolLM2-1.7B, Base → Instruct</w:t>
            </w:r>
          </w:p>
        </w:tc>
        <w:tc>
          <w:tcPr/>
          <w:p>
            <w:pPr>
              <w:pStyle w:val="Compact"/>
              <w:jc w:val="center"/>
            </w:pPr>
            <w:r>
              <w:t xml:space="preserve">−1.316 [−1.787, −0.846]</w:t>
            </w:r>
          </w:p>
        </w:tc>
        <w:tc>
          <w:tcPr/>
          <w:p>
            <w:pPr>
              <w:pStyle w:val="Compact"/>
              <w:jc w:val="center"/>
            </w:pPr>
            <w:r>
              <w:t xml:space="preserve">−1.449 [−1.987, −0.911]</w:t>
            </w:r>
          </w:p>
        </w:tc>
        <w:tc>
          <w:tcPr/>
          <w:p>
            <w:pPr>
              <w:pStyle w:val="Compact"/>
              <w:jc w:val="center"/>
            </w:pPr>
            <w:r>
              <w:t xml:space="preserve">0 of 5</w:t>
            </w:r>
          </w:p>
        </w:tc>
        <w:tc>
          <w:tcPr/>
          <w:p>
            <w:pPr>
              <w:pStyle w:val="Compact"/>
              <w:jc w:val="center"/>
            </w:pPr>
            <w:r>
              <w:t xml:space="preserve">0.68 / 0.59 to 0.61</w:t>
            </w:r>
          </w:p>
        </w:tc>
      </w:tr>
    </w:tbl>
    <w:p>
      <w:pPr>
        <w:pStyle w:val="BodyText"/>
      </w:pPr>
      <w:r>
        <w:rPr>
          <w:iCs/>
          <w:i/>
        </w:rPr>
        <w:t xml:space="preserve">Table C.2. Recovery rates over five seeds on larger model pairs.</w:t>
      </w:r>
      <w:r>
        <w:t xml:space="preserve"> </w:t>
      </w:r>
      <w:r>
        <w:t xml:space="preserve">Recovery above one is sampling noise around full recovery. For SmolLM2-1.7B the copied adapter has higher held-out loss (about 0.77) than the target without any adapter (0.677), and the retraining gain is only about 0.08, so the ratio is large and negative; in the model this pair has</w:t>
      </w:r>
      <w:r>
        <w:t xml:space="preserve"> </w:t>
      </w:r>
      <m:oMath>
        <m:sSub>
          <m:e>
            <m:r>
              <m:t>R</m:t>
            </m:r>
          </m:e>
          <m:sub>
            <m:r>
              <m:t>C</m:t>
            </m:r>
          </m:sub>
        </m:sSub>
        <m:r>
          <m:rPr>
            <m:sty m:val="p"/>
          </m:rPr>
          <m:t>=</m:t>
        </m:r>
        <m:sSub>
          <m:e>
            <m:r>
              <m:t>R</m:t>
            </m:r>
          </m:e>
          <m:sub>
            <m:r>
              <m:t>A</m:t>
            </m:r>
          </m:sub>
        </m:sSub>
        <m:r>
          <m:rPr>
            <m:sty m:val="p"/>
          </m:rPr>
          <m:t>=</m:t>
        </m:r>
        <m:r>
          <m:t>0</m:t>
        </m:r>
      </m:oMath>
      <w:r>
        <w:t xml:space="preserve">. The wall-clock cost ratios of these runs are not reported because on a GPU they are dominated by fixed overhead; a CPU measurement at this scale was not run.</w:t>
      </w:r>
    </w:p>
    <w:bookmarkEnd w:id="59"/>
    <w:bookmarkStart w:id="60" w:name="appendix-d.-date-verification"/>
    <w:p>
      <w:pPr>
        <w:pStyle w:val="Heading2"/>
      </w:pPr>
      <w:r>
        <w:t xml:space="preserve">Appendix D.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60"/>
    <w:bookmarkStart w:id="61" w:name="appendix-e.-replication-materials"/>
    <w:p>
      <w:pPr>
        <w:pStyle w:val="Heading2"/>
      </w:pPr>
      <w:r>
        <w:t xml:space="preserve">Appendix E.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C. The package also contains the multi-seed driver, the aggregation script, the parameter-grid script of Appendix F, and the per-seed result files. No proprietary or subscription data are used. An anonymized copy of the package will be provided to reviewers on request.</w:t>
      </w:r>
    </w:p>
    <w:bookmarkEnd w:id="61"/>
    <w:bookmarkStart w:id="62" w:name="Xcbfed8b408a7ad6d0ef111d1d5dafab9d9b8a72"/>
    <w:p>
      <w:pPr>
        <w:pStyle w:val="Heading2"/>
      </w:pPr>
      <w:r>
        <w:t xml:space="preserve">Appendix F. Parameter Grid and Alternative Distributions</w:t>
      </w:r>
    </w:p>
    <w:p>
      <w:pPr>
        <w:pStyle w:val="FirstParagraph"/>
      </w:pPr>
      <w:r>
        <w:t xml:space="preserve">Grid:</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w:t>
      </w:r>
      <w:r>
        <w:t xml:space="preserve"> </w:t>
      </w:r>
      <m:oMath>
        <m:sSub>
          <m:e>
            <m:r>
              <m:t>C</m:t>
            </m:r>
          </m:e>
          <m:sub>
            <m:r>
              <m:t>N</m:t>
            </m:r>
          </m:sub>
        </m:sSub>
        <m:r>
          <m:rPr>
            <m:sty m:val="p"/>
          </m:rPr>
          <m:t>=</m:t>
        </m:r>
        <m:r>
          <m:t>1</m:t>
        </m:r>
      </m:oMath>
      <w:r>
        <w:t xml:space="preserve">,</w:t>
      </w:r>
      <w:r>
        <w:t xml:space="preserve"> </w:t>
      </w:r>
      <m:oMath>
        <m:r>
          <m:t>n</m:t>
        </m:r>
        <m:r>
          <m:rPr>
            <m:sty m:val="p"/>
          </m:rPr>
          <m:t>=</m:t>
        </m:r>
        <m:r>
          <m:t>1</m:t>
        </m:r>
      </m:oMath>
      <w:r>
        <w:t xml:space="preserve">; all value distributions have mean 20. A cell is valid if the owner’s and the planner’s objectives are concave on the whole intensity grid and both maximizers are interior. Cells that fail concavity violate the hypothesis of Propositions 3(b) and 5(d); cells with a corner solution are those in which the owner prefers no release at all or the maximizer lies at the upper end of the grid. Slopes are computed between adjacent</w:t>
      </w:r>
      <w:r>
        <w:t xml:space="preserve"> </w:t>
      </w:r>
      <m:oMath>
        <m:r>
          <m:t>R</m:t>
        </m:r>
      </m:oMath>
      <w:r>
        <w:t xml:space="preserve"> </w:t>
      </w:r>
      <w:r>
        <w:t xml:space="preserve">values;</w:t>
      </w:r>
      <w:r>
        <w:t xml:space="preserve"> </w:t>
      </w:r>
      <w:r>
        <w:t xml:space="preserve">“</w:t>
      </w:r>
      <w:r>
        <w:t xml:space="preserve">Zero</w:t>
      </w:r>
      <w:r>
        <w:t xml:space="preserve">”</w:t>
      </w:r>
      <w:r>
        <w:t xml:space="preserve"> </w:t>
      </w:r>
      <w:r>
        <w:t xml:space="preserve">means an absolute slope below</w:t>
      </w:r>
      <w:r>
        <w:t xml:space="preserve"> </w:t>
      </w:r>
      <m:oMath>
        <m:sSup>
          <m:e>
            <m:r>
              <m:t>10</m:t>
            </m:r>
          </m:e>
          <m:sup>
            <m:r>
              <m:rPr>
                <m:sty m:val="p"/>
              </m:rPr>
              <m:t>−</m:t>
            </m:r>
            <m:r>
              <m:t>6</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Distribution</w:t>
            </w:r>
          </w:p>
        </w:tc>
        <w:tc>
          <w:tcPr/>
          <w:p>
            <w:pPr>
              <w:pStyle w:val="Compact"/>
              <w:jc w:val="right"/>
            </w:pPr>
            <w:r>
              <w:t xml:space="preserve">Valid cells</w:t>
            </w:r>
          </w:p>
        </w:tc>
        <w:tc>
          <w:tcPr/>
          <w:p>
            <w:pPr>
              <w:pStyle w:val="Compact"/>
              <w:jc w:val="right"/>
            </w:pPr>
            <m:oMath>
              <m:r>
                <m:t>d</m:t>
              </m:r>
              <m:sSub>
                <m:e>
                  <m:r>
                    <m:t>μ</m:t>
                  </m:r>
                </m:e>
                <m:sub>
                  <m:r>
                    <m:t>V</m:t>
                  </m:r>
                </m:sub>
              </m:sSub>
              <m:r>
                <m:rPr>
                  <m:sty m:val="p"/>
                </m:rPr>
                <m:t>/</m:t>
              </m:r>
              <m:r>
                <m:t>d</m:t>
              </m:r>
              <m:r>
                <m:t>R</m:t>
              </m:r>
              <m:r>
                <m:rPr>
                  <m:sty m:val="p"/>
                </m:rPr>
                <m:t>&gt;</m:t>
              </m:r>
              <m:r>
                <m:t>0</m:t>
              </m:r>
            </m:oMath>
          </w:p>
        </w:tc>
        <w:tc>
          <w:tcPr/>
          <w:p>
            <w:pPr>
              <w:pStyle w:val="Compact"/>
              <w:jc w:val="right"/>
            </w:pPr>
            <w:r>
              <w:t xml:space="preserve">Zero</w:t>
            </w:r>
          </w:p>
        </w:tc>
        <w:tc>
          <w:tcPr/>
          <w:p>
            <w:pPr>
              <w:pStyle w:val="Compact"/>
              <w:jc w:val="right"/>
            </w:pPr>
            <w:r>
              <w:t xml:space="preserve">Negative</w:t>
            </w:r>
          </w:p>
        </w:tc>
        <w:tc>
          <w:tcPr/>
          <w:p>
            <w:pPr>
              <w:pStyle w:val="Compact"/>
              <w:jc w:val="right"/>
            </w:pPr>
            <w:r>
              <w:t xml:space="preserve">Over-release share</w:t>
            </w:r>
          </w:p>
        </w:tc>
        <w:tc>
          <w:tcPr/>
          <w:p>
            <w:pPr>
              <w:pStyle w:val="Compact"/>
              <w:jc w:val="right"/>
            </w:pPr>
            <w:r>
              <w:t xml:space="preserve">Criterion agrees</w:t>
            </w:r>
          </w:p>
        </w:tc>
      </w:tr>
      <w:tr>
        <w:tc>
          <w:tcPr/>
          <w:p>
            <w:pPr>
              <w:pStyle w:val="Compact"/>
              <w:jc w:val="left"/>
            </w:pPr>
            <w:r>
              <w:t xml:space="preserve">Uniform [0,40]</w:t>
            </w:r>
          </w:p>
        </w:tc>
        <w:tc>
          <w:tcPr/>
          <w:p>
            <w:pPr>
              <w:pStyle w:val="Compact"/>
              <w:jc w:val="right"/>
            </w:pPr>
            <w:r>
              <w:t xml:space="preserve">1455 of 2700</w:t>
            </w:r>
          </w:p>
        </w:tc>
        <w:tc>
          <w:tcPr/>
          <w:p>
            <w:pPr>
              <w:pStyle w:val="Compact"/>
              <w:jc w:val="right"/>
            </w:pPr>
            <w:r>
              <w:t xml:space="preserve">1203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0.34</w:t>
            </w:r>
          </w:p>
        </w:tc>
        <w:tc>
          <w:tcPr/>
          <w:p>
            <w:pPr>
              <w:pStyle w:val="Compact"/>
              <w:jc w:val="right"/>
            </w:pPr>
            <w:r>
              <w:t xml:space="preserve">1455 of 1455</w:t>
            </w:r>
          </w:p>
        </w:tc>
      </w:tr>
      <w:tr>
        <w:tc>
          <w:tcPr/>
          <w:p>
            <w:pPr>
              <w:pStyle w:val="Compact"/>
              <w:jc w:val="left"/>
            </w:pPr>
            <w:r>
              <w:t xml:space="preserve">Exponential</w:t>
            </w:r>
          </w:p>
        </w:tc>
        <w:tc>
          <w:tcPr/>
          <w:p>
            <w:pPr>
              <w:pStyle w:val="Compact"/>
              <w:jc w:val="right"/>
            </w:pPr>
            <w:r>
              <w:t xml:space="preserve">1300 of 2700</w:t>
            </w:r>
          </w:p>
        </w:tc>
        <w:tc>
          <w:tcPr/>
          <w:p>
            <w:pPr>
              <w:pStyle w:val="Compact"/>
              <w:jc w:val="right"/>
            </w:pPr>
            <w:r>
              <w:t xml:space="preserve">1134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1300 of 1300</w:t>
            </w:r>
          </w:p>
        </w:tc>
      </w:tr>
      <w:tr>
        <w:tc>
          <w:tcPr/>
          <w:p>
            <w:pPr>
              <w:pStyle w:val="Compact"/>
              <w:jc w:val="left"/>
            </w:pPr>
            <w:r>
              <w:t xml:space="preserve">Gamma, shape 3</w:t>
            </w:r>
          </w:p>
        </w:tc>
        <w:tc>
          <w:tcPr/>
          <w:p>
            <w:pPr>
              <w:pStyle w:val="Compact"/>
              <w:jc w:val="right"/>
            </w:pPr>
            <w:r>
              <w:t xml:space="preserve">1185 of 2700</w:t>
            </w:r>
          </w:p>
        </w:tc>
        <w:tc>
          <w:tcPr/>
          <w:p>
            <w:pPr>
              <w:pStyle w:val="Compact"/>
              <w:jc w:val="right"/>
            </w:pPr>
            <w:r>
              <w:t xml:space="preserve">987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1185 of 1185</w:t>
            </w:r>
          </w:p>
        </w:tc>
      </w:tr>
      <w:tr>
        <w:tc>
          <w:tcPr/>
          <w:p>
            <w:pPr>
              <w:pStyle w:val="Compact"/>
              <w:jc w:val="left"/>
            </w:pPr>
            <w:r>
              <w:t xml:space="preserve">Lognormal,</w:t>
            </w:r>
            <w:r>
              <w:t xml:space="preserve"> </w:t>
            </w:r>
            <m:oMath>
              <m:r>
                <m:t>s</m:t>
              </m:r>
              <m:r>
                <m:rPr>
                  <m:sty m:val="p"/>
                </m:rPr>
                <m:t>=</m:t>
              </m:r>
              <m:r>
                <m:t>0.5</m:t>
              </m:r>
            </m:oMath>
          </w:p>
        </w:tc>
        <w:tc>
          <w:tcPr/>
          <w:p>
            <w:pPr>
              <w:pStyle w:val="Compact"/>
              <w:jc w:val="right"/>
            </w:pPr>
            <w:r>
              <w:t xml:space="preserve">1095 of 2700</w:t>
            </w:r>
          </w:p>
        </w:tc>
        <w:tc>
          <w:tcPr/>
          <w:p>
            <w:pPr>
              <w:pStyle w:val="Compact"/>
              <w:jc w:val="right"/>
            </w:pPr>
            <w:r>
              <w:t xml:space="preserve">922</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1095 of 1095</w:t>
            </w:r>
          </w:p>
        </w:tc>
      </w:tr>
      <w:tr>
        <w:tc>
          <w:tcPr/>
          <w:p>
            <w:pPr>
              <w:pStyle w:val="Compact"/>
              <w:jc w:val="left"/>
            </w:pPr>
            <w:r>
              <w:t xml:space="preserve">Lognormal,</w:t>
            </w:r>
            <w:r>
              <w:t xml:space="preserve"> </w:t>
            </w:r>
            <m:oMath>
              <m:r>
                <m:t>s</m:t>
              </m:r>
              <m:r>
                <m:rPr>
                  <m:sty m:val="p"/>
                </m:rPr>
                <m:t>=</m:t>
              </m:r>
              <m:r>
                <m:t>1.0</m:t>
              </m:r>
            </m:oMath>
          </w:p>
        </w:tc>
        <w:tc>
          <w:tcPr/>
          <w:p>
            <w:pPr>
              <w:pStyle w:val="Compact"/>
              <w:jc w:val="right"/>
            </w:pPr>
            <w:r>
              <w:t xml:space="preserve">1098 of 2700</w:t>
            </w:r>
          </w:p>
        </w:tc>
        <w:tc>
          <w:tcPr/>
          <w:p>
            <w:pPr>
              <w:pStyle w:val="Compact"/>
              <w:jc w:val="right"/>
            </w:pPr>
            <w:r>
              <w:t xml:space="preserve">948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0.23</w:t>
            </w:r>
          </w:p>
        </w:tc>
        <w:tc>
          <w:tcPr/>
          <w:p>
            <w:pPr>
              <w:pStyle w:val="Compact"/>
              <w:jc w:val="right"/>
            </w:pPr>
            <w:r>
              <w:t xml:space="preserve">1098 of 1098</w:t>
            </w:r>
          </w:p>
        </w:tc>
      </w:tr>
      <w:tr>
        <w:tc>
          <w:tcPr/>
          <w:p>
            <w:pPr>
              <w:pStyle w:val="Compact"/>
              <w:jc w:val="left"/>
            </w:pPr>
            <w:r>
              <w:t xml:space="preserve">Pareto, tail index 2.5</w:t>
            </w:r>
          </w:p>
        </w:tc>
        <w:tc>
          <w:tcPr/>
          <w:p>
            <w:pPr>
              <w:pStyle w:val="Compact"/>
              <w:jc w:val="right"/>
            </w:pPr>
            <w:r>
              <w:t xml:space="preserve">372 of 2700</w:t>
            </w:r>
          </w:p>
        </w:tc>
        <w:tc>
          <w:tcPr/>
          <w:p>
            <w:pPr>
              <w:pStyle w:val="Compact"/>
              <w:jc w:val="right"/>
            </w:pPr>
            <w:r>
              <w:t xml:space="preserve">18</w:t>
            </w:r>
          </w:p>
        </w:tc>
        <w:tc>
          <w:tcPr/>
          <w:p>
            <w:pPr>
              <w:pStyle w:val="Compact"/>
              <w:jc w:val="right"/>
            </w:pPr>
            <w:r>
              <w:t xml:space="preserve">354</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372 of 372</w:t>
            </w:r>
          </w:p>
        </w:tc>
      </w:tr>
    </w:tbl>
    <w:p>
      <w:pPr>
        <w:pStyle w:val="BodyText"/>
      </w:pPr>
      <w:r>
        <w:rPr>
          <w:iCs/>
          <w:i/>
        </w:rPr>
        <w:t xml:space="preserve">Table F.1. Monopoly results on the parameter grid.</w:t>
      </w:r>
      <w:r>
        <w:t xml:space="preserve"> </w:t>
      </w:r>
      <w:r>
        <w:t xml:space="preserve">The Pareto row has few valid cells because its heavy tail makes the planner’s objective nonconcave in most of the grid; its zero cells are those in which</w:t>
      </w:r>
      <w:r>
        <w:t xml:space="preserve"> </w:t>
      </w:r>
      <m:oMath>
        <m:acc>
          <m:accPr>
            <m:chr m:val="̂"/>
          </m:accPr>
          <m:e>
            <m:r>
              <m:t>v</m:t>
            </m:r>
          </m:e>
        </m:acc>
      </m:oMath>
      <w:r>
        <w:t xml:space="preserve"> </w:t>
      </w:r>
      <w:r>
        <w:t xml:space="preserve">lies below the Pareto lower bound, so that every firm retrains.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Platform Moves Underneath: Maintaining Complementary IT Assets under Endogenous Release Cadence</dc:title>
  <dc:creator/>
  <cp:keywords/>
  <dcterms:created xsi:type="dcterms:W3CDTF">2026-10-29T08:51:02Z</dcterms:created>
  <dcterms:modified xsi:type="dcterms:W3CDTF">2026-10-29T08:51:02Z</dcterms:modified>
</cp:coreProperties>
</file>

<file path=docProps/custom.xml><?xml version="1.0" encoding="utf-8"?>
<Properties xmlns="http://schemas.openxmlformats.org/officeDocument/2006/custom-properties" xmlns:vt="http://schemas.openxmlformats.org/officeDocument/2006/docPropsVTypes"/>
</file>