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40f67842dba2396149012ad07674a37e8c148"/>
    <w:p>
      <w:pPr>
        <w:pStyle w:val="Heading1"/>
      </w:pPr>
      <w:r>
        <w:t xml:space="preserve">Do Model Labels Mislead an Event Study? Presidential Posts and Oil Prices in the 2026 Hormuz Closure</w:t>
      </w:r>
    </w:p>
    <w:p>
      <w:pPr>
        <w:pStyle w:val="FirstParagraph"/>
      </w:pPr>
      <w:r>
        <w:t xml:space="preserve">[Author names and affiliations are on the separate title page.]</w:t>
      </w:r>
    </w:p>
    <w:p>
      <w:pPr>
        <w:pStyle w:val="BodyText"/>
      </w:pPr>
      <w:r>
        <w:rPr>
          <w:iCs/>
          <w:i/>
        </w:rPr>
        <w:t xml:space="preserve">Analyses carry a status given in Table A1; the plans behind them are files in a project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two human coders. The models agree with the humans at κ = 0.50 and over-label escalation (precision 0.49); four further runs under the humans’ own codebook do not improve this. On human labels, oil moves in the posts’ direction within 30 minutes by +1.05% after de-escalation posts (n = 29) and +0.48% after escalation posts (n = 16), more than at drift-matched placebo times; the model-labelled escalation estimates are smaller (0.17% to 0.35%) because the models add events that humans call de-escalation or other. Two thirds of the human escalation labels were adjudicated by the investigator, the move is preceded by drift, and the excess over the preceding 30 minutes is not reliably separable from it. The case shows that agreement with human readers, not between model runs, is the evidence a labelling needs.</w:t>
      </w:r>
    </w:p>
    <w:p>
      <w:pPr>
        <w:pStyle w:val="BodyText"/>
      </w:pPr>
      <w:r>
        <w:rPr>
          <w:bCs/>
          <w:b/>
        </w:rPr>
        <w:t xml:space="preserve">Keywords:</w:t>
      </w:r>
      <w:r>
        <w:t xml:space="preserve"> </w:t>
      </w:r>
      <w:r>
        <w:t xml:space="preserve">large language models as annotators, measurement validity, event study, social media, executive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The attenuation comes from the events the models add to the escalation class, not from noise shrinking the same effect. Second, we report which part of the human-label market result is robust (the direction of the post-period move) and which is not (its separation from pre-post drift beyond short windows, and the escalation result’s dependence on the investigator’s adjudication). Posting is also overdispersed and follows volatile hours, so posting times are not exogenous, and an information-theoretic account that motivated the study is not supported by its pre-specified tests (Appendices D and F). The paper does not identify a causal effect of posts on prices.</w:t>
      </w:r>
    </w:p>
    <w:p>
      <w:pPr>
        <w:pStyle w:val="BodyText"/>
      </w:pPr>
      <w:r>
        <w:t xml:space="preserve">Section 2 gives the scope. Section 3 describes the data and design. Section 4 reports results. Section 5 discusses contributions and limits, and Section 6 concludes. Exploratory, model-labelled and theory-motivated analyses are in the appendices.</w:t>
      </w:r>
    </w:p>
    <w:bookmarkEnd w:id="21"/>
    <w:bookmarkStart w:id="22" w:name="scope"/>
    <w:p>
      <w:pPr>
        <w:pStyle w:val="Heading2"/>
      </w:pPr>
      <w:r>
        <w:t xml:space="preserve">2. Scope</w:t>
      </w:r>
    </w:p>
    <w:p>
      <w:pPr>
        <w:pStyle w:val="FirstParagraph"/>
      </w:pPr>
      <w:r>
        <w:t xml:space="preserve">The paper concerns the measurement of what a head of state’s posts are (escalation or de-escalation of a military and supply risk) and how oil prices move around them. We began from an information-theoretic reading in which a post moves prices according to its surprisal, the prior uncertainty about the state it concerns and its redundancy; its pre-specified tests (novelty, prior uncertainty, their interaction, mutual information, timing surprisal) are not supported, use crude proxies, and are reported in Appendix F. They do not bear on the labelling question and no theory is claimed here. The study also does not identify a causal effect of posts on prices.</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adjudicated from the text by the lead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information systems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bookmarkEnd w:id="25"/>
    <w:bookmarkStart w:id="26" w:name="other-measures"/>
    <w:p>
      <w:pPr>
        <w:pStyle w:val="Heading3"/>
      </w:pPr>
      <w:r>
        <w:t xml:space="preserve">3.4 Other measures</w:t>
      </w:r>
    </w:p>
    <w:p>
      <w:pPr>
        <w:pStyle w:val="FirstParagraph"/>
      </w:pPr>
      <w:r>
        <w:t xml:space="preserve">Novelty, prior uncertainty, mutual information and the |z| outcome used for the information-theoretic tests are defined in Appendix F.</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29"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bookmarkEnd w:id="29"/>
    <w:bookmarkStart w:id="30"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0"/>
    <w:bookmarkStart w:id="31"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1"/>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The model versions behind the runs are to be recorded [versions].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w:t>
      </w:r>
    </w:p>
    <w:p>
      <w:pPr>
        <w:pStyle w:val="BodyText"/>
      </w:pPr>
      <w:r>
        <w:rPr>
          <w:iCs/>
          <w:i/>
        </w:rPr>
        <w:t xml:space="preserve">Why the models’ estimate is smaller.</w:t>
      </w:r>
      <w:r>
        <w:t xml:space="preserve"> </w:t>
      </w:r>
      <w:r>
        <w:t xml:space="preserve">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t>
      </w:r>
    </w:p>
    <w:p>
      <w:pPr>
        <w:pStyle w:val="CaptionedFigure"/>
      </w:pPr>
      <w:r>
        <w:drawing>
          <wp:inline>
            <wp:extent cx="5334000" cy="2133599"/>
            <wp:effectExtent b="0" l="0" r="0" t="0"/>
            <wp:docPr descr="Figure 3" title="" id="33" name="Picture"/>
            <a:graphic>
              <a:graphicData uri="http://schemas.openxmlformats.org/drawingml/2006/picture">
                <pic:pic>
                  <pic:nvPicPr>
                    <pic:cNvPr descr="figs/fig_forest_labelsets.png" id="34" name="Picture"/>
                    <pic:cNvPicPr>
                      <a:picLocks noChangeArrowheads="1" noChangeAspect="1"/>
                    </pic:cNvPicPr>
                  </pic:nvPicPr>
                  <pic:blipFill>
                    <a:blip r:embed="rId3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Mean directional 30-minute WTI return by class under each label set, with day-clustered 95% confidence intervals, on the same 95 events.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Model labels, class</w:t>
            </w:r>
          </w:p>
        </w:tc>
        <w:tc>
          <w:tcPr/>
          <w:p>
            <w:pPr>
              <w:pStyle w:val="Compact"/>
              <w:jc w:val="left"/>
            </w:pPr>
            <w:r>
              <w:t xml:space="preserve">Model-labelled events</w:t>
            </w:r>
          </w:p>
        </w:tc>
        <w:tc>
          <w:tcPr/>
          <w:p>
            <w:pPr>
              <w:pStyle w:val="Compact"/>
              <w:jc w:val="left"/>
            </w:pPr>
            <w:r>
              <w:t xml:space="preserve">Also human class (mean)</w:t>
            </w:r>
          </w:p>
        </w:tc>
        <w:tc>
          <w:tcPr/>
          <w:p>
            <w:pPr>
              <w:pStyle w:val="Compact"/>
              <w:jc w:val="left"/>
            </w:pPr>
            <w:r>
              <w:t xml:space="preserve">Human de-escalation</w:t>
            </w:r>
          </w:p>
        </w:tc>
        <w:tc>
          <w:tcPr/>
          <w:p>
            <w:pPr>
              <w:pStyle w:val="Compact"/>
              <w:jc w:val="left"/>
            </w:pPr>
            <w:r>
              <w:t xml:space="preserve">Human mixed</w:t>
            </w:r>
          </w:p>
        </w:tc>
        <w:tc>
          <w:tcPr/>
          <w:p>
            <w:pPr>
              <w:pStyle w:val="Compact"/>
              <w:jc w:val="left"/>
            </w:pPr>
            <w:r>
              <w:t xml:space="preserve">Human other</w:t>
            </w:r>
          </w:p>
        </w:tc>
      </w:tr>
      <w:tr>
        <w:tc>
          <w:tcPr/>
          <w:p>
            <w:pPr>
              <w:pStyle w:val="Compact"/>
              <w:jc w:val="left"/>
            </w:pPr>
            <w:r>
              <w:t xml:space="preserve">Model 1, escalation</w:t>
            </w:r>
          </w:p>
        </w:tc>
        <w:tc>
          <w:tcPr/>
          <w:p>
            <w:pPr>
              <w:pStyle w:val="Compact"/>
              <w:jc w:val="left"/>
            </w:pPr>
            <w:r>
              <w:t xml:space="preserve">24</w:t>
            </w:r>
          </w:p>
        </w:tc>
        <w:tc>
          <w:tcPr/>
          <w:p>
            <w:pPr>
              <w:pStyle w:val="Compact"/>
              <w:jc w:val="left"/>
            </w:pPr>
            <w:r>
              <w:t xml:space="preserve">10 (+0.45)</w:t>
            </w:r>
          </w:p>
        </w:tc>
        <w:tc>
          <w:tcPr/>
          <w:p>
            <w:pPr>
              <w:pStyle w:val="Compact"/>
              <w:jc w:val="left"/>
            </w:pPr>
            <w:r>
              <w:t xml:space="preserve">4 (−0.43)</w:t>
            </w:r>
          </w:p>
        </w:tc>
        <w:tc>
          <w:tcPr/>
          <w:p>
            <w:pPr>
              <w:pStyle w:val="Compact"/>
              <w:jc w:val="left"/>
            </w:pPr>
            <w:r>
              <w:t xml:space="preserve">5 (+0.71)</w:t>
            </w:r>
          </w:p>
        </w:tc>
        <w:tc>
          <w:tcPr/>
          <w:p>
            <w:pPr>
              <w:pStyle w:val="Compact"/>
              <w:jc w:val="left"/>
            </w:pPr>
            <w:r>
              <w:t xml:space="preserve">5 (−0.44)</w:t>
            </w:r>
          </w:p>
        </w:tc>
      </w:tr>
      <w:tr>
        <w:tc>
          <w:tcPr/>
          <w:p>
            <w:pPr>
              <w:pStyle w:val="Compact"/>
              <w:jc w:val="left"/>
            </w:pPr>
            <w:r>
              <w:t xml:space="preserve">v2 majority, escalation</w:t>
            </w:r>
          </w:p>
        </w:tc>
        <w:tc>
          <w:tcPr/>
          <w:p>
            <w:pPr>
              <w:pStyle w:val="Compact"/>
              <w:jc w:val="left"/>
            </w:pPr>
            <w:r>
              <w:t xml:space="preserve">30</w:t>
            </w:r>
          </w:p>
        </w:tc>
        <w:tc>
          <w:tcPr/>
          <w:p>
            <w:pPr>
              <w:pStyle w:val="Compact"/>
              <w:jc w:val="left"/>
            </w:pPr>
            <w:r>
              <w:t xml:space="preserve">14 (+0.53)</w:t>
            </w:r>
          </w:p>
        </w:tc>
        <w:tc>
          <w:tcPr/>
          <w:p>
            <w:pPr>
              <w:pStyle w:val="Compact"/>
              <w:jc w:val="left"/>
            </w:pPr>
            <w:r>
              <w:t xml:space="preserve">2 (−0.84)</w:t>
            </w:r>
          </w:p>
        </w:tc>
        <w:tc>
          <w:tcPr/>
          <w:p>
            <w:pPr>
              <w:pStyle w:val="Compact"/>
              <w:jc w:val="left"/>
            </w:pPr>
            <w:r>
              <w:t xml:space="preserve">8 (+0.71)</w:t>
            </w:r>
          </w:p>
        </w:tc>
        <w:tc>
          <w:tcPr/>
          <w:p>
            <w:pPr>
              <w:pStyle w:val="Compact"/>
              <w:jc w:val="left"/>
            </w:pPr>
            <w:r>
              <w:t xml:space="preserve">6 (−0.30)</w:t>
            </w:r>
          </w:p>
        </w:tc>
      </w:tr>
      <w:tr>
        <w:tc>
          <w:tcPr/>
          <w:p>
            <w:pPr>
              <w:pStyle w:val="Compact"/>
              <w:jc w:val="left"/>
            </w:pPr>
            <w:r>
              <w:t xml:space="preserve">Model 1, de-escalation</w:t>
            </w:r>
          </w:p>
        </w:tc>
        <w:tc>
          <w:tcPr/>
          <w:p>
            <w:pPr>
              <w:pStyle w:val="Compact"/>
              <w:jc w:val="left"/>
            </w:pPr>
            <w:r>
              <w:t xml:space="preserve">34</w:t>
            </w:r>
          </w:p>
        </w:tc>
        <w:tc>
          <w:tcPr/>
          <w:p>
            <w:pPr>
              <w:pStyle w:val="Compact"/>
              <w:jc w:val="left"/>
            </w:pPr>
            <w:r>
              <w:t xml:space="preserve">23 (+1.15)</w:t>
            </w:r>
          </w:p>
        </w:tc>
        <w:tc>
          <w:tcPr/>
          <w:p>
            <w:pPr>
              <w:pStyle w:val="Compact"/>
              <w:jc w:val="left"/>
            </w:pPr>
            <w:r>
              <w:t xml:space="preserve">—</w:t>
            </w:r>
          </w:p>
        </w:tc>
        <w:tc>
          <w:tcPr/>
          <w:p>
            <w:pPr>
              <w:pStyle w:val="Compact"/>
              <w:jc w:val="left"/>
            </w:pPr>
            <w:r>
              <w:t xml:space="preserve">4 (+0.99)</w:t>
            </w:r>
          </w:p>
        </w:tc>
        <w:tc>
          <w:tcPr/>
          <w:p>
            <w:pPr>
              <w:pStyle w:val="Compact"/>
              <w:jc w:val="left"/>
            </w:pPr>
            <w:r>
              <w:t xml:space="preserve">6 (+0.23)</w:t>
            </w:r>
          </w:p>
        </w:tc>
      </w:tr>
      <w:tr>
        <w:tc>
          <w:tcPr/>
          <w:p>
            <w:pPr>
              <w:pStyle w:val="Compact"/>
              <w:jc w:val="left"/>
            </w:pPr>
            <w:r>
              <w:t xml:space="preserve">v2 majority, de-escalation</w:t>
            </w:r>
          </w:p>
        </w:tc>
        <w:tc>
          <w:tcPr/>
          <w:p>
            <w:pPr>
              <w:pStyle w:val="Compact"/>
              <w:jc w:val="left"/>
            </w:pPr>
            <w:r>
              <w:t xml:space="preserve">33</w:t>
            </w:r>
          </w:p>
        </w:tc>
        <w:tc>
          <w:tcPr/>
          <w:p>
            <w:pPr>
              <w:pStyle w:val="Compact"/>
              <w:jc w:val="left"/>
            </w:pPr>
            <w:r>
              <w:t xml:space="preserve">24 (+1.06)</w:t>
            </w:r>
          </w:p>
        </w:tc>
        <w:tc>
          <w:tcPr/>
          <w:p>
            <w:pPr>
              <w:pStyle w:val="Compact"/>
              <w:jc w:val="left"/>
            </w:pPr>
            <w:r>
              <w:t xml:space="preserve">—</w:t>
            </w:r>
          </w:p>
        </w:tc>
        <w:tc>
          <w:tcPr/>
          <w:p>
            <w:pPr>
              <w:pStyle w:val="Compact"/>
              <w:jc w:val="left"/>
            </w:pPr>
            <w:r>
              <w:t xml:space="preserve">4 (+0.99)</w:t>
            </w:r>
          </w:p>
        </w:tc>
        <w:tc>
          <w:tcPr/>
          <w:p>
            <w:pPr>
              <w:pStyle w:val="Compact"/>
              <w:jc w:val="left"/>
            </w:pPr>
            <w:r>
              <w:t xml:space="preserve">5 (+0.38)</w:t>
            </w:r>
          </w:p>
        </w:tc>
      </w:tr>
    </w:tbl>
    <w:p>
      <w:pPr>
        <w:pStyle w:val="BodyText"/>
      </w:pPr>
      <w:r>
        <w:rPr>
          <w:iCs/>
          <w:i/>
        </w:rPr>
        <w:t xml:space="preserve">Table 3b. Events labelled by the model, split by the human label; mean directional return (percent) in the direction of the model’s class. One model-1 de-escalation event is human escalation (−1.30).</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All final labels</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only</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adjudication status: n; mean (day-clustered 95% CI); two-sided Wilcoxon p. The consensus-only row is also the sensitivity in which adjudicated items are set to</w:t>
      </w:r>
      <w:r>
        <w:rPr>
          <w:iCs/>
          <w:i/>
        </w:rPr>
        <w:t xml:space="preserve"> </w:t>
      </w:r>
      <w:r>
        <w:rPr>
          <w:iCs/>
          <w:i/>
        </w:rPr>
        <w:t xml:space="preserve">“</w:t>
      </w:r>
      <w:r>
        <w:rPr>
          <w:iCs/>
          <w:i/>
        </w:rPr>
        <w:t xml:space="preserve">other</w:t>
      </w:r>
      <w:r>
        <w:rPr>
          <w:iCs/>
          <w:i/>
        </w:rPr>
        <w:t xml:space="preserve">”</w:t>
      </w:r>
      <w:r>
        <w:rPr>
          <w:iCs/>
          <w:i/>
        </w:rPr>
        <w:t xml:space="preserve">.</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Weekend and closed-market posts.</w:t>
      </w:r>
      <w:r>
        <w:t xml:space="preserve"> </w:t>
      </w:r>
      <w:r>
        <w:t xml:space="preserve">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(.059)</w:t>
            </w:r>
          </w:p>
        </w:tc>
        <w:tc>
          <w:tcPr/>
          <w:p>
            <w:pPr>
              <w:pStyle w:val="Compact"/>
              <w:jc w:val="left"/>
            </w:pPr>
            <w:r>
              <w:t xml:space="preserve">16, 0.48 (0.40), +0.26 (.117)</w:t>
            </w:r>
          </w:p>
        </w:tc>
      </w:tr>
      <w:tr>
        <w:tc>
          <w:tcPr/>
          <w:p>
            <w:pPr>
              <w:pStyle w:val="Compact"/>
              <w:jc w:val="left"/>
            </w:pPr>
            <w:r>
              <w:t xml:space="preserve">No cluster filter</w:t>
            </w:r>
          </w:p>
        </w:tc>
        <w:tc>
          <w:tcPr/>
          <w:p>
            <w:pPr>
              <w:pStyle w:val="Compact"/>
              <w:jc w:val="left"/>
            </w:pPr>
            <w:r>
              <w:t xml:space="preserve">34, 0.91 (0.46), +0.44 (.053)</w:t>
            </w:r>
          </w:p>
        </w:tc>
        <w:tc>
          <w:tcPr/>
          <w:p>
            <w:pPr>
              <w:pStyle w:val="Compact"/>
              <w:jc w:val="left"/>
            </w:pPr>
            <w:r>
              <w:t xml:space="preserve">19, 0.46 (0.35), +0.23 (.142)</w:t>
            </w:r>
          </w:p>
        </w:tc>
      </w:tr>
      <w:tr>
        <w:tc>
          <w:tcPr/>
          <w:p>
            <w:pPr>
              <w:pStyle w:val="Compact"/>
              <w:jc w:val="left"/>
            </w:pPr>
            <w:r>
              <w:t xml:space="preserve">6-hour filter</w:t>
            </w:r>
          </w:p>
        </w:tc>
        <w:tc>
          <w:tcPr/>
          <w:p>
            <w:pPr>
              <w:pStyle w:val="Compact"/>
              <w:jc w:val="left"/>
            </w:pPr>
            <w:r>
              <w:t xml:space="preserve">25, 1.08 (0.49), +0.42 (.127)</w:t>
            </w:r>
          </w:p>
        </w:tc>
        <w:tc>
          <w:tcPr/>
          <w:p>
            <w:pPr>
              <w:pStyle w:val="Compact"/>
              <w:jc w:val="left"/>
            </w:pPr>
            <w:r>
              <w:t xml:space="preserve">14, 0.54 (0.50), +0.27 (.194)</w:t>
            </w:r>
          </w:p>
        </w:tc>
      </w:tr>
      <w:tr>
        <w:tc>
          <w:tcPr/>
          <w:p>
            <w:pPr>
              <w:pStyle w:val="Compact"/>
              <w:jc w:val="left"/>
            </w:pPr>
            <w:r>
              <w:t xml:space="preserve">Both coders agreed before adjudication</w:t>
            </w:r>
          </w:p>
        </w:tc>
        <w:tc>
          <w:tcPr/>
          <w:p>
            <w:pPr>
              <w:pStyle w:val="Compact"/>
              <w:jc w:val="left"/>
            </w:pPr>
            <w:r>
              <w:t xml:space="preserve">28, 1.03 (0.47), +0.44 (.090)</w:t>
            </w:r>
          </w:p>
        </w:tc>
        <w:tc>
          <w:tcPr/>
          <w:p>
            <w:pPr>
              <w:pStyle w:val="Compact"/>
              <w:jc w:val="left"/>
            </w:pPr>
            <w:r>
              <w:t xml:space="preserve">7, 0.71 (0.54), +0.44 (.156)</w:t>
            </w:r>
          </w:p>
        </w:tc>
      </w:tr>
      <w:tr>
        <w:tc>
          <w:tcPr/>
          <w:p>
            <w:pPr>
              <w:pStyle w:val="Compact"/>
              <w:jc w:val="left"/>
            </w:pPr>
            <w:r>
              <w:t xml:space="preserve">Window 5 minutes</w:t>
            </w:r>
          </w:p>
        </w:tc>
        <w:tc>
          <w:tcPr/>
          <w:p>
            <w:pPr>
              <w:pStyle w:val="Compact"/>
              <w:jc w:val="left"/>
            </w:pPr>
            <w:r>
              <w:t xml:space="preserve">29, 0.67 (0.21), +0.72 (.006)</w:t>
            </w:r>
          </w:p>
        </w:tc>
        <w:tc>
          <w:tcPr/>
          <w:p>
            <w:pPr>
              <w:pStyle w:val="Compact"/>
              <w:jc w:val="left"/>
            </w:pPr>
            <w:r>
              <w:t xml:space="preserve">16, 0.46 (0.19), +0.38 (.193)</w:t>
            </w:r>
          </w:p>
        </w:tc>
      </w:tr>
      <w:tr>
        <w:tc>
          <w:tcPr/>
          <w:p>
            <w:pPr>
              <w:pStyle w:val="Compact"/>
              <w:jc w:val="left"/>
            </w:pPr>
            <w:r>
              <w:t xml:space="preserve">Window 15 minutes</w:t>
            </w:r>
          </w:p>
        </w:tc>
        <w:tc>
          <w:tcPr/>
          <w:p>
            <w:pPr>
              <w:pStyle w:val="Compact"/>
              <w:jc w:val="left"/>
            </w:pPr>
            <w:r>
              <w:t xml:space="preserve">29, 0.76 (0.60), +0.76 (.011)</w:t>
            </w:r>
          </w:p>
        </w:tc>
        <w:tc>
          <w:tcPr/>
          <w:p>
            <w:pPr>
              <w:pStyle w:val="Compact"/>
              <w:jc w:val="left"/>
            </w:pPr>
            <w:r>
              <w:t xml:space="preserve">16, 0.57 (0.42), +0.36 (.039)</w:t>
            </w:r>
          </w:p>
        </w:tc>
      </w:tr>
      <w:tr>
        <w:tc>
          <w:tcPr/>
          <w:p>
            <w:pPr>
              <w:pStyle w:val="Compact"/>
              <w:jc w:val="left"/>
            </w:pPr>
            <w:r>
              <w:t xml:space="preserve">Window 60 minutes</w:t>
            </w:r>
          </w:p>
        </w:tc>
        <w:tc>
          <w:tcPr/>
          <w:p>
            <w:pPr>
              <w:pStyle w:val="Compact"/>
              <w:jc w:val="left"/>
            </w:pPr>
            <w:r>
              <w:t xml:space="preserve">28, 1.18 (0.42), −0.15 (.731)</w:t>
            </w:r>
          </w:p>
        </w:tc>
        <w:tc>
          <w:tcPr/>
          <w:p>
            <w:pPr>
              <w:pStyle w:val="Compact"/>
              <w:jc w:val="left"/>
            </w:pPr>
            <w:r>
              <w:t xml:space="preserve">16, 0.48 (0.40), +0.44 (.173)</w:t>
            </w:r>
          </w:p>
        </w:tc>
      </w:tr>
      <w:tr>
        <w:tc>
          <w:tcPr/>
          <w:p>
            <w:pPr>
              <w:pStyle w:val="Compact"/>
              <w:jc w:val="left"/>
            </w:pPr>
            <w:r>
              <w:t xml:space="preserve">Drop 23 March and 7 April (three events)</w:t>
            </w:r>
          </w:p>
        </w:tc>
        <w:tc>
          <w:tcPr/>
          <w:p>
            <w:pPr>
              <w:pStyle w:val="Compact"/>
              <w:jc w:val="left"/>
            </w:pPr>
            <w:r>
              <w:t xml:space="preserve">26, 0.80 (0.48), +0.49 (.049)</w:t>
            </w:r>
          </w:p>
        </w:tc>
        <w:tc>
          <w:tcPr/>
          <w:p>
            <w:pPr>
              <w:pStyle w:val="Compact"/>
              <w:jc w:val="left"/>
            </w:pPr>
            <w:r>
              <w:t xml:space="preserve">16, 0.48 (0.40), +0.26 (.117)</w:t>
            </w:r>
          </w:p>
        </w:tc>
      </w:tr>
    </w:tbl>
    <w:p>
      <w:pPr>
        <w:pStyle w:val="BodyText"/>
      </w:pPr>
      <w:r>
        <w:rPr>
          <w:iCs/>
          <w:i/>
        </w:rPr>
        <w:t xml:space="preserve">Table 6. Robustness of the human-label tick-level result (mean directional returns in percent; two-sided Wilcoxon p for post minus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information-theoretic-propositions"/>
    <w:p>
      <w:pPr>
        <w:pStyle w:val="Heading3"/>
      </w:pPr>
      <w:r>
        <w:t xml:space="preserve">4.6 Information-theoretic propositions</w:t>
      </w:r>
    </w:p>
    <w:p>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p>
    <w:bookmarkEnd w:id="40"/>
    <w:bookmarkStart w:id="41" w:name="analysis-status"/>
    <w:p>
      <w:pPr>
        <w:pStyle w:val="Heading3"/>
      </w:pPr>
      <w:r>
        <w:t xml:space="preserve">4.7 Analysis status</w:t>
      </w:r>
    </w:p>
    <w:p>
      <w:pPr>
        <w:pStyle w:val="FirstParagraph"/>
      </w:pPr>
      <w:r>
        <w:t xml:space="preserve">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human-label tick result and the post-minus-pre excess are amended results, because the primary sample was redefined after round 2; the information-theoretic tests are pre-specified; and Appendices D to F are exploratory or model-labelled.</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estimate (0.17% to 0.35%) is smaller than the human one (0.48%); for the original labels the difference is borderline (p = 0.038, one of twelve contrasts) and for the clearer-codebook labels it is not distinguishable from zero. Fourth, two thirds of the human escalation labels were adjudicated by the investigator, and the escalation result is not separately established for them.</w:t>
      </w:r>
    </w:p>
    <w:bookmarkEnd w:id="43"/>
    <w:bookmarkStart w:id="44" w:name="contributions"/>
    <w:p>
      <w:pPr>
        <w:pStyle w:val="Heading3"/>
      </w:pPr>
      <w:r>
        <w:t xml:space="preserve">5.2 Contributions</w:t>
      </w:r>
    </w:p>
    <w:p>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and decompose the difference by the events the label sets disagree on;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pPr>
        <w:pStyle w:val="BodyText"/>
      </w:pPr>
      <w:r>
        <w:t xml:space="preserve">The paper does not offer a theory of platform-mediated speech. No platform feature varies in our data.</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labels are not independent of the investigator: the investigator who adjudicated knew the hypotheses, 66% of final escalation labels are adjudicated, and the coders, who are from the authors’ department, remembered the course of the war and may have labelled with hindsight; no independent blind third coder has resolved the disagreements. The human coders agree at κ = 0.51 to 0.69, so human labels are a benchmark, not truth.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a third, independent coder who resolves disagreements without knowing the hypotheses; other model families and few-shot or reasoning variants; a latent-class analysis of all raters; exchange-futures data with checked timestamps and next-open returns for weekend posts; and a news-matched placebo.</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and escalation, by more than at comparable hours, and the model labels that suggested a one-sided response understated the escalation response because they added events that humans do not call escalation; a clearer codebook did not repair that. The co-movement cannot be separated from earlier drift beyond short windows.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an anonymized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Xbed0aa88a1a69b4e450aea3cdcce5210cd68ba4"/>
    <w:p>
      <w:pPr>
        <w:pStyle w:val="Heading2"/>
      </w:pPr>
      <w:r>
        <w:t xml:space="preserve">Appendix A. Analysis plans, status and outcomes</w:t>
      </w:r>
    </w:p>
    <w:p>
      <w:pPr>
        <w:pStyle w:val="FirstParagraph"/>
      </w:pPr>
      <w:r>
        <w:t xml:space="preserve">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A1. Status of results in the main text.</w:t>
      </w:r>
    </w:p>
    <w:p>
      <w:pPr>
        <w:pStyle w:val="BodyText"/>
      </w:pPr>
      <w:r>
        <w:rPr>
          <w:bCs/>
          <w:b/>
        </w:rPr>
        <w:t xml:space="preserve">Ledger of plans.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for de-escalation (one-sided p = 0.0002 and 0.030; two-sided p = 0.0003 and 0.059); escalation +0.48% (one-sided p = 0.007; two-sided p = 0.013)</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an anonymized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information systems,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[Record model names and versions.]</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bookmarkEnd w:id="53"/>
    <w:bookmarkStart w:id="60" w:name="X7a2b0a026ac61b487ce1e6f8f1f69ad89ee9f8b"/>
    <w:p>
      <w:pPr>
        <w:pStyle w:val="Heading2"/>
      </w:pPr>
      <w:r>
        <w:t xml:space="preserve">Appendix D. Exploratory analyses of arrival, events and other self-timed events</w:t>
      </w:r>
    </w:p>
    <w:p>
      <w:pPr>
        <w:pStyle w:val="CaptionedFigure"/>
      </w:pPr>
      <w:r>
        <w:drawing>
          <wp:inline>
            <wp:extent cx="5334000" cy="2066925"/>
            <wp:effectExtent b="0" l="0" r="0" t="0"/>
            <wp:docPr descr="Figure D1" title="" id="55" name="Picture"/>
            <a:graphic>
              <a:graphicData uri="http://schemas.openxmlformats.org/drawingml/2006/picture">
                <pic:pic>
                  <pic:nvPicPr>
                    <pic:cNvPr descr="figs/fig1_arrivals.png" id="56" name="Picture"/>
                    <pic:cNvPicPr>
                      <a:picLocks noChangeArrowheads="1" noChangeAspect="1"/>
                    </pic:cNvPicPr>
                  </pic:nvPicPr>
                  <pic:blipFill>
                    <a:blip r:embed="rId54"/>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D1</w:t>
      </w:r>
    </w:p>
    <w:p>
      <w:pPr>
        <w:pStyle w:val="BodyText"/>
      </w:pPr>
      <w:r>
        <w:rPr>
          <w:iCs/>
          <w:i/>
        </w:rPr>
        <w:t xml:space="preserve">Figure D1. Iran-related posts with threat terms (n = 108). A: observed daily counts versus Poisson and negative binomial fits. B: weekly counts.</w:t>
      </w:r>
    </w:p>
    <w:p>
      <w:pPr>
        <w:pStyle w:val="BodyText"/>
      </w:pPr>
      <w:r>
        <w:t xml:space="preserve">These analyses were run after the main results were seen. Their definitions were fixed in dated plans before the relevant data were downloaded or parsed (Appendix A), but none is confirmatory.</w:t>
      </w:r>
    </w:p>
    <w:bookmarkStart w:id="57"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7"/>
    <w:bookmarkStart w:id="58"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8"/>
    <w:bookmarkStart w:id="59"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9"/>
    <w:bookmarkEnd w:id="60"/>
    <w:bookmarkStart w:id="72"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62" name="Picture"/>
            <a:graphic>
              <a:graphicData uri="http://schemas.openxmlformats.org/drawingml/2006/picture">
                <pic:pic>
                  <pic:nvPicPr>
                    <pic:cNvPr descr="figs/fig2_event_time.png" id="63" name="Picture"/>
                    <pic:cNvPicPr>
                      <a:picLocks noChangeArrowheads="1" noChangeAspect="1"/>
                    </pic:cNvPicPr>
                  </pic:nvPicPr>
                  <pic:blipFill>
                    <a:blip r:embed="rId61"/>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5" name="Picture"/>
            <a:graphic>
              <a:graphicData uri="http://schemas.openxmlformats.org/drawingml/2006/picture">
                <pic:pic>
                  <pic:nvPicPr>
                    <pic:cNvPr descr="figs/fig3_bar_decomposition.png" id="66" name="Picture"/>
                    <pic:cNvPicPr>
                      <a:picLocks noChangeArrowheads="1" noChangeAspect="1"/>
                    </pic:cNvPicPr>
                  </pic:nvPicPr>
                  <pic:blipFill>
                    <a:blip r:embed="rId6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7"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7"/>
    <w:bookmarkStart w:id="68"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8"/>
    <w:bookmarkStart w:id="69"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9"/>
    <w:bookmarkStart w:id="70"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70"/>
    <w:bookmarkStart w:id="71"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71"/>
    <w:bookmarkEnd w:id="72"/>
    <w:bookmarkStart w:id="76" w:name="Xe7c5810073d46a57ece0d138b6cd5940676f0b5"/>
    <w:p>
      <w:pPr>
        <w:pStyle w:val="Heading2"/>
      </w:pPr>
      <w:r>
        <w:t xml:space="preserve">Appendix F. Information-theoretic motivation and tests</w:t>
      </w:r>
    </w:p>
    <w:p>
      <w:pPr>
        <w:pStyle w:val="FirstParagraph"/>
      </w:pPr>
      <w:r>
        <w:t xml:space="preserve">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w:t>
      </w:r>
      <w:r>
        <w:t xml:space="preserve"> </w:t>
      </w:r>
      <w:r>
        <w:t xml:space="preserve">“</w:t>
      </w:r>
      <w:r>
        <w:t xml:space="preserve">not supported</w:t>
      </w:r>
      <w:r>
        <w:t xml:space="preserve">”</w:t>
      </w:r>
      <w:r>
        <w:t xml:space="preserve"> </w:t>
      </w:r>
      <w:r>
        <w:t xml:space="preserve">means that they could not detect an effect.</w:t>
      </w:r>
    </w:p>
    <w:bookmarkStart w:id="73" w:name="f.1-motivation-and-propositions"/>
    <w:p>
      <w:pPr>
        <w:pStyle w:val="Heading3"/>
      </w:pPr>
      <w:r>
        <w:t xml:space="preserve">F.1 Motivation and propositions</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73"/>
    <w:bookmarkStart w:id="74" w:name="f.2-measures"/>
    <w:p>
      <w:pPr>
        <w:pStyle w:val="Heading3"/>
      </w:pPr>
      <w:r>
        <w:t xml:space="preserve">F.2 Measures</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bookmarkEnd w:id="74"/>
    <w:bookmarkStart w:id="75" w:name="f.3-tests"/>
    <w:p>
      <w:pPr>
        <w:pStyle w:val="Heading3"/>
      </w:pPr>
      <w:r>
        <w:t xml:space="preserve">F.3 Tests</w:t>
      </w:r>
    </w:p>
    <w:p>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F1.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75"/>
    <w:bookmarkEnd w:id="76"/>
    <w:bookmarkEnd w:id="77"/>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2026-10-14T23:35:54Z</dcterms:created>
  <dcterms:modified xsi:type="dcterms:W3CDTF">2026-10-14T23:35:54Z</dcterms:modified>
</cp:coreProperties>
</file>

<file path=docProps/custom.xml><?xml version="1.0" encoding="utf-8"?>
<Properties xmlns="http://schemas.openxmlformats.org/officeDocument/2006/custom-properties" xmlns:vt="http://schemas.openxmlformats.org/officeDocument/2006/docPropsVTypes"/>
</file>