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r>
        <w:t xml:space="preserve"> </w:t>
      </w:r>
      <w:r>
        <w:t xml:space="preserve">and</w:t>
      </w:r>
      <w:r>
        <w:t xml:space="preserve"> </w:t>
      </w:r>
      <w:r>
        <w:t xml:space="preserve">Contribution</w:t>
      </w:r>
      <w:r>
        <w:t xml:space="preserve"> </w:t>
      </w:r>
      <w:r>
        <w:t xml:space="preserve">Statement</w:t>
      </w:r>
    </w:p>
    <w:p>
      <w:pPr>
        <w:pStyle w:val="FirstParagraph"/>
      </w:pPr>
      <w:r>
        <w:t xml:space="preserve">Dear Editors,</w:t>
      </w:r>
    </w:p>
    <w:p>
      <w:pPr>
        <w:pStyle w:val="BodyText"/>
      </w:pPr>
      <w:r>
        <w:t xml:space="preserve">We submit</w:t>
      </w:r>
      <w:r>
        <w:t xml:space="preserve"> </w:t>
      </w:r>
      <w:r>
        <w:t xml:space="preserve">“</w:t>
      </w:r>
      <w:r>
        <w:t xml:space="preserve">Who Profits from Large Language Models? An Appropriability Theory of Value Capture along the AI Value Chain</w:t>
      </w:r>
      <w:r>
        <w:t xml:space="preserve">”</w:t>
      </w:r>
      <w:r>
        <w:t xml:space="preserve"> </w:t>
      </w:r>
      <w:r>
        <w:t xml:space="preserve">as a Research Article of the</w:t>
      </w:r>
      <w:r>
        <w:t xml:space="preserve"> </w:t>
      </w:r>
      <w:r>
        <w:t xml:space="preserve">“</w:t>
      </w:r>
      <w:r>
        <w:t xml:space="preserve">pure theory</w:t>
      </w:r>
      <w:r>
        <w:t xml:space="preserve">”</w:t>
      </w:r>
      <w:r>
        <w:t xml:space="preserve"> </w:t>
      </w:r>
      <w:r>
        <w:t xml:space="preserve">type, with illustrative evidence from public data. The intended audience is academics who study IT business value and the economics of digital platforms, and practitioners who negotiate AI supply contracts.</w:t>
      </w:r>
    </w:p>
    <w:p>
      <w:pPr>
        <w:pStyle w:val="BodyText"/>
      </w:pPr>
      <w:r>
        <w:rPr>
          <w:bCs/>
          <w:b/>
        </w:rPr>
        <w:t xml:space="preserve">Contribution statement</w:t>
      </w:r>
    </w:p>
    <w:p>
      <w:pPr>
        <w:pStyle w:val="BodyText"/>
      </w:pPr>
      <w:r>
        <w:rPr>
          <w:iCs/>
          <w:i/>
        </w:rPr>
        <w:t xml:space="preserve">Contribution to the literature.</w:t>
      </w:r>
      <w:r>
        <w:t xml:space="preserve"> </w:t>
      </w:r>
      <w:r>
        <w:t xml:space="preserve">The paper explains why large language models (LLMs) raise productivity yet leave profit hard to find at both ends of the value chain. It derives, in a single appropriability framework, where profit appears among the frontier developer, the adopter, and the consumer. The mechanisms in each layer are established in earlier work, and we use them as a benchmark. Our contribution is to add a feature specific to the LLM chain: the supplier of the input can productize an adopter’s use and sell it to everyone. We show that an adopter’s complement rent then lasts only until rivals imitate its capital or a vendor productizes the use. We endogenize the vendor’s productization rate and show that contract terms limiting the vendor’s use of adopter data slow it and raise the adopter’s incentive to invest. We show that competition among vendors speeds productization and removes the effect of any single contract in the limit, and that concealment by the adopter retains its effect where switching supplier does not. The paper also defines appropriability ex ante, as expected imitation lag and cost, which addresses the tautology charge against the resource-based view of IT, and it maps the model’s objects to public data. The evidence we present, from leaderboard, endpoint-price, and SEC filing data, is illustrative. It shows that the constructs can be measured and is consistent with the theory, but it does not test the encroachment results.</w:t>
      </w:r>
    </w:p>
    <w:p>
      <w:pPr>
        <w:pStyle w:val="BodyText"/>
      </w:pPr>
      <w:r>
        <w:rPr>
          <w:iCs/>
          <w:i/>
        </w:rPr>
        <w:t xml:space="preserve">Contribution to practice and policy.</w:t>
      </w:r>
      <w:r>
        <w:t xml:space="preserve"> </w:t>
      </w:r>
      <w:r>
        <w:t xml:space="preserve">For adopters, the theory replaces the question of how much to spend on AI with the question of what the firm owns that the model cannot supply, and how long it will take competitors and the model’s own supplier to own it. It implies that data-use, fine-tuning-ownership, and deployment terms are strategic, that they are best negotiated before a use proves valuable, and that in markets with many capable vendors protection comes mainly from concealment and from the difficulty of replicating the use. For developers and investors, it implies that reported losses reflect short quality leads that must be bought again with each release, and that valuations are best read as prices of an option on future leads. For policy, it suggests that protection against productization of customers’ uses would need to operate industry-wide, for example through norms or regulation, to be effective in crowded markets.</w:t>
      </w:r>
    </w:p>
    <w:p>
      <w:pPr>
        <w:pStyle w:val="BodyText"/>
      </w:pPr>
      <w:r>
        <w:rPr>
          <w:bCs/>
          <w:b/>
        </w:rPr>
        <w:t xml:space="preserve">Paper provenance</w:t>
      </w:r>
    </w:p>
    <w:p>
      <w:pPr>
        <w:pStyle w:val="BodyText"/>
      </w:pPr>
      <w:r>
        <w:t xml:space="preserve">[AUTHORS TO COMPLETE BEFORE SUBMISSION: state whether an earlier version of this manuscript was submitted to another journal. If so, disclose the major reasons for rejection and the steps taken to address them. Also state that the manuscript has not been submitted previously to Information Systems Research, is not published or in press, and is not under review elsewhere.]</w:t>
      </w:r>
    </w:p>
    <w:p>
      <w:pPr>
        <w:pStyle w:val="BodyText"/>
      </w:pPr>
      <w:r>
        <w:rPr>
          <w:bCs/>
          <w:b/>
        </w:rPr>
        <w:t xml:space="preserve">Data provenance</w:t>
      </w:r>
    </w:p>
    <w:p>
      <w:pPr>
        <w:pStyle w:val="BodyText"/>
      </w:pPr>
      <w:r>
        <w:t xml:space="preserve">The developer-side data are public leaderboard snapshots and public endpoint-price listings. The adopter-side data are SEC EDGAR XBRL company facts, together with public product dates that we coded by hand. [AUTHORS TO CONFIRM that use of these sources complies with the owners’ fair-use and terms-of-use policies.]</w:t>
      </w:r>
    </w:p>
    <w:p>
      <w:pPr>
        <w:pStyle w:val="BodyText"/>
      </w:pPr>
      <w:r>
        <w:t xml:space="preserve">Sincerely,</w:t>
      </w:r>
    </w:p>
    <w:p>
      <w:pPr>
        <w:pStyle w:val="BodyText"/>
      </w:pPr>
      <w:r>
        <w:t xml:space="preserve">[Corresponding author]</w:t>
      </w:r>
    </w:p>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color w:val="000000"/>
      <w:rFonts w:ascii="Times New Roman" w:cs="Times New Roman" w:eastAsia="Times New Roman" w:hAnsi="Times New Roman"/>
      <w:sz w:val="22"/>
    </w:rPr>
  </w:style>
  <w:style w:styleId="BodyText" w:type="paragraph">
    <w:name w:val="Body Text"/>
    <w:basedOn w:val="Normal"/>
    <w:link w:val="BodyTextChar"/>
    <w:pPr>
      <w:spacing w:after="180" w:before="180" w:line="480" w:lineRule="auto"/>
    </w:pPr>
    <w:qFormat/>
    <w:rPr>
      <w:color w:val="000000"/>
      <w:rFonts w:ascii="Times New Roman" w:cs="Times New Roman" w:eastAsia="Times New Roman" w:hAnsi="Times New Roman"/>
      <w:sz w:val="22"/>
    </w:rPr>
  </w:style>
  <w:style w:customStyle="1" w:styleId="FirstParagraph" w:type="paragraph">
    <w:name w:val="First Paragraph"/>
    <w:basedOn w:val="BodyText"/>
    <w:next w:val="BodyText"/>
    <w:qFormat/>
    <w:pPr>
      <w:spacing w:line="480" w:lineRule="auto"/>
    </w:pPr>
    <w:rPr>
      <w:color w:val="000000"/>
      <w:rFonts w:ascii="Times New Roman" w:cs="Times New Roman" w:eastAsia="Times New Roman" w:hAnsi="Times New Roman"/>
      <w:sz w:val="22"/>
    </w:rPr>
  </w:style>
  <w:style w:customStyle="1" w:styleId="Compact" w:type="paragraph">
    <w:name w:val="Compact"/>
    <w:basedOn w:val="BodyText"/>
    <w:qFormat/>
    <w:pPr>
      <w:spacing w:after="36" w:before="36" w:line="480" w:lineRule="auto"/>
    </w:pPr>
    <w:rPr>
      <w:color w:val="000000"/>
      <w:rFonts w:ascii="Times New Roman" w:cs="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color w:val="000000"/>
      <w:sz w:val="30"/>
      <w:szCs w:val="30"/>
      <w:rFonts w:ascii="Times New Roman" w:cs="Times New Roman" w:eastAsia="Times New Roman" w:hAnsi="Times New Roman"/>
    </w:rPr>
  </w:style>
  <w:style w:customStyle="1" w:styleId="Author" w:type="paragraph">
    <w:name w:val="Author"/>
    <w:next w:val="BodyText"/>
    <w:qFormat/>
    <w:pPr>
      <w:keepNext/>
      <w:keepLines/>
      <w:jc w:val="center"/>
    </w:pPr>
    <w:rPr>
      <w:color w:val="000000"/>
      <w:rFonts w:ascii="Times New Roman" w:cs="Times New Roman" w:eastAsia="Times New Roman" w:hAnsi="Times New Roman"/>
    </w:rPr>
  </w:style>
  <w:style w:styleId="Date" w:type="paragraph">
    <w:name w:val="Date"/>
    <w:next w:val="BodyText"/>
    <w:qFormat/>
    <w:pPr>
      <w:keepNext/>
      <w:keepLines/>
      <w:jc w:val="center"/>
    </w:pPr>
    <w:rPr>
      <w:color w:val="000000"/>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color w:val="000000"/>
      <w:sz w:val="20"/>
      <w:szCs w:val="20"/>
      <w:b/>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line="480" w:lineRule="auto"/>
    </w:pPr>
    <w:rPr>
      <w:color w:val="000000"/>
      <w:sz w:val="22"/>
      <w:szCs w:val="20"/>
      <w:rFonts w:ascii="Times New Roman" w:cs="Times New Roman" w:eastAsia="Times New Roman" w:hAnsi="Times New Roman"/>
    </w:rPr>
  </w:style>
  <w:style w:styleId="Bibliography" w:type="paragraph">
    <w:name w:val="Bibliography"/>
    <w:basedOn w:val="Normal"/>
    <w:next w:val="Bibliography"/>
    <w:qFormat/>
    <w:pPr/>
    <w:rPr>
      <w:color w:val="000000"/>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Fonts w:ascii="Times New Roman" w:cs="Times New Roman" w:eastAsia="Times New Roman" w:hAnsi="Times New Roman"/>
    </w:rPr>
  </w:style>
  <w:style w:styleId="FootnoteText" w:type="paragraph">
    <w:name w:val="Footnote Text"/>
    <w:basedOn w:val="Normal"/>
    <w:next w:val="FootnoteText"/>
    <w:uiPriority w:val="9"/>
    <w:unhideWhenUsed/>
    <w:qFormat/>
    <w:rPr>
      <w:color w:val="000000"/>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Fonts w:ascii="Times New Roman" w:cs="Times New Roman" w:eastAsia="Times New Roman" w:hAnsi="Times New Roman"/>
    </w:rPr>
  </w:style>
  <w:style w:customStyle="1" w:styleId="Definition" w:type="paragraph">
    <w:name w:val="Definition"/>
    <w:basedOn w:val="Normal"/>
    <w:rPr>
      <w:color w:val="000000"/>
      <w:rFonts w:ascii="Times New Roman" w:cs="Times New Roman" w:eastAsia="Times New Roman" w:hAnsi="Times New Roman"/>
    </w:rPr>
  </w:style>
  <w:style w:styleId="Caption" w:type="paragraph">
    <w:name w:val="Caption"/>
    <w:basedOn w:val="Normal"/>
    <w:link w:val="BodyTextChar"/>
    <w:pPr>
      <w:spacing w:after="120" w:before="0"/>
    </w:pPr>
    <w:rPr>
      <w:i/>
      <w:color w:val="000000"/>
      <w:rFonts w:ascii="Times New Roman" w:cs="Times New Roman" w:eastAsia="Times New Roman" w:hAnsi="Times New Roman"/>
    </w:rPr>
  </w:style>
  <w:style w:customStyle="1" w:styleId="TableCaption" w:type="paragraph">
    <w:name w:val="Table Caption"/>
    <w:basedOn w:val="Caption"/>
    <w:pPr>
      <w:keepNext/>
    </w:pPr>
    <w:rPr>
      <w:color w:val="000000"/>
      <w:rFonts w:ascii="Times New Roman" w:cs="Times New Roman" w:eastAsia="Times New Roman" w:hAnsi="Times New Roman"/>
    </w:rPr>
  </w:style>
  <w:style w:customStyle="1" w:styleId="ImageCaption" w:type="paragraph">
    <w:name w:val="Image Caption"/>
    <w:basedOn w:val="Caption"/>
    <w:rPr>
      <w:color w:val="000000"/>
      <w:rFonts w:ascii="Times New Roman" w:cs="Times New Roman" w:eastAsia="Times New Roman" w:hAnsi="Times New Roman"/>
    </w:rPr>
  </w:style>
  <w:style w:customStyle="1" w:styleId="Figure" w:type="paragraph">
    <w:name w:val="Figure"/>
    <w:basedOn w:val="Normal"/>
    <w:rPr>
      <w:color w:val="000000"/>
      <w:rFonts w:ascii="Times New Roman" w:cs="Times New Roman" w:eastAsia="Times New Roman" w:hAnsi="Times New Roman"/>
    </w:rPr>
  </w:style>
  <w:style w:customStyle="1" w:styleId="CaptionedFigure" w:type="paragraph">
    <w:name w:val="Captioned Figure"/>
    <w:basedOn w:val="Figure"/>
    <w:pPr>
      <w:keepNext/>
    </w:pPr>
    <w:rPr>
      <w:color w:val="000000"/>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and Contribution Statement</dc:title>
  <dc:creator/>
  <cp:keywords/>
  <dcterms:created xsi:type="dcterms:W3CDTF">2026-10-21T01:08:15Z</dcterms:created>
  <dcterms:modified xsi:type="dcterms:W3CDTF">2026-10-21T01:08:15Z</dcterms:modified>
</cp:coreProperties>
</file>

<file path=docProps/custom.xml><?xml version="1.0" encoding="utf-8"?>
<Properties xmlns="http://schemas.openxmlformats.org/officeDocument/2006/custom-properties" xmlns:vt="http://schemas.openxmlformats.org/officeDocument/2006/docPropsVTypes"/>
</file>