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submitted to Management Science, Department of Information Systems.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 chief among them that the effects depend on the order of events and not on the quality of the tool.</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speaks to researchers who study the economics of technology adoption and the governance of AI tools in organizations, in information systems and in management more broadly, and to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changes the order of events in the decision. Before assistance, E and Q are compared before either exists, and both lie in the future. With assistance, an implementation, often an instance of E, exists as soon as the prompt returns, and the developer’s decision becomes whether to accept it or to do more work. We call this the</w:t>
      </w:r>
      <w:r>
        <w:t xml:space="preserve"> </w:t>
      </w:r>
      <w:r>
        <w:rPr>
          <w:iCs/>
          <w:i/>
        </w:rPr>
        <w:t xml:space="preserve">frame shift</w:t>
      </w:r>
      <w:r>
        <w:t xml:space="preserve"> </w:t>
      </w:r>
      <w:r>
        <w:t xml:space="preserve">and define it by a single structural condition: the frame has shifted when the implementation is generated before the quality decision is made. The shifted frame has three features, each of which engages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rPr>
          <w:bCs/>
          <w:b/>
        </w:rPr>
        <w:t xml:space="preserve">Why this is a structural claim and not a relabeling of known biases.</w:t>
      </w:r>
      <w:r>
        <w:t xml:space="preserve"> </w:t>
      </w:r>
      <w:r>
        <w:t xml:space="preserve">Each bias in our account is familiar, and we do not claim otherwise. The claim concerns</w:t>
      </w:r>
      <w:r>
        <w:t xml:space="preserve"> </w:t>
      </w:r>
      <w:r>
        <w:rPr>
          <w:iCs/>
          <w:i/>
        </w:rPr>
        <w:t xml:space="preserve">when they bind</w:t>
      </w:r>
      <w:r>
        <w:t xml:space="preserve">. Present bias, loss aversion, imperfect perception, and default effects are properties of people and interfaces that exist in any setting, but whether one of them affects a particular decision depends on the decision’s structure, and the frame shift is what gives each of them something to act on. Present bias requires a cost that arrives before the benefit it buys. In the choice regime the extra effort of building quality and the rework it avoids both lie in the future, so present bias scales both sides of the comparison equally and drops out. Loss aversion requires a reference point, and before generation there is no artifact whose removal could be felt as a loss. Imperfect perception requires something to perceive: a developer who writes a shortcut knows that she has, whereas one who receives a polished artifact must decide whether to inspect it, an information problem that does not exist before generation. A default requires an option that is already selected for her. Lemma 1 in Section 4.3 makes this precise. In the choice regime, the probability of debt, the self-admitted share, and the lapse rate are the same for every value of the four wedges; in the acceptance regime, debt depends on each of them. The biases are latent before generation and active after it. What the technology changes is not how biased the developer is but which decision those biases apply to.</w:t>
      </w:r>
    </w:p>
    <w:p>
      <w:pPr>
        <w:pStyle w:val="BodyText"/>
      </w:pPr>
      <w:r>
        <w:t xml:space="preserve">This structure gives the theory empirical content that a list of biases does not.</w:t>
      </w:r>
      <w:r>
        <w:t xml:space="preserve"> </w:t>
      </w:r>
      <w:r>
        <w:rPr>
          <w:iCs/>
          <w:i/>
        </w:rPr>
        <w:t xml:space="preserve">First, the wedges should depend on the order of events and on little else.</w:t>
      </w:r>
      <w:r>
        <w:t xml:space="preserve"> </w:t>
      </w:r>
      <w:r>
        <w:t xml:space="preserve">Hold fixed the developer, the tool, the quality of the artifact, the stated costs, and the value of speed, and move the quality decision before generation, for example by requiring the developer to commit to an expedient-or-quality approach before the assistant produces code. The possession effect, the lapse of planned refactoring, and the self-admitted share should then return to their rational values (P12). Rational acceleration predicts no such dependence, because it operates through the value of speed and the price of quality, neither of which the order of events changes. A trait account, in which some developers are simply more biased, predicts differences between developers and none within one developer across orderings. And an account that attributes the debt to the lower quality of generated code predicts that decisions about an artifact of a given quality do not depend on when the decision is taken. A rational developer can also behave differently before and after generation if the artifact reveals information about the work ahead; Section 4.7 shows that this channel is bounded by the dispersion of the signal, has a case-dependent sign, and is absent when costs are stated.</w:t>
      </w:r>
      <w:r>
        <w:t xml:space="preserve"> </w:t>
      </w:r>
      <w:r>
        <w:rPr>
          <w:iCs/>
          <w:i/>
        </w:rPr>
        <w:t xml:space="preserve">Second, because the decision is the unit of analysis, the wedge in aggregate debt should scale with the share of work that is generation-first.</w:t>
      </w:r>
      <w:r>
        <w:t xml:space="preserve"> </w:t>
      </w:r>
      <w:r>
        <w:t xml:space="preserve">If a share</w:t>
      </w:r>
      <w:r>
        <w:t xml:space="preserve"> </w:t>
      </w:r>
      <m:oMath>
        <m:r>
          <m:t>θ</m:t>
        </m:r>
      </m:oMath>
      <w:r>
        <w:t xml:space="preserve"> </w:t>
      </w:r>
      <w:r>
        <w:t xml:space="preserve">of tasks is done that way, aggregate debt is</w:t>
      </w:r>
      <w:r>
        <w:t xml:space="preserve"> </w:t>
      </w:r>
      <m:oMath>
        <m:d>
          <m:dPr>
            <m:begChr m:val="("/>
            <m:endChr m:val=")"/>
            <m:sepChr m:val=""/>
            <m:grow/>
          </m:dPr>
          <m:e>
            <m:r>
              <m:t>1</m:t>
            </m:r>
            <m:r>
              <m:rPr>
                <m:sty m:val="p"/>
              </m:rPr>
              <m:t>−</m:t>
            </m:r>
            <m:r>
              <m:t>θ</m:t>
            </m:r>
          </m:e>
        </m:d>
        <m:sSub>
          <m:e>
            <m:r>
              <m:t>D</m:t>
            </m:r>
          </m:e>
          <m:sub>
            <m:r>
              <m:t>C</m:t>
            </m:r>
          </m:sub>
        </m:sSub>
        <m:r>
          <m:rPr>
            <m:sty m:val="p"/>
          </m:rPr>
          <m:t>+</m:t>
        </m:r>
        <m:r>
          <m:t>θ</m:t>
        </m:r>
        <m:sSub>
          <m:e>
            <m:r>
              <m:t>D</m:t>
            </m:r>
          </m:e>
          <m:sub>
            <m:r>
              <m:t>A</m:t>
            </m:r>
          </m:sub>
        </m:sSub>
      </m:oMath>
      <w:r>
        <w:t xml:space="preserve"> </w:t>
      </w:r>
      <w:r>
        <w:t xml:space="preserve">and its behavioral wedge is</w:t>
      </w:r>
      <w:r>
        <w:t xml:space="preserve"> </w:t>
      </w:r>
      <m:oMath>
        <m:r>
          <m:t>θ</m:t>
        </m:r>
        <m:d>
          <m:dPr>
            <m:begChr m:val="["/>
            <m:endChr m:val="]"/>
            <m:sepChr m:val=""/>
            <m:grow/>
          </m:dPr>
          <m:e>
            <m:sSub>
              <m:e>
                <m:r>
                  <m:t>D</m:t>
                </m:r>
              </m:e>
              <m:sub>
                <m:r>
                  <m:t>A</m:t>
                </m:r>
              </m:sub>
            </m:sSub>
            <m:r>
              <m:rPr>
                <m:sty m:val="p"/>
              </m:rPr>
              <m:t>−</m:t>
            </m:r>
            <m:sSubSup>
              <m:e>
                <m:r>
                  <m:t>D</m:t>
                </m:r>
              </m:e>
              <m:sub>
                <m:r>
                  <m:t>A</m:t>
                </m:r>
              </m:sub>
              <m:sup>
                <m:r>
                  <m:rPr>
                    <m:sty m:val="p"/>
                  </m:rPr>
                  <m:t>*</m:t>
                </m:r>
              </m:sup>
            </m:sSubSup>
          </m:e>
        </m:d>
      </m:oMath>
      <w:r>
        <w:t xml:space="preserve"> </w:t>
      </w:r>
      <w:r>
        <w:t xml:space="preserve">(Section 4.4), so the intensity of use, and not adoption alone, is the relevant variable.</w:t>
      </w:r>
      <w:r>
        <w:t xml:space="preserve"> </w:t>
      </w:r>
      <w:r>
        <w:rPr>
          <w:iCs/>
          <w:i/>
        </w:rPr>
        <w:t xml:space="preserve">Third, the frame is not fixed.</w:t>
      </w:r>
      <w:r>
        <w:t xml:space="preserve"> </w:t>
      </w:r>
      <w:r>
        <w:t xml:space="preserve">Whether an artifact precedes the decision, and how costly it is to reject, are features of the interface, and Section 4.6 asks who sets them.</w:t>
      </w:r>
    </w:p>
    <w:p>
      <w:pPr>
        <w:pStyle w:val="BodyText"/>
      </w:pPr>
      <w:r>
        <w:rPr>
          <w:bCs/>
          <w:b/>
        </w:rPr>
        <w:t xml:space="preserve">Relation to neighboring ideas.</w:t>
      </w:r>
      <w:r>
        <w:t xml:space="preserve"> </w:t>
      </w:r>
      <w:r>
        <w:t xml:space="preserve">Choice architecture (Thaler and Sunstein 2008) treats the frame in which a decision is presented as given and asks how it can be redesigned. Here the technology itself creates the frame, and the question is how a change in technology reorganizes a decision that was previously made in a different order. The theory also differs from rational inattention (Sims 2003), which predicts that people inspect less when inspection is costly. That prediction is already part of our rational benchmark, in which the developer inspects optimally given the cost of inspecting and the value of what she might find; as Result 2(b) shows, the benchmark then yields a self-admitted share of</w:t>
      </w:r>
      <w:r>
        <w:t xml:space="preserve"> </w:t>
      </w:r>
      <m:oMath>
        <m:r>
          <m:t>σ</m:t>
        </m:r>
      </m:oMath>
      <w:r>
        <w:t xml:space="preserve">, no possession effect, and no lapses. What the wedges add is behavior that a cost-of-inspection account does not produce in this model.</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twelve propositions they imply. The propositions are the empirical hypotheses of the verbal theory; Section 4 formalizes the timing, appearance, and possession mechanisms at the level of a single decision, and the Online Appendix carries the ownership and incentive mechanisms to teams.</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r>
        <w:tc>
          <w:tcPr/>
          <w:p>
            <w:pPr>
              <w:pStyle w:val="Compact"/>
              <w:jc w:val="left"/>
            </w:pPr>
            <w:r>
              <w:t xml:space="preserve">P12</w:t>
            </w:r>
          </w:p>
        </w:tc>
        <w:tc>
          <w:tcPr/>
          <w:p>
            <w:pPr>
              <w:pStyle w:val="Compact"/>
              <w:jc w:val="left"/>
            </w:pPr>
            <w:r>
              <w:t xml:space="preserve">Holding the developer, the tool, the artifact’s quality, the stated costs, and the value of speed fixed, requiring the quality decision to be made before generation returns the possession effect, the lapse of planned refactoring, and the self-admitted share to their rational values.</w:t>
            </w:r>
          </w:p>
        </w:tc>
        <w:tc>
          <w:tcPr/>
          <w:p>
            <w:pPr>
              <w:pStyle w:val="Compact"/>
              <w:jc w:val="left"/>
            </w:pPr>
            <w:r>
              <w:t xml:space="preserve">Frame shift (order of events)</w:t>
            </w:r>
          </w:p>
        </w:tc>
        <w:tc>
          <w:tcPr/>
          <w:p>
            <w:pPr>
              <w:pStyle w:val="Compact"/>
              <w:jc w:val="left"/>
            </w:pPr>
            <w:r>
              <w:t xml:space="preserve">All</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Order of events: quality decision made before versus after generation (P12)</w:t>
            </w:r>
          </w:p>
        </w:tc>
        <w:tc>
          <w:tcPr/>
          <w:p>
            <w:pPr>
              <w:pStyle w:val="Compact"/>
              <w:jc w:val="left"/>
            </w:pPr>
            <w:r>
              <w:t xml:space="preserve">No change in the three statistics</w:t>
            </w:r>
          </w:p>
        </w:tc>
        <w:tc>
          <w:tcPr/>
          <w:p>
            <w:pPr>
              <w:pStyle w:val="Compact"/>
              <w:jc w:val="left"/>
            </w:pPr>
            <w:r>
              <w:t xml:space="preserve">Statistics return to rational values when the decision precedes generation</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8"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embeds the developer in a game with a tool vendor and her organization (4.6), and asks how far rational information can explain order dependence (4.7). Proofs of Results 1 to 3, 5 to 7, and 9 are in Appendix A; proofs of Results 4 and 8 are in the Online Appendix.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bCs/>
          <w:b/>
        </w:rPr>
        <w:t xml:space="preserve">Lemma 1 (activation).</w:t>
      </w:r>
      <w:r>
        <w:t xml:space="preserve"> </w:t>
      </w:r>
      <w:r>
        <w:t xml:space="preserve">(a) In the choice regime,</w:t>
      </w:r>
      <w:r>
        <w:t xml:space="preserve"> </w:t>
      </w: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oMath>
      <w:r>
        <w:t xml:space="preserve">, the self-admitted share equals</w:t>
      </w:r>
      <w:r>
        <w:t xml:space="preserve"> </w:t>
      </w:r>
      <m:oMath>
        <m:r>
          <m:t>σ</m:t>
        </m:r>
      </m:oMath>
      <w:r>
        <w:t xml:space="preserve">, and the lapse rate is zero, for every value of</w:t>
      </w:r>
      <w:r>
        <w:t xml:space="preserve"> </w:t>
      </w:r>
      <m:oMath>
        <m:d>
          <m:dPr>
            <m:begChr m:val="("/>
            <m:endChr m:val=")"/>
            <m:sepChr m:val=""/>
            <m:grow/>
          </m:dPr>
          <m:e>
            <m:r>
              <m:t>β</m:t>
            </m:r>
            <m:r>
              <m:rPr>
                <m:sty m:val="p"/>
              </m:rPr>
              <m:t>,</m:t>
            </m:r>
            <m:r>
              <m:t>φ</m:t>
            </m:r>
            <m:r>
              <m:rPr>
                <m:sty m:val="p"/>
              </m:rPr>
              <m:t>,</m:t>
            </m:r>
            <m:r>
              <m:t>α</m:t>
            </m:r>
            <m:r>
              <m:rPr>
                <m:sty m:val="p"/>
              </m:rPr>
              <m:t>,</m:t>
            </m:r>
            <m:r>
              <m:t>λ</m:t>
            </m:r>
          </m:e>
        </m:d>
      </m:oMath>
      <w:r>
        <w:t xml:space="preserve">. (b) In the acceptance regime,</w:t>
      </w:r>
      <w:r>
        <w:t xml:space="preserve"> </w:t>
      </w:r>
      <m:oMath>
        <m:sSub>
          <m:e>
            <m:r>
              <m:t>D</m:t>
            </m:r>
          </m:e>
          <m:sub>
            <m:r>
              <m:t>A</m:t>
            </m:r>
          </m:sub>
        </m:sSub>
        <m:d>
          <m:dPr>
            <m:begChr m:val="("/>
            <m:endChr m:val=")"/>
            <m:sepChr m:val=""/>
            <m:grow/>
          </m:dPr>
          <m:e>
            <m:r>
              <m:t>v</m:t>
            </m:r>
          </m:e>
        </m:d>
      </m:oMath>
      <w:r>
        <w:t xml:space="preserve"> </w:t>
      </w:r>
      <w:r>
        <w:t xml:space="preserve">is weakly decreasing in</w:t>
      </w:r>
      <w:r>
        <w:t xml:space="preserve"> </w:t>
      </w:r>
      <m:oMath>
        <m:r>
          <m:t>β</m:t>
        </m:r>
      </m:oMath>
      <w:r>
        <w:t xml:space="preserve"> </w:t>
      </w:r>
      <w:r>
        <w:t xml:space="preserve">and in</w:t>
      </w:r>
      <w:r>
        <w:t xml:space="preserve"> </w:t>
      </w:r>
      <m:oMath>
        <m:r>
          <m:t>φ</m:t>
        </m:r>
      </m:oMath>
      <w:r>
        <w:t xml:space="preserve"> </w:t>
      </w:r>
      <w:r>
        <w:t xml:space="preserve">and weakly increasing in</w:t>
      </w:r>
      <w:r>
        <w:t xml:space="preserve"> </w:t>
      </w:r>
      <m:oMath>
        <m:r>
          <m:t>α</m:t>
        </m:r>
      </m:oMath>
      <w:r>
        <w:t xml:space="preserve"> </w:t>
      </w:r>
      <w:r>
        <w:t xml:space="preserve">and in</w:t>
      </w:r>
      <w:r>
        <w:t xml:space="preserve"> </w:t>
      </w:r>
      <m:oMath>
        <m:r>
          <m:t>λ</m:t>
        </m:r>
      </m:oMath>
      <w:r>
        <w:t xml:space="preserve">, and strictly so when the wedge changes a decision on a set of tasks of positive probability.</w:t>
      </w:r>
    </w:p>
    <w:p>
      <w:pPr>
        <w:pStyle w:val="BodyText"/>
      </w:pPr>
      <w:r>
        <w:t xml:space="preserve">Part (a) says that the four wedges have no domain in the choice regime; part (b) says that each acquires one in the acceptance regime. This is the sense in which the frame shift activates the biases.</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Remark (workflow mix).</w:t>
      </w:r>
      <w:r>
        <w:t xml:space="preserve"> </w:t>
      </w:r>
      <w:r>
        <w:t xml:space="preserve">If a share</w:t>
      </w:r>
      <w:r>
        <w:t xml:space="preserve"> </w:t>
      </w:r>
      <m:oMath>
        <m:r>
          <m:t>θ</m:t>
        </m:r>
      </m:oMath>
      <w:r>
        <w:t xml:space="preserve"> </w:t>
      </w:r>
      <w:r>
        <w:t xml:space="preserve">of tasks is done generation-first and the rest in the choice regime, aggregate debt is</w:t>
      </w:r>
      <w:r>
        <w:t xml:space="preserve"> </w:t>
      </w:r>
      <m:oMath>
        <m:r>
          <m:t>D</m:t>
        </m:r>
        <m:d>
          <m:dPr>
            <m:begChr m:val="("/>
            <m:endChr m:val=")"/>
            <m:sepChr m:val=""/>
            <m:grow/>
          </m:dPr>
          <m:e>
            <m:r>
              <m:t>θ</m:t>
            </m:r>
            <m:r>
              <m:rPr>
                <m:sty m:val="p"/>
              </m:rPr>
              <m:t>,</m:t>
            </m:r>
            <m:r>
              <m:t>v</m:t>
            </m:r>
          </m:e>
        </m:d>
        <m:r>
          <m:rPr>
            <m:sty m:val="p"/>
          </m:rPr>
          <m:t>=</m:t>
        </m:r>
        <m:d>
          <m:dPr>
            <m:begChr m:val="("/>
            <m:endChr m:val=")"/>
            <m:sepChr m:val=""/>
            <m:grow/>
          </m:dPr>
          <m:e>
            <m:r>
              <m:t>1</m:t>
            </m:r>
            <m:r>
              <m:rPr>
                <m:sty m:val="p"/>
              </m:rPr>
              <m:t>−</m:t>
            </m:r>
            <m:r>
              <m:t>θ</m:t>
            </m:r>
          </m:e>
        </m:d>
        <m:sSub>
          <m:e>
            <m:r>
              <m:t>D</m:t>
            </m:r>
          </m:e>
          <m:sub>
            <m:r>
              <m:t>C</m:t>
            </m:r>
          </m:sub>
        </m:sSub>
        <m:d>
          <m:dPr>
            <m:begChr m:val="("/>
            <m:endChr m:val=")"/>
            <m:sepChr m:val=""/>
            <m:grow/>
          </m:dPr>
          <m:e>
            <m:r>
              <m:t>v</m:t>
            </m:r>
          </m:e>
        </m:d>
        <m:r>
          <m:rPr>
            <m:sty m:val="p"/>
          </m:rPr>
          <m:t>+</m:t>
        </m:r>
        <m:r>
          <m:t>θ</m:t>
        </m:r>
        <m:sSub>
          <m:e>
            <m:r>
              <m:t>D</m:t>
            </m:r>
          </m:e>
          <m:sub>
            <m:r>
              <m:t>A</m:t>
            </m:r>
          </m:sub>
        </m:sSub>
        <m:d>
          <m:dPr>
            <m:begChr m:val="("/>
            <m:endChr m:val=")"/>
            <m:sepChr m:val=""/>
            <m:grow/>
          </m:dPr>
          <m:e>
            <m:r>
              <m:t>v</m:t>
            </m:r>
          </m:e>
        </m:d>
      </m:oMath>
      <w:r>
        <w:t xml:space="preserve">. Because</w:t>
      </w:r>
      <w:r>
        <w:t xml:space="preserve"> </w:t>
      </w:r>
      <m:oMath>
        <m:sSub>
          <m:e>
            <m:r>
              <m:t>D</m:t>
            </m:r>
          </m:e>
          <m:sub>
            <m:r>
              <m:t>C</m:t>
            </m:r>
          </m:sub>
        </m:sSub>
      </m:oMath>
      <w:r>
        <w:t xml:space="preserve"> </w:t>
      </w:r>
      <w:r>
        <w:t xml:space="preserve">does not depend on the wedges (Lemma 1), the behavioral wedge in aggregate debt is</w:t>
      </w:r>
      <w:r>
        <w:t xml:space="preserve"> </w:t>
      </w:r>
      <m:oMath>
        <m:r>
          <m:t>D</m:t>
        </m:r>
        <m:d>
          <m:dPr>
            <m:begChr m:val="("/>
            <m:endChr m:val=")"/>
            <m:sepChr m:val=""/>
            <m:grow/>
          </m:dPr>
          <m:e>
            <m:r>
              <m:t>θ</m:t>
            </m:r>
            <m:r>
              <m:rPr>
                <m:sty m:val="p"/>
              </m:rPr>
              <m:t>,</m:t>
            </m:r>
            <m:r>
              <m:t>v</m:t>
            </m:r>
          </m:e>
        </m:d>
        <m:r>
          <m:rPr>
            <m:sty m:val="p"/>
          </m:rPr>
          <m:t>−</m:t>
        </m:r>
        <m:sSup>
          <m:e>
            <m:r>
              <m:t>D</m:t>
            </m:r>
          </m:e>
          <m:sup>
            <m:r>
              <m:rPr>
                <m:sty m:val="p"/>
              </m:rPr>
              <m:t>*</m:t>
            </m:r>
          </m:sup>
        </m:sSup>
        <m:d>
          <m:dPr>
            <m:begChr m:val="("/>
            <m:endChr m:val=")"/>
            <m:sepChr m:val=""/>
            <m:grow/>
          </m:dPr>
          <m:e>
            <m:r>
              <m:t>θ</m:t>
            </m:r>
            <m:r>
              <m:rPr>
                <m:sty m:val="p"/>
              </m:rPr>
              <m:t>,</m:t>
            </m:r>
            <m:r>
              <m:t>v</m:t>
            </m:r>
          </m:e>
        </m:d>
        <m:r>
          <m:rPr>
            <m:sty m:val="p"/>
          </m:rPr>
          <m:t>=</m:t>
        </m:r>
        <m:r>
          <m:t>θ</m:t>
        </m:r>
        <m:r>
          <m:t> </m:t>
        </m:r>
        <m:d>
          <m:dPr>
            <m:begChr m:val="["/>
            <m:endChr m:val="]"/>
            <m:sepChr m:val=""/>
            <m:grow/>
          </m:dPr>
          <m:e>
            <m:sSub>
              <m:e>
                <m:r>
                  <m:t>D</m:t>
                </m:r>
              </m:e>
              <m:sub>
                <m:r>
                  <m:t>A</m:t>
                </m:r>
              </m:sub>
            </m:sSub>
            <m:d>
              <m:dPr>
                <m:begChr m:val="("/>
                <m:endChr m:val=")"/>
                <m:sepChr m:val=""/>
                <m:grow/>
              </m:dPr>
              <m:e>
                <m:r>
                  <m:t>v</m:t>
                </m:r>
              </m:e>
            </m:d>
            <m:r>
              <m:rPr>
                <m:sty m:val="p"/>
              </m:rPr>
              <m:t>−</m:t>
            </m:r>
            <m:sSubSup>
              <m:e>
                <m:r>
                  <m:t>D</m:t>
                </m:r>
              </m:e>
              <m:sub>
                <m:r>
                  <m:t>A</m:t>
                </m:r>
              </m:sub>
              <m:sup>
                <m:r>
                  <m:rPr>
                    <m:sty m:val="p"/>
                  </m:rPr>
                  <m:t>*</m:t>
                </m:r>
              </m:sup>
            </m:sSubSup>
            <m:d>
              <m:dPr>
                <m:begChr m:val="("/>
                <m:endChr m:val=")"/>
                <m:sepChr m:val=""/>
                <m:grow/>
              </m:dPr>
              <m:e>
                <m:r>
                  <m:t>v</m:t>
                </m:r>
              </m:e>
            </m:d>
          </m:e>
        </m:d>
      </m:oMath>
      <w:r>
        <w:t xml:space="preserve">, which scales with</w:t>
      </w:r>
      <w:r>
        <w:t xml:space="preserve"> </w:t>
      </w:r>
      <m:oMath>
        <m:r>
          <m:t>θ</m:t>
        </m:r>
      </m:oMath>
      <w:r>
        <w:t xml:space="preserve">.</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Start w:id="37" w:name="X5fa26700188c78a6270967b2fafe01a40ddc08f"/>
    <w:p>
      <w:pPr>
        <w:pStyle w:val="Heading2"/>
      </w:pPr>
      <w:r>
        <w:t xml:space="preserve">4.7 Robustness: Can Rational Information Explain Order Dependence?</w:t>
      </w:r>
    </w:p>
    <w:p>
      <w:pPr>
        <w:pStyle w:val="FirstParagraph"/>
      </w:pPr>
      <w:r>
        <w:t xml:space="preserve">A rational developer can also behave differently before and after generation if generating the artifact reveals information about the work ahead: that the code runs, that the task is easier than expected, or that the surrounding code is harder to change. This is a legitimate objection to the order-dependence implication (P12) and to the statistics that rest on it, and we address it inside the model. Let the rework cost</w:t>
      </w:r>
      <w:r>
        <w:t xml:space="preserve"> </w:t>
      </w:r>
      <m:oMath>
        <m:r>
          <m:t>R</m:t>
        </m:r>
      </m:oMath>
      <w:r>
        <w:t xml:space="preserve"> </w:t>
      </w:r>
      <w:r>
        <w:t xml:space="preserve">be unknown when the developer decides ex ante, with prior mean</w:t>
      </w:r>
      <w:r>
        <w:t xml:space="preserve"> </w:t>
      </w:r>
      <m:oMath>
        <m:acc>
          <m:accPr>
            <m:chr m:val="‾"/>
          </m:accPr>
          <m:e>
            <m:r>
              <m:t>R</m:t>
            </m:r>
          </m:e>
        </m:acc>
        <m:r>
          <m:rPr>
            <m:sty m:val="p"/>
          </m:rPr>
          <m:t>=</m:t>
        </m:r>
        <m:r>
          <m:rPr>
            <m:sty m:val="p"/>
            <m:scr m:val="double-struck"/>
          </m:rPr>
          <m:t>E</m:t>
        </m:r>
        <m:d>
          <m:dPr>
            <m:begChr m:val="["/>
            <m:endChr m:val="]"/>
            <m:sepChr m:val=""/>
            <m:grow/>
          </m:dPr>
          <m:e>
            <m:r>
              <m:t>R</m:t>
            </m:r>
          </m:e>
        </m:d>
      </m:oMath>
      <w:r>
        <w:t xml:space="preserve">, and let her observe a signal</w:t>
      </w:r>
      <w:r>
        <w:t xml:space="preserve"> </w:t>
      </w:r>
      <m:oMath>
        <m:r>
          <m:t>S</m:t>
        </m:r>
      </m:oMath>
      <w:r>
        <w:t xml:space="preserve"> </w:t>
      </w:r>
      <w:r>
        <w:t xml:space="preserve">about it only once the artifact exists, with posterior mean</w:t>
      </w:r>
      <w:r>
        <w:t xml:space="preserve"> </w:t>
      </w:r>
      <m:oMath>
        <m:r>
          <m:t>m</m:t>
        </m:r>
        <m:d>
          <m:dPr>
            <m:begChr m:val="("/>
            <m:endChr m:val=")"/>
            <m:sepChr m:val=""/>
            <m:grow/>
          </m:dPr>
          <m:e>
            <m:r>
              <m:t>S</m:t>
            </m:r>
          </m:e>
        </m:d>
        <m:r>
          <m:rPr>
            <m:sty m:val="p"/>
          </m:rPr>
          <m:t>=</m:t>
        </m:r>
        <m:r>
          <m:rPr>
            <m:sty m:val="p"/>
            <m:scr m:val="double-struck"/>
          </m:rPr>
          <m:t>E</m:t>
        </m:r>
        <m:d>
          <m:dPr>
            <m:begChr m:val="["/>
            <m:endChr m:val="]"/>
            <m:sepChr m:val=""/>
            <m:grow/>
          </m:dPr>
          <m:e>
            <m:r>
              <m:t>R</m:t>
            </m:r>
            <m:r>
              <m:rPr>
                <m:sty m:val="p"/>
              </m:rPr>
              <m:t>∣</m:t>
            </m:r>
            <m:r>
              <m:t>S</m:t>
            </m:r>
          </m:e>
        </m:d>
      </m:oMath>
      <w:r>
        <w:t xml:space="preserve">, so that</w:t>
      </w:r>
      <w:r>
        <w:t xml:space="preserve"> </w:t>
      </w:r>
      <m:oMath>
        <m:r>
          <m:rPr>
            <m:sty m:val="p"/>
            <m:scr m:val="double-struck"/>
          </m:rPr>
          <m:t>E</m:t>
        </m:r>
        <m:d>
          <m:dPr>
            <m:begChr m:val="["/>
            <m:endChr m:val="]"/>
            <m:sepChr m:val=""/>
            <m:grow/>
          </m:dPr>
          <m:e>
            <m:r>
              <m:t>m</m:t>
            </m:r>
            <m:d>
              <m:dPr>
                <m:begChr m:val="("/>
                <m:endChr m:val=")"/>
                <m:sepChr m:val=""/>
                <m:grow/>
              </m:dPr>
              <m:e>
                <m:r>
                  <m:t>S</m:t>
                </m:r>
              </m:e>
            </m:d>
          </m:e>
        </m:d>
        <m:r>
          <m:rPr>
            <m:sty m:val="p"/>
          </m:rPr>
          <m:t>=</m:t>
        </m:r>
        <m:acc>
          <m:accPr>
            <m:chr m:val="‾"/>
          </m:accPr>
          <m:e>
            <m:r>
              <m:t>R</m:t>
            </m:r>
          </m:e>
        </m:acc>
      </m:oMath>
      <w:r>
        <w:t xml:space="preserve">. A rational developer (</w:t>
      </w:r>
      <m:oMath>
        <m:r>
          <m:t>β</m:t>
        </m:r>
        <m:r>
          <m:rPr>
            <m:sty m:val="p"/>
          </m:rPr>
          <m:t>=</m:t>
        </m:r>
        <m:r>
          <m:t>φ</m:t>
        </m:r>
        <m:r>
          <m:rPr>
            <m:sty m:val="p"/>
          </m:rPr>
          <m:t>=</m:t>
        </m:r>
        <m:r>
          <m:t>λ</m:t>
        </m:r>
        <m:r>
          <m:rPr>
            <m:sty m:val="p"/>
          </m:rPr>
          <m:t>=</m:t>
        </m:r>
        <m:r>
          <m:t>1</m:t>
        </m:r>
      </m:oMath>
      <w:r>
        <w:t xml:space="preserve">,</w:t>
      </w:r>
      <w:r>
        <w:t xml:space="preserve"> </w:t>
      </w:r>
      <m:oMath>
        <m:r>
          <m:t>α</m:t>
        </m:r>
        <m:r>
          <m:rPr>
            <m:sty m:val="p"/>
          </m:rPr>
          <m:t>=</m:t>
        </m:r>
        <m:r>
          <m:t>0</m:t>
        </m:r>
      </m:oMath>
      <w:r>
        <w:t xml:space="preserve">) improves the code if and only if</w:t>
      </w:r>
      <w:r>
        <w:t xml:space="preserve"> </w:t>
      </w:r>
      <m:oMath>
        <m:r>
          <m:t>t</m:t>
        </m:r>
        <m:r>
          <m:rPr>
            <m:sty m:val="p"/>
          </m:rPr>
          <m:t>&lt;</m:t>
        </m:r>
        <m:r>
          <m:t>m</m:t>
        </m:r>
      </m:oMath>
      <w:r>
        <w:t xml:space="preserve">, where</w:t>
      </w:r>
      <w:r>
        <w:t xml:space="preserve"> </w:t>
      </w:r>
      <m:oMath>
        <m:r>
          <m:t>t</m:t>
        </m:r>
        <m:r>
          <m:rPr>
            <m:sty m:val="p"/>
          </m:rPr>
          <m:t>≡</m:t>
        </m:r>
        <m:r>
          <m:t>v</m:t>
        </m:r>
        <m:r>
          <m:t>c</m:t>
        </m:r>
        <m:r>
          <m:rPr>
            <m:sty m:val="p"/>
          </m:rPr>
          <m:t>/</m:t>
        </m:r>
        <m:r>
          <m:t>δ</m:t>
        </m:r>
      </m:oMath>
      <w:r>
        <w:t xml:space="preserve"> </w:t>
      </w:r>
      <w:r>
        <w:t xml:space="preserve">and</w:t>
      </w:r>
      <w:r>
        <w:t xml:space="preserve"> </w:t>
      </w:r>
      <m:oMath>
        <m:r>
          <m:t>m</m:t>
        </m:r>
      </m:oMath>
      <w:r>
        <w:t xml:space="preserve"> </w:t>
      </w:r>
      <w:r>
        <w:t xml:space="preserve">is her current posterior mean. For a given case, the</w:t>
      </w:r>
      <w:r>
        <w:t xml:space="preserve"> </w:t>
      </w:r>
      <w:r>
        <w:rPr>
          <w:iCs/>
          <w:i/>
        </w:rPr>
        <w:t xml:space="preserve">possession effect</w:t>
      </w:r>
      <w:r>
        <w:t xml:space="preserve"> </w:t>
      </w:r>
      <w:r>
        <w:t xml:space="preserve">is the probability of deferring after the artifact exists minus the probability of deferring ex ante.</w:t>
      </w:r>
    </w:p>
    <w:p>
      <w:pPr>
        <w:pStyle w:val="BodyText"/>
      </w:pPr>
      <w:r>
        <w:rPr>
          <w:bCs/>
          <w:b/>
        </w:rPr>
        <w:t xml:space="preserve">Result 9 (information and order).</w:t>
      </w:r>
      <w:r>
        <w:t xml:space="preserve"> </w:t>
      </w:r>
      <w:r>
        <w:t xml:space="preserve">(a) If the developer has the same information about</w:t>
      </w:r>
      <w:r>
        <w:t xml:space="preserve"> </w:t>
      </w:r>
      <m:oMath>
        <m:r>
          <m:t>R</m:t>
        </m:r>
      </m:oMath>
      <w:r>
        <w:t xml:space="preserve"> </w:t>
      </w:r>
      <w:r>
        <w:t xml:space="preserve">whenever she decides, in particular when</w:t>
      </w:r>
      <w:r>
        <w:t xml:space="preserve"> </w:t>
      </w:r>
      <m:oMath>
        <m:r>
          <m:t>R</m:t>
        </m:r>
      </m:oMath>
      <w:r>
        <w:t xml:space="preserve"> </w:t>
      </w:r>
      <w:r>
        <w:t xml:space="preserve">is stated, the rational thresholds coincide across orderings: the possession effect and the lapse rate are zero. (b) Otherwise, in a case with</w:t>
      </w:r>
      <w:r>
        <w:t xml:space="preserve"> </w:t>
      </w:r>
      <m:oMath>
        <m:acc>
          <m:accPr>
            <m:chr m:val="‾"/>
          </m:accPr>
          <m:e>
            <m:r>
              <m:t>R</m:t>
            </m:r>
          </m:e>
        </m:acc>
        <m:r>
          <m:rPr>
            <m:sty m:val="p"/>
          </m:rPr>
          <m:t>&gt;</m:t>
        </m:r>
        <m:r>
          <m:t>t</m:t>
        </m:r>
      </m:oMath>
      <w:r>
        <w:t xml:space="preserve">, so that improvement is warranted ex ante, the rational possession effect equals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It is bounded by</w:t>
      </w:r>
      <w:r>
        <w:t xml:space="preserve"> </w:t>
      </w:r>
      <m:oMath>
        <m:r>
          <m:t>V</m:t>
        </m:r>
        <m:r>
          <m:rPr>
            <m:sty m:val="p"/>
          </m:rPr>
          <m:t>/</m:t>
        </m:r>
        <m:d>
          <m:dPr>
            <m:begChr m:val="["/>
            <m:endChr m:val="]"/>
            <m:sepChr m:val=""/>
            <m:grow/>
          </m:dPr>
          <m:e>
            <m:r>
              <m:t>V</m:t>
            </m:r>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with</w:t>
      </w:r>
      <w:r>
        <w:t xml:space="preserve"> </w:t>
      </w:r>
      <m:oMath>
        <m:r>
          <m:t>V</m:t>
        </m:r>
        <m:r>
          <m:rPr>
            <m:sty m:val="p"/>
          </m:rPr>
          <m:t>=</m:t>
        </m:r>
        <m:r>
          <m:rPr>
            <m:sty m:val="p"/>
          </m:rPr>
          <m:t>V</m:t>
        </m:r>
        <m:r>
          <m:rPr>
            <m:sty m:val="p"/>
          </m:rPr>
          <m:t>a</m:t>
        </m:r>
        <m:r>
          <m:rPr>
            <m:sty m:val="p"/>
          </m:rPr>
          <m:t>r</m:t>
        </m:r>
        <m:d>
          <m:dPr>
            <m:begChr m:val="("/>
            <m:endChr m:val=")"/>
            <m:sepChr m:val=""/>
            <m:grow/>
          </m:dPr>
          <m:e>
            <m:r>
              <m:t>m</m:t>
            </m:r>
            <m:d>
              <m:dPr>
                <m:begChr m:val="("/>
                <m:endChr m:val=")"/>
                <m:sepChr m:val=""/>
                <m:grow/>
              </m:dPr>
              <m:e>
                <m:r>
                  <m:t>S</m:t>
                </m:r>
              </m:e>
            </m:d>
          </m:e>
        </m:d>
        <m:r>
          <m:rPr>
            <m:sty m:val="p"/>
          </m:rPr>
          <m:t>≤</m:t>
        </m:r>
        <m:r>
          <m:rPr>
            <m:sty m:val="p"/>
          </m:rPr>
          <m:t>V</m:t>
        </m:r>
        <m:r>
          <m:rPr>
            <m:sty m:val="p"/>
          </m:rPr>
          <m:t>a</m:t>
        </m:r>
        <m:r>
          <m:rPr>
            <m:sty m:val="p"/>
          </m:rPr>
          <m:t>r</m:t>
        </m:r>
        <m:d>
          <m:dPr>
            <m:begChr m:val="("/>
            <m:endChr m:val=")"/>
            <m:sepChr m:val=""/>
            <m:grow/>
          </m:dPr>
          <m:e>
            <m:r>
              <m:t>R</m:t>
            </m:r>
          </m:e>
        </m:d>
      </m:oMath>
      <w:r>
        <w:t xml:space="preserve">, and it vanishes as the signal becomes uninformative. In a case with</w:t>
      </w:r>
      <w:r>
        <w:t xml:space="preserve"> </w:t>
      </w:r>
      <m:oMath>
        <m:acc>
          <m:accPr>
            <m:chr m:val="‾"/>
          </m:accPr>
          <m:e>
            <m:r>
              <m:t>R</m:t>
            </m:r>
          </m:e>
        </m:acc>
        <m:r>
          <m:rPr>
            <m:sty m:val="p"/>
          </m:rPr>
          <m:t>≤</m:t>
        </m:r>
        <m:r>
          <m:t>t</m:t>
        </m:r>
      </m:oMath>
      <w:r>
        <w:t xml:space="preserve"> </w:t>
      </w:r>
      <w:r>
        <w:t xml:space="preserve">it is nonpositive. (c) For a developer with the same information and wedges</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the possession effect in a case with</w:t>
      </w:r>
      <w:r>
        <w:t xml:space="preserve"> </w:t>
      </w:r>
      <m:oMath>
        <m:acc>
          <m:accPr>
            <m:chr m:val="‾"/>
          </m:accPr>
          <m:e>
            <m:r>
              <m:t>R</m:t>
            </m:r>
          </m:e>
        </m:acc>
        <m:r>
          <m:rPr>
            <m:sty m:val="p"/>
          </m:rPr>
          <m:t>&gt;</m:t>
        </m:r>
        <m:r>
          <m:t>t</m:t>
        </m:r>
      </m:oMath>
      <w:r>
        <w:t xml:space="preserve"> </w:t>
      </w:r>
      <w:r>
        <w:t xml:space="preserve">is</w:t>
      </w:r>
      <w:r>
        <w:t xml:space="preserve"> </w:t>
      </w:r>
      <m:oMath>
        <m:r>
          <m:rPr>
            <m:sty m:val="p"/>
          </m:rPr>
          <m:t>Pr</m:t>
        </m:r>
        <m:d>
          <m:dPr>
            <m:begChr m:val="("/>
            <m:endChr m:val=")"/>
            <m:sepChr m:val=""/>
            <m:grow/>
          </m:dPr>
          <m:e>
            <m:r>
              <m:t>m</m:t>
            </m:r>
            <m:d>
              <m:dPr>
                <m:begChr m:val="("/>
                <m:endChr m:val=")"/>
                <m:sepChr m:val=""/>
                <m:grow/>
              </m:dPr>
              <m:e>
                <m:r>
                  <m:t>S</m:t>
                </m:r>
              </m:e>
            </m:d>
            <m:r>
              <m:rPr>
                <m:sty m:val="p"/>
              </m:rPr>
              <m:t>≤</m:t>
            </m:r>
            <m:r>
              <m:t>λ</m:t>
            </m:r>
            <m:r>
              <m:t>t</m:t>
            </m:r>
            <m:r>
              <m:rPr>
                <m:sty m:val="p"/>
              </m:rPr>
              <m:t>/</m:t>
            </m:r>
            <m:r>
              <m:t>β</m:t>
            </m:r>
          </m:e>
        </m:d>
      </m:oMath>
      <w:r>
        <w:t xml:space="preserve">, which exceeds the rational effect by</w:t>
      </w:r>
      <w:r>
        <w:t xml:space="preserve"> </w:t>
      </w:r>
      <m:oMath>
        <m:r>
          <m:rPr>
            <m:sty m:val="p"/>
          </m:rPr>
          <m:t>Pr</m:t>
        </m:r>
        <m:d>
          <m:dPr>
            <m:begChr m:val="("/>
            <m:endChr m:val=")"/>
            <m:sepChr m:val=""/>
            <m:grow/>
          </m:dPr>
          <m:e>
            <m:r>
              <m:t>t</m:t>
            </m:r>
            <m:r>
              <m:rPr>
                <m:sty m:val="p"/>
              </m:rPr>
              <m:t>&lt;</m:t>
            </m:r>
            <m:r>
              <m:t>m</m:t>
            </m:r>
            <m:d>
              <m:dPr>
                <m:begChr m:val="("/>
                <m:endChr m:val=")"/>
                <m:sepChr m:val=""/>
                <m:grow/>
              </m:dPr>
              <m:e>
                <m:r>
                  <m:t>S</m:t>
                </m:r>
              </m:e>
            </m:d>
            <m:r>
              <m:rPr>
                <m:sty m:val="p"/>
              </m:rPr>
              <m:t>≤</m:t>
            </m:r>
            <m:r>
              <m:t>λ</m:t>
            </m:r>
            <m:r>
              <m:t>t</m:t>
            </m:r>
            <m:r>
              <m:rPr>
                <m:sty m:val="p"/>
              </m:rPr>
              <m:t>/</m:t>
            </m:r>
            <m:r>
              <m:t>β</m:t>
            </m:r>
          </m:e>
        </m:d>
        <m:r>
          <m:rPr>
            <m:sty m:val="p"/>
          </m:rPr>
          <m:t>≥</m:t>
        </m:r>
        <m:r>
          <m:t>0</m:t>
        </m:r>
      </m:oMath>
      <w:r>
        <w:t xml:space="preserve">.</w:t>
      </w:r>
    </w:p>
    <w:p>
      <w:pPr>
        <w:pStyle w:val="BodyText"/>
      </w:pPr>
      <w:r>
        <w:t xml:space="preserve">Information therefore produces order effects of a different kind from the wedges. The informational effect depends on the case: it is nonnegative where improvement is warranted ex ante and nonpositive where it is not, because information moves decisions toward indifference. It is bounded by the dispersion of the signal, and it disappears when the signal is uninformative. The wedge effect is a one-directional shift of the deferral threshold by the factor</w:t>
      </w:r>
      <w:r>
        <w:t xml:space="preserve"> </w:t>
      </w:r>
      <m:oMath>
        <m:r>
          <m:t>λ</m:t>
        </m:r>
        <m:r>
          <m:rPr>
            <m:sty m:val="p"/>
          </m:rPr>
          <m:t>/</m:t>
        </m:r>
        <m:r>
          <m:t>β</m:t>
        </m:r>
      </m:oMath>
      <w:r>
        <w:t xml:space="preserve"> </w:t>
      </w:r>
      <w:r>
        <w:t xml:space="preserve">and does not depend on any signal. Two consequences follow. In an experiment that states</w:t>
      </w:r>
      <w:r>
        <w:t xml:space="preserve"> </w:t>
      </w:r>
      <m:oMath>
        <m:r>
          <m:t>R</m:t>
        </m:r>
      </m:oMath>
      <w:r>
        <w:t xml:space="preserve"> </w:t>
      </w:r>
      <w:r>
        <w:t xml:space="preserve">and the artifact’s quality, information is identical across orderings and part (a) applies, so any order effect cannot be informational. In field data, part (b) gives a way to bound the informational channel from the observed dispersion of rework costs across similar tasks: a possession effect in warranted cases that exceeds</w:t>
      </w:r>
      <w:r>
        <w:t xml:space="preserve"> </w:t>
      </w:r>
      <m:oMath>
        <m:r>
          <m:rPr>
            <m:sty m:val="p"/>
          </m:rPr>
          <m:t>V</m:t>
        </m:r>
        <m:r>
          <m:rPr>
            <m:sty m:val="p"/>
          </m:rPr>
          <m:t>a</m:t>
        </m:r>
        <m:r>
          <m:rPr>
            <m:sty m:val="p"/>
          </m:rPr>
          <m:t>r</m:t>
        </m:r>
        <m:d>
          <m:dPr>
            <m:begChr m:val="("/>
            <m:endChr m:val=")"/>
            <m:sepChr m:val=""/>
            <m:grow/>
          </m:dPr>
          <m:e>
            <m:r>
              <m:t>R</m:t>
            </m:r>
          </m:e>
        </m:d>
        <m:r>
          <m:rPr>
            <m:sty m:val="p"/>
          </m:rPr>
          <m:t>/</m:t>
        </m:r>
        <m:d>
          <m:dPr>
            <m:begChr m:val="["/>
            <m:endChr m:val="]"/>
            <m:sepChr m:val=""/>
            <m:grow/>
          </m:dPr>
          <m:e>
            <m:r>
              <m:rPr>
                <m:sty m:val="p"/>
              </m:rPr>
              <m:t>V</m:t>
            </m:r>
            <m:r>
              <m:rPr>
                <m:sty m:val="p"/>
              </m:rPr>
              <m:t>a</m:t>
            </m:r>
            <m:r>
              <m:rPr>
                <m:sty m:val="p"/>
              </m:rPr>
              <m:t>r</m:t>
            </m:r>
            <m:d>
              <m:dPr>
                <m:begChr m:val="("/>
                <m:endChr m:val=")"/>
                <m:sepChr m:val=""/>
                <m:grow/>
              </m:dPr>
              <m:e>
                <m:r>
                  <m:t>R</m:t>
                </m:r>
              </m:e>
            </m:d>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cannot be explained by information alone.</w:t>
      </w:r>
    </w:p>
    <w:bookmarkEnd w:id="37"/>
    <w:bookmarkEnd w:id="38"/>
    <w:bookmarkStart w:id="47"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w:t>
      </w:r>
    </w:p>
    <w:bookmarkStart w:id="39"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9"/>
    <w:bookmarkStart w:id="40"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40"/>
    <w:bookmarkStart w:id="41"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1"/>
    <w:bookmarkStart w:id="45"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3" name="Picture"/>
            <a:graphic>
              <a:graphicData uri="http://schemas.openxmlformats.org/drawingml/2006/picture">
                <pic:pic>
                  <pic:nvPicPr>
                    <pic:cNvPr descr="event_study.png" id="44" name="Picture"/>
                    <pic:cNvPicPr>
                      <a:picLocks noChangeArrowheads="1" noChangeAspect="1"/>
                    </pic:cNvPicPr>
                  </pic:nvPicPr>
                  <pic:blipFill>
                    <a:blip r:embed="rId42"/>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5"/>
    <w:bookmarkStart w:id="46"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The comparison of the choice and acceptance conditions is also the within-person test of the order-dependence implication (P12). Because the rework cost and the code are stated, the developer has the same information in every condition, so rational information cannot explain differences across conditions (Result 9a).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w:t>
      </w:r>
    </w:p>
    <w:bookmarkEnd w:id="46"/>
    <w:bookmarkEnd w:id="47"/>
    <w:bookmarkStart w:id="52" w:name="discussion"/>
    <w:p>
      <w:pPr>
        <w:pStyle w:val="Heading1"/>
      </w:pPr>
      <w:r>
        <w:t xml:space="preserve">6. Discussion</w:t>
      </w:r>
    </w:p>
    <w:bookmarkStart w:id="48"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8"/>
    <w:bookmarkStart w:id="49"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9"/>
    <w:bookmarkStart w:id="50"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In field data the informational channel cannot be removed, and Result 9 bounds it but does not eliminate it.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50"/>
    <w:bookmarkStart w:id="51"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1"/>
    <w:bookmarkEnd w:id="52"/>
    <w:bookmarkStart w:id="53"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3"/>
    <w:bookmarkStart w:id="54" w:name="data-and-code-availability"/>
    <w:p>
      <w:pPr>
        <w:pStyle w:val="Heading1"/>
      </w:pPr>
      <w:r>
        <w:t xml:space="preserve">Data and Code Availability</w:t>
      </w:r>
    </w:p>
    <w:p>
      <w:pPr>
        <w:pStyle w:val="FirstParagraph"/>
      </w:pPr>
      <w:r>
        <w:t xml:space="preserve">All data used in Section 5 are public. GH Archive event logs (gharchive.org) supply the pull-request, review, and review-comment events. The AIDev dataset (Li et al. 2025, 2026; license CC BY 4.0) supplies agent-authored pull requests and their commit patches. CommitPackFT (Muennighoff et al. 2023; MIT license) supplies the human baseline for code patches. The code that extracts the events, builds the samples, and produces every table and figure in Section 5, together with the numerical check of the model in Section 4, will be deposited in a public repository at [repository and DOI to be added]. No individual-level data were collected from participants; the experiment described in Section 5.5 has not been run.</w:t>
      </w:r>
    </w:p>
    <w:bookmarkEnd w:id="54"/>
    <w:bookmarkStart w:id="55" w:name="funding"/>
    <w:p>
      <w:pPr>
        <w:pStyle w:val="Heading1"/>
      </w:pPr>
      <w:r>
        <w:t xml:space="preserve">Funding</w:t>
      </w:r>
    </w:p>
    <w:p>
      <w:pPr>
        <w:pStyle w:val="FirstParagraph"/>
      </w:pPr>
      <w:r>
        <w:t xml:space="preserve">[Funding statement to be completed, or: This research received no specific funding.]</w:t>
      </w:r>
    </w:p>
    <w:bookmarkEnd w:id="55"/>
    <w:bookmarkStart w:id="56" w:name="conflict-of-interest"/>
    <w:p>
      <w:pPr>
        <w:pStyle w:val="Heading1"/>
      </w:pPr>
      <w:r>
        <w:t xml:space="preserve">Conflict of Interest</w:t>
      </w:r>
    </w:p>
    <w:p>
      <w:pPr>
        <w:pStyle w:val="FirstParagraph"/>
      </w:pPr>
      <w:r>
        <w:t xml:space="preserve">[Conflict-of-interest statement to be completed.]</w:t>
      </w:r>
    </w:p>
    <w:bookmarkEnd w:id="56"/>
    <w:bookmarkStart w:id="57"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Sims CA (2003) Implications of rational inattention.</w:t>
      </w:r>
      <w:r>
        <w:t xml:space="preserve"> </w:t>
      </w:r>
      <w:r>
        <w:rPr>
          <w:iCs/>
          <w:i/>
        </w:rPr>
        <w:t xml:space="preserve">J. Monetary Econom.</w:t>
      </w:r>
      <w:r>
        <w:t xml:space="preserve"> </w:t>
      </w:r>
      <w:r>
        <w:t xml:space="preserve">50(3):665–690.</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7"/>
    <w:bookmarkStart w:id="58" w:name="appendix-a.-proofs"/>
    <w:p>
      <w:pPr>
        <w:pStyle w:val="Heading1"/>
      </w:pPr>
      <w:r>
        <w:t xml:space="preserve">Appendix A. Proofs</w:t>
      </w:r>
    </w:p>
    <w:p>
      <w:pPr>
        <w:pStyle w:val="FirstParagraph"/>
      </w:pPr>
      <w:r>
        <w:rPr>
          <w:bCs/>
          <w:b/>
        </w:rPr>
        <w:t xml:space="preserve">Lemma 1.</w:t>
      </w:r>
      <w:r>
        <w:t xml:space="preserve"> </w:t>
      </w:r>
      <w:r>
        <w:t xml:space="preserve">(a) Condition (1) contains none of</w:t>
      </w:r>
      <w:r>
        <w:t xml:space="preserve"> </w:t>
      </w:r>
      <m:oMath>
        <m:r>
          <m:t>β</m:t>
        </m:r>
      </m:oMath>
      <w:r>
        <w:t xml:space="preserve">,</w:t>
      </w:r>
      <w:r>
        <w:t xml:space="preserve"> </w:t>
      </w:r>
      <m:oMath>
        <m:r>
          <m:t>φ</m:t>
        </m:r>
      </m:oMath>
      <w:r>
        <w:t xml:space="preserve">,</w:t>
      </w:r>
      <w:r>
        <w:t xml:space="preserve"> </w:t>
      </w:r>
      <m:oMath>
        <m:r>
          <m:t>α</m:t>
        </m:r>
      </m:oMath>
      <w:r>
        <w:t xml:space="preserve">,</w:t>
      </w:r>
      <w:r>
        <w:t xml:space="preserve"> </w:t>
      </w:r>
      <m:oMath>
        <m:r>
          <m:t>λ</m:t>
        </m:r>
      </m:oMath>
      <w:r>
        <w:t xml:space="preserve">, so the decision in the choice regime and its debt probability</w:t>
      </w:r>
      <w:r>
        <w:t xml:space="preserve"> </w:t>
      </w:r>
      <m:oMath>
        <m:r>
          <m:t>F</m:t>
        </m:r>
        <m:d>
          <m:dPr>
            <m:begChr m:val="("/>
            <m:endChr m:val=")"/>
            <m:sepChr m:val=""/>
            <m:grow/>
          </m:dPr>
          <m:e>
            <m:r>
              <m:t>v</m:t>
            </m:r>
            <m:r>
              <m:t>a</m:t>
            </m:r>
            <m:r>
              <m:rPr>
                <m:sty m:val="p"/>
              </m:rPr>
              <m:t>/</m:t>
            </m:r>
            <m:r>
              <m:t>δ</m:t>
            </m:r>
          </m:e>
        </m:d>
      </m:oMath>
      <w:r>
        <w:t xml:space="preserve"> </w:t>
      </w:r>
      <w:r>
        <w:t xml:space="preserve">do not depend on them. A shortcut chosen in this way is recognized, and so is admitted with probability</w:t>
      </w:r>
      <w:r>
        <w:t xml:space="preserve"> </w:t>
      </w:r>
      <m:oMath>
        <m:r>
          <m:t>σ</m:t>
        </m:r>
      </m:oMath>
      <w:r>
        <w:t xml:space="preserve">. The decision taken at date 0 determines what is built at date 1, so there is no plan that can later lapse. (b) This is the wedge argument in the proof of Result 1:</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Each makes debt pointwise weakly higher.</w:t>
      </w:r>
    </w:p>
    <w:p>
      <w:pPr>
        <w:pStyle w:val="BodyText"/>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p>
      <w:pPr>
        <w:pStyle w:val="BodyText"/>
      </w:pPr>
      <w:r>
        <w:rPr>
          <w:bCs/>
          <w:b/>
        </w:rPr>
        <w:t xml:space="preserve">Result 9.</w:t>
      </w:r>
      <w:r>
        <w:t xml:space="preserve"> </w:t>
      </w:r>
      <w:r>
        <w:t xml:space="preserve">(a) The rational rule depends on the information available only through the posterior mean, so identical information gives identical decisions in every ordering. With a plan at date 0 and execution at date 1 on the same information, the plan and its execution coincide, so no plan lapses. (b) With</w:t>
      </w:r>
      <w:r>
        <w:t xml:space="preserve"> </w:t>
      </w:r>
      <m:oMath>
        <m:acc>
          <m:accPr>
            <m:chr m:val="‾"/>
          </m:accPr>
          <m:e>
            <m:r>
              <m:t>R</m:t>
            </m:r>
          </m:e>
        </m:acc>
        <m:r>
          <m:rPr>
            <m:sty m:val="p"/>
          </m:rPr>
          <m:t>&gt;</m:t>
        </m:r>
        <m:r>
          <m:t>t</m:t>
        </m:r>
      </m:oMath>
      <w:r>
        <w:t xml:space="preserve"> </w:t>
      </w:r>
      <w:r>
        <w:t xml:space="preserve">the ex ante decision is to improve, so ex ante deferral is zero and the possession effect is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Cantelli’s inequality for a variable with mean</w:t>
      </w:r>
      <w:r>
        <w:t xml:space="preserve"> </w:t>
      </w:r>
      <m:oMath>
        <m:acc>
          <m:accPr>
            <m:chr m:val="‾"/>
          </m:accPr>
          <m:e>
            <m:r>
              <m:t>R</m:t>
            </m:r>
          </m:e>
        </m:acc>
      </m:oMath>
      <w:r>
        <w:t xml:space="preserve"> </w:t>
      </w:r>
      <w:r>
        <w:t xml:space="preserve">and variance</w:t>
      </w:r>
      <w:r>
        <w:t xml:space="preserve"> </w:t>
      </w:r>
      <m:oMath>
        <m:r>
          <m:t>V</m:t>
        </m:r>
      </m:oMath>
      <w:r>
        <w:t xml:space="preserve"> </w:t>
      </w:r>
      <w:r>
        <w:t xml:space="preserve">gives</w:t>
      </w:r>
      <w:r>
        <w:t xml:space="preserve"> </w:t>
      </w:r>
      <m:oMath>
        <m:r>
          <m:rPr>
            <m:sty m:val="p"/>
          </m:rPr>
          <m:t>Pr</m:t>
        </m:r>
        <m:d>
          <m:dPr>
            <m:begChr m:val="("/>
            <m:endChr m:val=")"/>
            <m:sepChr m:val=""/>
            <m:grow/>
          </m:dPr>
          <m:e>
            <m:r>
              <m:t>m</m:t>
            </m:r>
            <m:r>
              <m:rPr>
                <m:sty m:val="p"/>
              </m:rPr>
              <m:t>≤</m:t>
            </m:r>
            <m:acc>
              <m:accPr>
                <m:chr m:val="‾"/>
              </m:accPr>
              <m:e>
                <m:r>
                  <m:t>R</m:t>
                </m:r>
              </m:e>
            </m:acc>
            <m:r>
              <m:rPr>
                <m:sty m:val="p"/>
              </m:rPr>
              <m:t>−</m:t>
            </m:r>
            <m:r>
              <m:t>a</m:t>
            </m:r>
          </m:e>
        </m:d>
        <m:r>
          <m:rPr>
            <m:sty m:val="p"/>
          </m:rPr>
          <m:t>≤</m:t>
        </m:r>
        <m:r>
          <m:t>V</m:t>
        </m:r>
        <m:r>
          <m:rPr>
            <m:sty m:val="p"/>
          </m:rPr>
          <m:t>/</m:t>
        </m:r>
        <m:d>
          <m:dPr>
            <m:begChr m:val="("/>
            <m:endChr m:val=")"/>
            <m:sepChr m:val=""/>
            <m:grow/>
          </m:dPr>
          <m:e>
            <m:r>
              <m:t>V</m:t>
            </m:r>
            <m:r>
              <m:rPr>
                <m:sty m:val="p"/>
              </m:rPr>
              <m:t>+</m:t>
            </m:r>
            <m:sSup>
              <m:e>
                <m:r>
                  <m:t>a</m:t>
                </m:r>
              </m:e>
              <m:sup>
                <m:r>
                  <m:t>2</m:t>
                </m:r>
              </m:sup>
            </m:sSup>
          </m:e>
        </m:d>
      </m:oMath>
      <w:r>
        <w:t xml:space="preserve"> </w:t>
      </w:r>
      <w:r>
        <w:t xml:space="preserve">with</w:t>
      </w:r>
      <w:r>
        <w:t xml:space="preserve"> </w:t>
      </w:r>
      <m:oMath>
        <m:r>
          <m:t>a</m:t>
        </m:r>
        <m:r>
          <m:rPr>
            <m:sty m:val="p"/>
          </m:rPr>
          <m:t>=</m:t>
        </m:r>
        <m:acc>
          <m:accPr>
            <m:chr m:val="‾"/>
          </m:accPr>
          <m:e>
            <m:r>
              <m:t>R</m:t>
            </m:r>
          </m:e>
        </m:acc>
        <m:r>
          <m:rPr>
            <m:sty m:val="p"/>
          </m:rPr>
          <m:t>−</m:t>
        </m:r>
        <m:r>
          <m:t>t</m:t>
        </m:r>
        <m:r>
          <m:rPr>
            <m:sty m:val="p"/>
          </m:rPr>
          <m:t>&gt;</m:t>
        </m:r>
        <m:r>
          <m:t>0</m:t>
        </m:r>
      </m:oMath>
      <w:r>
        <w:t xml:space="preserve">, and</w:t>
      </w:r>
      <w:r>
        <w:t xml:space="preserve"> </w:t>
      </w:r>
      <m:oMath>
        <m:r>
          <m:t>V</m:t>
        </m:r>
        <m:r>
          <m:rPr>
            <m:sty m:val="p"/>
          </m:rPr>
          <m:t>≤</m:t>
        </m:r>
        <m:r>
          <m:rPr>
            <m:sty m:val="p"/>
          </m:rPr>
          <m:t>V</m:t>
        </m:r>
        <m:r>
          <m:rPr>
            <m:sty m:val="p"/>
          </m:rPr>
          <m:t>a</m:t>
        </m:r>
        <m:r>
          <m:rPr>
            <m:sty m:val="p"/>
          </m:rPr>
          <m:t>r</m:t>
        </m:r>
        <m:d>
          <m:dPr>
            <m:begChr m:val="("/>
            <m:endChr m:val=")"/>
            <m:sepChr m:val=""/>
            <m:grow/>
          </m:dPr>
          <m:e>
            <m:r>
              <m:t>R</m:t>
            </m:r>
          </m:e>
        </m:d>
      </m:oMath>
      <w:r>
        <w:t xml:space="preserve"> </w:t>
      </w:r>
      <w:r>
        <w:t xml:space="preserve">by the law of total variance. If</w:t>
      </w:r>
      <w:r>
        <w:t xml:space="preserve"> </w:t>
      </w:r>
      <m:oMath>
        <m:acc>
          <m:accPr>
            <m:chr m:val="‾"/>
          </m:accPr>
          <m:e>
            <m:r>
              <m:t>R</m:t>
            </m:r>
          </m:e>
        </m:acc>
        <m:r>
          <m:rPr>
            <m:sty m:val="p"/>
          </m:rPr>
          <m:t>≤</m:t>
        </m:r>
        <m:r>
          <m:t>t</m:t>
        </m:r>
      </m:oMath>
      <w:r>
        <w:t xml:space="preserve">, ex ante deferral is one and the post-generation probability cannot exceed one. If the signal is uninformative,</w:t>
      </w:r>
      <w:r>
        <w:t xml:space="preserve"> </w:t>
      </w:r>
      <m:oMath>
        <m:r>
          <m:t>m</m:t>
        </m:r>
        <m:d>
          <m:dPr>
            <m:begChr m:val="("/>
            <m:endChr m:val=")"/>
            <m:sepChr m:val=""/>
            <m:grow/>
          </m:dPr>
          <m:e>
            <m:r>
              <m:t>S</m:t>
            </m:r>
          </m:e>
        </m:d>
        <m:r>
          <m:rPr>
            <m:sty m:val="p"/>
          </m:rPr>
          <m:t>=</m:t>
        </m:r>
        <m:acc>
          <m:accPr>
            <m:chr m:val="‾"/>
          </m:accPr>
          <m:e>
            <m:r>
              <m:t>R</m:t>
            </m:r>
          </m:e>
        </m:acc>
        <m:r>
          <m:rPr>
            <m:sty m:val="p"/>
          </m:rPr>
          <m:t>&gt;</m:t>
        </m:r>
        <m:r>
          <m:t>t</m:t>
        </m:r>
      </m:oMath>
      <w:r>
        <w:t xml:space="preserve"> </w:t>
      </w:r>
      <w:r>
        <w:t xml:space="preserve">almost surely and the effect is zero. (c) The ex ante rule (1) does not involve</w:t>
      </w:r>
      <w:r>
        <w:t xml:space="preserve"> </w:t>
      </w:r>
      <m:oMath>
        <m:r>
          <m:t>β</m:t>
        </m:r>
      </m:oMath>
      <w:r>
        <w:t xml:space="preserve"> </w:t>
      </w:r>
      <w:r>
        <w:t xml:space="preserve">or</w:t>
      </w:r>
      <w:r>
        <w:t xml:space="preserve"> </w:t>
      </w:r>
      <m:oMath>
        <m:r>
          <m:t>λ</m:t>
        </m:r>
      </m:oMath>
      <w:r>
        <w:t xml:space="preserve">, so ex ante deferral is again zero; after generation she defers when</w:t>
      </w:r>
      <w:r>
        <w:t xml:space="preserve"> </w:t>
      </w:r>
      <m:oMath>
        <m:r>
          <m:t>m</m:t>
        </m:r>
        <m:d>
          <m:dPr>
            <m:begChr m:val="("/>
            <m:endChr m:val=")"/>
            <m:sepChr m:val=""/>
            <m:grow/>
          </m:dPr>
          <m:e>
            <m:r>
              <m:t>S</m:t>
            </m:r>
          </m:e>
        </m:d>
        <m:r>
          <m:rPr>
            <m:sty m:val="p"/>
          </m:rPr>
          <m:t>≤</m:t>
        </m:r>
        <m:r>
          <m:t>λ</m:t>
        </m:r>
        <m:r>
          <m:t>t</m:t>
        </m:r>
        <m:r>
          <m:rPr>
            <m:sty m:val="p"/>
          </m:rPr>
          <m:t>/</m:t>
        </m:r>
        <m:r>
          <m:t>β</m:t>
        </m:r>
      </m:oMath>
      <w:r>
        <w:t xml:space="preserve"> </w:t>
      </w:r>
      <w:r>
        <w:t xml:space="preserve">by the analogue of (2), and the difference from the rational effect is the probability of the interval</w:t>
      </w:r>
      <w:r>
        <w:t xml:space="preserve"> </w:t>
      </w:r>
      <m:oMath>
        <m:r>
          <m:rPr>
            <m:sty m:val="p"/>
          </m:rPr>
          <m:t>(</m:t>
        </m:r>
        <m:r>
          <m:t>t</m:t>
        </m:r>
        <m:r>
          <m:rPr>
            <m:sty m:val="p"/>
          </m:rPr>
          <m:t>,</m:t>
        </m:r>
        <m:r>
          <m:t>λ</m:t>
        </m:r>
        <m:r>
          <m:t>t</m:t>
        </m:r>
        <m:r>
          <m:rPr>
            <m:sty m:val="p"/>
          </m:rPr>
          <m:t>/</m:t>
        </m:r>
        <m:r>
          <m:t>β</m:t>
        </m:r>
        <m:r>
          <m:rPr>
            <m:sty m:val="p"/>
          </m:rPr>
          <m:t>]</m:t>
        </m:r>
      </m:oMath>
      <w:r>
        <w:t xml:space="preserve">.</w:t>
      </w:r>
    </w:p>
    <w:bookmarkEnd w:id="58"/>
    <w:sectPr>
      <w:foot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2026-10-11T09:11:01Z</dcterms:created>
  <dcterms:modified xsi:type="dcterms:W3CDTF">2026-10-11T09:11:01Z</dcterms:modified>
</cp:coreProperties>
</file>

<file path=docProps/custom.xml><?xml version="1.0" encoding="utf-8"?>
<Properties xmlns="http://schemas.openxmlformats.org/officeDocument/2006/custom-properties" xmlns:vt="http://schemas.openxmlformats.org/officeDocument/2006/docPropsVTypes"/>
</file>