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Do Loss Frames Make LLM Operators Skip Verification? Goal Visibility and Reasoning in a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operate other AI systems, choosing among patching, redeploying, rolling back, and skipping regression tests. Behavioral economics predicts that a decision maker who codes an outcome as a loss takes more risk to recover it. We test whether the accounting frame of a failed update makes an LLM operator skip verification, in an environment where skipping is dominated and everything is scored by rule. Study 1 executes the registered protocol on three models and finds no support for loss chasing. Studies 2 to 5 then write each frame in 16 independently generated wordings, so that the wording, not the episode, is the unit of replication. Under time pressure a fast commercial model (Claude Haiku 4.5) skips tests in 27.2% of first choices with three turns left and rarely with more time, and its loss frame skips less than its gain-to-goal frame in 15 of 16 wordings (-62.9 percentage points). Three larger commercial models (Sonnet 5.5, Opus 5.5, and Fable 5.1) did not skip in any of their first choices (4,320 first choices each). Enabling extended thinking in the fast model lowered skipping to 9.7%, and stating each option's expected quality change lowered it but did not remove it. A 2 x 2 design separates the two accounts: stating the target in the headline raised skipping by up to 54 points, whereas loss text lowered it by 13, which is more consistent with goal visibility than with loss accounting. We also argue that the natural risk-index test of escalation is not diagnostic when a positive-value rollback exists, and we propose excess risk together with test-skipping. The practical implication is to audit an operator model on its own payoff structure, with many wordings and with its reasoning setting fixed.</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 and it requires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The question also has an information systems reading. Delegating maintenance to an AI operator creates an agency relationship in which the principal cannot observe whether the agent verified its work (Jensen and Meckling 1976; Eisenhardt 1989). The status text that the operator reads is then a control signal, part of the information structure through which the principal directs the agent, in the sense in which algorithmic systems exert control at work (Kellogg et al. 2020). Which signals induce which shortcuts is an open question for delegation to AI (Raisch and Krakowski 2021), and it matters because skipped verification leaves behind the hidden technical debt that makes machine-learning systems costly to maintain (Sculley et al. 2015).</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the headline sentence that describes the situation (loss, gain-to-goal, or neutral, all carrying identical facts), the number of injected failures, and, in later studies, the turns remaining, the model, its reasoning setting, and whether the target is stated. Quality, the remaining turn budget, and the options are otherwise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The paper reports four studies run in sequence. Study 1 executes the registered protocol on three small models and does not support the loss-chasing hypothesis. The results raised three questions that the registered design could not answer: whether the frame effect survives when each frame is written in many independent wordings, what determines skipping in the one model that skips, and whether models that did not skip differ in kind or are held back by something that can be varied. Studies 2 to 4 answer them, and a fifth study, designed after Study 4, asks whether the skipping persists when the dominance of verification is made visible. They were designed after Study 1 and are not part of the registered protocol; we state this in the sections that report them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formalize LLM maintenance as a repeated prospect-theoretic choice, define loss chasing operationally through three jointly necessary conditions, and identify a measurement problem that applies to any such environment: when a rollback option recovers a realized loss at positive expected value, a rational operator reduces its risk after failures, so the natural "risk rises after failures" test mislabels rational retreat as a failure to chase. We propose excess risk over an expected-value-maximizing benchmark together with test-skipping. Second, we argue that a framing claim needs the wording as its unit of replication, and we provide a design with 16 independently generated wordings per frame in which the frame effect, the wording effect, and their interaction can be separated. Third, we report what is associated with test-skipping in the model that skips. The pattern points to goal visibility rather than loss accounting: stating the target in the headline raised skipping by up to 54 percentage points, and loss text lowered it. Fourth, we find that skipping is lower with reasoning: extended thinking removed most of it in the fast model, and three larger commercial models that reason by default did not skip. We also provide an open,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and hypotheses, Section 3 gives an overview of the studies, and Section 4 describes the environment and procedure. Sections 5 to 9 report the five studies. Section 10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Payne (2025) reports that reasoning models show choices consistent with prospect theory in scenario-based risk decisions, with framing effects that vary by scenario, and Wang and Zhang (2026) find that logically equivalent framings shift choices across model families, often toward risk-averse options, in a voting task. These studies mostly examine one-shot allocation or risk choices. A separate line of work places language-model agents under pressure in simulated work settings. A GPT-4 trading agent acted on an insider tip and concealed its reasons more often under pressure than when the pressure was removed (Scheurer et al. 2023). Agents facing a conflict between reaching a goal and keeping a safety constraint have been reported to trade safety for utility, with stronger reasoning accelerating the decline through rationalization (Jiang and Tang 2026). Coding agents violate their instructions more often under sustained environmental pressure (Saebo et al. 2026), and long-horizon tool-use agents are biased toward submitting an answer that looks complete while constraints remain unresolved as the end approaches (Chen et al. 2026). A study of reasoning effort asked whether agents facing an unreachable target use a forbidden tool, and found that two tiers of a commercial model avoided it at both low and maximum reasoning settings (Xu and Wu 2026). Our environment differs in that the correct choice is known from the payoff structure, the shortcut is a dominated option and not a rule violation, and the manipulation separates the valence of the status text from the visibility of the goal.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Goal setting raises effort and performance (Locke and Latham 2002), and the same specificity that motivates can also induce shortcut taking and rule bending when a target is hard to reach (Schweitzer et al. 2004; Ordóñez et al. 2009). In agency terms, a target in a status line is a goal communicated by the principal to an agent whose verification effort it cannot observe.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one headline per frame (the registered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Fable 5.1,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model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5</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skipping persist when the expected quality change of each option is stated?</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Study 4 design (5 frames x 16 wordings, target in the facts line) with the expected quality change appended to every option,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Online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Study 2 used four commercial models: Haiku 4.5 (temperature 0.7), Sonnet 5.5, Opus 5.5, and Fable 5.1, which was run at three turns left only to limit cost; Studies 3, 4, and 5 used Haiku 4.5. The Sonnet, Opus, and Fable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Online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does not skip in any cell, the contrasts are not estimable and the cell is reported as a floor, not as a null. The analysis scripts for Studies 2 to 5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4 reports the registered rule and a criterion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 the criterion was specified after Study 1 output.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so this is a failure-history effect independent of framing; after three failures its excess risk is about zero, so it is not riskier than a rational agent at that point. Claude behaves like the benchmark: its expected-value gap is 0.000 in the loss frame and -0.003 in the neutral frame, and after failures it retreats as the benchmark does. An early version of the automatic analysis flagged Claude's H2 as supported solely because all three-failure values were identical, so that their variance was zero; that was an artifact, not an effect.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Opus 5.5, and Fable 5.1, with no injected failures, at 12, 6, and 3 turns left: 3 frames x 16 wordings x 30 episodes = 1,440 first choices per condition and 4,320 per model.</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Fable 5.1</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keepNext/>
        <w:spacing w:after="60" w:before="120"/>
        <w:jc w:val="center"/>
      </w:pPr>
      <w:r>
        <w:drawing>
          <wp:inline distT="0" distB="0" distL="0" distR="0">
            <wp:extent cx="5667375" cy="3295650"/>
            <wp:effectExtent t="0" r="0" b="0" l="0"/>
            <wp:docPr id="1" name="Skip rate by turns left and model" descr="Skip rate by turns left and model" title="Skip rate by turns left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29565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Test-skip rate by turns left at the first choice and model (all frames and wordings pooled; 1,440 first choices per point). The larger tiers lie on the zero line; The thinking condition was run at three turns left only.</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against a noise floor of only 1.3%. The interaction share is therefore real variation, not sampling noise: wordings differ in how strongly they separate the frames. The loss-below-gain ordering holds in 15 of 16 wordings and the frame explains more of the variation than the wording does, but the ordering of the gain and neutral frames is not stable across wordings. Cell rates varied widely. Loss-frame cells never exceeded 16.7% under any wording, gain-frame cells ranged from 6.7% to 100%, and neutral-frame cells from 0% to 83.3%. Under the registered wording the neutral frame skipped in 83.3% of first choices and the gain frame in 6.7%, the reverse of the average ordering. The robust contrast is therefore that loss text yielded little skipping under every wording, whereas gain and neutral text yielded anything from little to nearly universal skipping depending on the wording. The direction of the loss-minus-gain contrast is opposite to H1: the loss frame skips less, not more.</w:t>
      </w:r>
    </w:p>
    <w:p>
      <w:pPr>
        <w:spacing w:after="0" w:before="0" w:line="480"/>
        <w:ind w:firstLine="720"/>
        <w:jc w:val="left"/>
      </w:pPr>
      <w:r>
        <w:rPr>
          <w:rFonts w:ascii="Times New Roman" w:cs="Times New Roman" w:eastAsia="Times New Roman" w:hAnsi="Times New Roman"/>
          <w:sz w:val="24"/>
          <w:szCs w:val="24"/>
        </w:rPr>
        <w:t xml:space="preserve">The loss wordings differ in how emotive their verb is ("knocked down," "took a hit," "eroded" versus "reduced," "dropped," "decreased"), which could by itself lower skipping. We grouped the 16 loss wordings by verb from the wording text alone, before inspecting any wording-level result: six with emotive verbs (knocked down, slipped, degraded, took a hit, eroded, worsened) and ten with plain verbs. At three turns left the loss frame was below the gain frame by 55.6 points [-87.8, -20.0] across the emotive wordings (5 of 6 below) and by 67.3 points [-89.0, -42.7] across the plain wordings (10 of 10 below); the difference between the groups was +11.8 points [-29.4, +54.3]. Loss-frame skip rates were 3.9% for emotive and 1.0% for plain wordings (difference +2.9 points [-1.3, +8.4]). The negative loss-minus-gain contrast is therefore present among the plain-verb wordings alone, and emotive verbs do not lower loss-frame skipping in these data, although the interval for the group difference is wide.</w:t>
      </w:r>
    </w:p>
    <w:p>
      <w:pPr>
        <w:spacing w:after="0" w:before="0" w:line="480"/>
        <w:ind w:firstLine="720"/>
        <w:jc w:val="left"/>
      </w:pPr>
      <w:r>
        <w:rPr>
          <w:rFonts w:ascii="Times New Roman" w:cs="Times New Roman" w:eastAsia="Times New Roman" w:hAnsi="Times New Roman"/>
          <w:sz w:val="24"/>
          <w:szCs w:val="24"/>
        </w:rPr>
        <w:t xml:space="preserve">Study 2 involves several contrasts. As a check on multiplicity we recomputed the three-turn intervals at the 99.6% level, which corresponds to a Bonferroni adjustment over 12 contrasts: loss minus gain was -62.9 points [-89.2, -33.8] and neutral minus gain -50.4 points [-82.5, -9.0], both still excluding zero.</w:t>
      </w:r>
    </w:p>
    <w:p>
      <w:pPr>
        <w:spacing w:after="0" w:before="0" w:line="480"/>
        <w:ind w:firstLine="720"/>
        <w:jc w:val="left"/>
      </w:pPr>
      <w:r>
        <w:rPr>
          <w:rFonts w:ascii="Times New Roman" w:cs="Times New Roman" w:eastAsia="Times New Roman" w:hAnsi="Times New Roman"/>
          <w:sz w:val="24"/>
          <w:szCs w:val="24"/>
        </w:rPr>
        <w:t xml:space="preserve">Sonnet 5.5 and Opus 5.5 did not choose a skip action in any of 4,320 first choices each, and Fable 5.1 did not in any of its 4,320 first choices.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Fable 5.1 also showed no parse failure and no refusal in any condition, and chose narrow_patch in 99.7%, 97.4%, and 96.0% of first choices at 12, 6, and 3 turns left, with wide_patch in the remainder. Because the contrast cannot be estimated, these models neither support nor contradict a frame effect; this environment elicited no skipping from them under any of the 48 sentences (including Fable 5.1).</w:t>
      </w:r>
    </w:p>
    <w:p>
      <w:pPr>
        <w:spacing w:after="0" w:before="0" w:line="480"/>
        <w:ind w:firstLine="720"/>
        <w:jc w:val="left"/>
      </w:pPr>
      <w:r>
        <w:rPr>
          <w:rFonts w:ascii="Times New Roman" w:cs="Times New Roman" w:eastAsia="Times New Roman" w:hAnsi="Times New Roman"/>
          <w:sz w:val="24"/>
          <w:szCs w:val="24"/>
        </w:rPr>
        <w:t xml:space="preserve">The two open models of Study 1 were not rerun with the 16 wordings. A pilot with the registered headlines only (three turns left against twelve, zero and three injected failures, 50 episodes per cell at three turns) showed no turn-scarcity effect in them: the overall skip rate was 18.0% at twelve turns and 18.3% at three for Qwen, and 7.2% versus 7.7% for SmolLM2, and the frame-by-scarcity interaction was not significant in either (likelihood ratio 0.25 and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Their frame differences kept their signs. The turn-scarcity effect therefore appears specific to the commercial model that skips, although the pilot is small.</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indicates that the loss frame is not the frame associated with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appears to account for most, but not all, of the difference between the fast tier and the larger tiers: with thinking enabled the fast tier still skips in about 10% of first choices, whereas Sonnet 5.5, Opus 5.5, and Fable 5.1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keepNext/>
        <w:spacing w:after="60" w:before="120"/>
        <w:jc w:val="center"/>
      </w:pPr>
      <w:r>
        <w:drawing>
          <wp:inline distT="0" distB="0" distL="0" distR="0">
            <wp:extent cx="5667375" cy="3657600"/>
            <wp:effectExtent t="0" r="0" b="0" l="0"/>
            <wp:docPr id="2" name="Skip rate by frame in Study 4" descr="Skip rate by frame in Study 4" title="Skip rate by frame in Stud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5760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Study 4: test-skip rate by frame (mean over 16 wordings; Haiku 4.5, three turns left, 480 first choices per bar). Gain, neutral + target, and loss + target state the target in the headline.</w:t>
      </w:r>
    </w:p>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is positive in 13 of 16 wordings and negative in 2 (neutral text, target also in the facts line). Loss text did not raise skipping (H6); it lowered it, by 13.1 points without a target statement and by 37.1 points with one, and the registered contrast came out at -60.4 points. With the target removed from the facts line, neutral and loss text produced no skipping at all (0.0%), so when the target is visible nowhere in the prompt, skipping disappears in these two frames.</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appears to be an effect of stating the target and not of a gain wording. When the target appears only in the headline, the gain frame skipped more than neutral-plus-target (+24.4 points, 95% interval +6.5 to +41.9), but the 99.6% interval includes zero (-1.0 to +49.2), so we do not treat this difference as established. The neutral-plus-target frame adds a status sentence to the target headline, and the added sentence may reduce skipping, but the data do not identify why.</w:t>
      </w:r>
    </w:p>
    <w:p>
      <w:pPr>
        <w:spacing w:after="0" w:before="0" w:line="480"/>
        <w:ind w:firstLine="720"/>
        <w:jc w:val="left"/>
      </w:pPr>
      <w:r>
        <w:rPr>
          <w:rFonts w:ascii="Times New Roman" w:cs="Times New Roman" w:eastAsia="Times New Roman" w:hAnsi="Times New Roman"/>
          <w:sz w:val="24"/>
          <w:szCs w:val="24"/>
        </w:rPr>
        <w:t xml:space="preserve">As in Study 2, we recomputed the Study 4 intervals at the 99.6% level. With the target in the facts line, the goal effect with neutral text (+54.2 points [+27.5, +75.8]), the goal effect with loss text (+30.2 [+8.5, +57.5]), valence without a target statement (-13.1 [-28.8, -1.5]), valence with one (-37.1 [-64.0, -5.8]), and the registered contrast (-60.4 [-87.7, -29.6]) all stay clear of zero; the interaction (-24.0 [-52.3, +4.4]) and the gain minus neutral-plus-target check (-6.9 [-36.2, +21.0]) do not. Without the target in the facts line, the goal effect with neutral text (+31.7 [+7.9, +59.6]) and the registered contrast (-56.0 [-81.3, -30.6]) stay clear of zero, the goal effect with loss text just reaches it (+23.8 [0.0, +55.6]), and the remaining contrasts include zero. The main reading, that stating the target raises skipping and loss text does not, therefore rests on contrasts that survive the stricter level; the interaction and the finer comparisons among target-stating frames do not, and we do not rely on them.</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in this model, a visible gap to the target and few turns left go with skipping verification, loss text goes with more caution, and reasoning goes with most of the skipping disappearing. This pattern is more consistent with a goal-directed shortcut than with loss chasing. A loss-chasing operator would be expected to skip more under the loss text with the target held fixed, and this model does not.</w:t>
      </w:r>
    </w:p>
    <w:p>
      <w:pPr>
        <w:pStyle w:val="Heading1"/>
        <w:keepNext/>
        <w:spacing w:after="0" w:before="0" w:line="480"/>
      </w:pPr>
      <w:r>
        <w:rPr>
          <w:rFonts w:ascii="Times New Roman" w:cs="Times New Roman" w:eastAsia="Times New Roman" w:hAnsi="Times New Roman"/>
          <w:b/>
          <w:bCs/>
          <w:sz w:val="24"/>
          <w:szCs w:val="24"/>
        </w:rPr>
        <w:t xml:space="preserve">9. Study 5: Is Skipping Still Chosen When Its Dominance Is Visible?</w:t>
      </w:r>
    </w:p>
    <w:p>
      <w:pPr>
        <w:spacing w:after="0" w:before="0" w:line="480"/>
        <w:ind w:firstLine="720"/>
        <w:jc w:val="left"/>
      </w:pPr>
      <w:r>
        <w:rPr>
          <w:rFonts w:ascii="Times New Roman" w:cs="Times New Roman" w:eastAsia="Times New Roman" w:hAnsi="Times New Roman"/>
          <w:sz w:val="24"/>
          <w:szCs w:val="24"/>
        </w:rPr>
        <w:t xml:space="preserve">In Studies 1 to 4 the operator sees only qualitative option descriptions, so the dominance of verification is visible to the designer but not to the operator. Skipping could then be a defensible trade-off from the operator's information, in which case it would not satisfy condition (2) of our definition. Study 5 makes the dominance visible. Every option description ends with its expected quality change, computed from the payoff table: hold +0.00, narrow_patch +0.50, narrow_skip -0.35, wide_patch +0.60, wide_skip -2.20, and for rollback the change to the baseline (+0.00 at quality 100). The design is that of Study 4 with the target in the facts line: 5 frames x 16 wordings x 30 episodes = 2,400 first choices in Haiku 4.5 at temperature 0.7, with three turns left and no injected failures. The comparison is with the Study 4 run of the same design without expected values, paired by wording. The comparison script was committed before the run, and Study 5 is not registered.</w:t>
      </w:r>
    </w:p>
    <w:p>
      <w:pPr>
        <w:keepNext/>
        <w:spacing w:after="0" w:before="0" w:line="480"/>
      </w:pPr>
      <w:r>
        <w:rPr>
          <w:rFonts w:ascii="Times New Roman" w:cs="Times New Roman" w:eastAsia="Times New Roman" w:hAnsi="Times New Roman"/>
          <w:b/>
          <w:bCs/>
          <w:sz w:val="24"/>
          <w:szCs w:val="24"/>
        </w:rPr>
        <w:t xml:space="preserve">Table 9.</w:t>
      </w:r>
      <w:r>
        <w:rPr>
          <w:rFonts w:ascii="Times New Roman" w:cs="Times New Roman" w:eastAsia="Times New Roman" w:hAnsi="Times New Roman"/>
          <w:sz w:val="24"/>
          <w:szCs w:val="24"/>
        </w:rPr>
        <w:t xml:space="preserve"> Study 5: skip rate by frame without and with the expected quality change stated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300"/>
        <w:gridCol w:w="1500"/>
        <w:gridCol w:w="1400"/>
        <w:gridCol w:w="1360"/>
      </w:tblGrid>
      <w:tr>
        <w:trPr>
          <w:cantSplit/>
          <w:tblHeader/>
        </w:trPr>
        <w:tc>
          <w:tcPr>
            <w:tcW w:type="dxa" w:w="2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not shown (Study 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shown (Study 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17.3%</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21.5%</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Change, pp [95% CI over wordings]</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-4.8 [-17.1, +5.6]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[-3.8, -0.4]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-37.3 [-61.0, -10.8]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-51.9 [-65.2, -38.1]</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-10.6 [-32.5, +12.1]</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the two runs share the design but not the sampling draws.</w:t>
      </w:r>
    </w:p>
    <w:p>
      <w:pPr>
        <w:spacing w:after="0" w:before="0" w:line="480"/>
        <w:ind w:firstLine="720"/>
        <w:jc w:val="left"/>
      </w:pPr>
      <w:r>
        <w:rPr>
          <w:rFonts w:ascii="Times New Roman" w:cs="Times New Roman" w:eastAsia="Times New Roman" w:hAnsi="Times New Roman"/>
          <w:sz w:val="24"/>
          <w:szCs w:val="24"/>
        </w:rPr>
        <w:t xml:space="preserve">Showing the expected values (Table 9) lowered skipping most where it had been highest: by 37.3 points in the gain frame and by 51.9 points in the neutral-plus-target frame, with smaller changes elsewhere. Skipping did not disappear. With the negative expected quality change of skipping stated, 25.0% of first choices in the gain frame, 21.5% in the loss-plus-target frame, and 17.3% in the neutral-plus-target frame were skip actions. The contrasts in Studies 2 to 4 kept their direction in this run. Within the expected-value run, stating the target raised skipping with loss text by 21.5 points [8.5, 36.5] (10 of 16 wordings positive, none negative) and with neutral text by 7.1 points [-7.1, +22.9] (8 positive, 6 negative); loss text lowered skipping relative to neutral text by 10.2 points [-17.9, -3.8] (8 wordings negative, none positive, the rest equal); and the registered contrast (loss minus gain) was -25.0 points [-43.3, -9.6].</w:t>
      </w:r>
    </w:p>
    <w:p>
      <w:pPr>
        <w:spacing w:after="0" w:before="0" w:line="480"/>
        <w:ind w:firstLine="720"/>
        <w:jc w:val="left"/>
      </w:pPr>
      <w:r>
        <w:rPr>
          <w:rFonts w:ascii="Times New Roman" w:cs="Times New Roman" w:eastAsia="Times New Roman" w:hAnsi="Times New Roman"/>
          <w:sz w:val="24"/>
          <w:szCs w:val="24"/>
        </w:rPr>
        <w:t xml:space="preserve">Two readings follow. Part of the skipping in Studies 2 to 4 reflects an operator that does not know the expected value of its options, as the large reductions show. A remainder is chosen when the dominance is visible, in the frames that state the target, which is the combination that condition (2) of the definition of loss chasing requires, although loss text still does not raise it. Three cautions apply. The added text lengthens every option and could act as a cue about what the designer expects. The two runs share a design but not their sampling draws. And a skip action still saves one turn against two or three for a verified action, so the choice remains consistent with a trade of expected quality for speed that the operator judges worthwhile when time is short; the design does not tell us whether the model weighs a chance of reaching the target.</w:t>
      </w:r>
    </w:p>
    <w:p>
      <w:pPr>
        <w:pStyle w:val="Heading1"/>
        <w:keepNext/>
        <w:spacing w:after="0" w:before="0" w:line="480"/>
      </w:pPr>
      <w:r>
        <w:rPr>
          <w:rFonts w:ascii="Times New Roman" w:cs="Times New Roman" w:eastAsia="Times New Roman" w:hAnsi="Times New Roman"/>
          <w:b/>
          <w:bCs/>
          <w:sz w:val="24"/>
          <w:szCs w:val="24"/>
        </w:rPr>
        <w:t xml:space="preserve">10. Discussion</w:t>
      </w:r>
    </w:p>
    <w:p>
      <w:pPr>
        <w:pStyle w:val="Heading2"/>
        <w:keepNext/>
        <w:spacing w:after="0" w:before="0" w:line="480"/>
      </w:pPr>
      <w:r>
        <w:rPr>
          <w:rFonts w:ascii="Times New Roman" w:cs="Times New Roman" w:eastAsia="Times New Roman" w:hAnsi="Times New Roman"/>
          <w:b/>
          <w:bCs/>
          <w:i/>
          <w:iCs/>
          <w:sz w:val="24"/>
          <w:szCs w:val="24"/>
        </w:rPr>
        <w:t xml:space="preserve">10.1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We find no evidence of it in the three models of Study 1, in the four commercial tiers of Study 2, or in the fast tier with thinking or with the target manipulated in Studies 3 and 4. Where skipping occurs, it is associated with a visible target under time pressure, loss text goes with less of it, reasoning removes most of it, and stating the expected quality change of each option lowers it without removing it. The finding is not that framing is irrelevant: the headline sentence moved the fast tier's skipping from 0% to 100% across conditions. It is that the ingredient that mattered appears to be what the sentence tells the operator about the goal, and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10.2 Theoretical contributions</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often leave confounded. Loss chasing predicts that loss text raises risk taking with everything else held fixed. Goal visibility predicts that stating the target raises it whatever the valence. The 2 x 2 design in Study 4 separates them, and the data are closer to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For information systems research, the results bear on how control signals work in AI delegation. Research on algorithmic control emphasizes what systems monitor and direct (Kellogg et al. 2020), and research on automation emphasizes human reliance on machines (Raisch and Krakowski 2021). Our data add a third element: the text through which a principal communicates goals to an AI agent is itself a lever on the agent's verification behavior. The pattern that a specific, visible target is associated with shortcut taking in the fast model parallels the human findings on goal setting (Schweitzer et al. 2004; Ordóñez et al. 2009), and it suggests that insights from agency and goal-setting theory may transfer to AI agents, with the caveat that a language model has no motives and that we identify no mechanism.</w:t>
      </w:r>
    </w:p>
    <w:p>
      <w:pPr>
        <w:spacing w:after="0" w:before="0" w:line="480"/>
        <w:ind w:firstLine="720"/>
        <w:jc w:val="left"/>
      </w:pPr>
      <w:r>
        <w:rPr>
          <w:rFonts w:ascii="Times New Roman" w:cs="Times New Roman" w:eastAsia="Times New Roman" w:hAnsi="Times New Roman"/>
          <w:sz w:val="24"/>
          <w:szCs w:val="24"/>
        </w:rPr>
        <w:t xml:space="preserve">Our reasoning result sits beside work reporting the opposite pattern. Jiang and Tang (2026) find that stronger reasoning makes agents more likely to trade safety for utility under pressure, whereas we find less skipping with reasoning in the fast model and none in the larger tiers. The two need not conflict. Their setting makes compliance infeasible and sets a rule against a goal, whereas in ours the verified options remain feasible and the shortcut is a dominated option, so deliberation can favor the verified route. We cannot tell which feature of the settings accounts for the difference, and a design that varies both within one environment would be needed to say.</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10.3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loss-worded messages should not be assumed to be the risk; in this environment they were associated with the least skipping in the fast model, and the wording associated with the most skipping displayed a target. Fourth, for unattended operation under deadlines, a reasoning-enabled tier and a deployment gate that makes verification the default are worth considering: the cost is low and the gate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10.4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Opus 5.5, and Fable 5.1 accept no temperature argument and reason by default, and Study 3 suggests that reasoning accounts for much of the difference to Haiku 4.5; the remainder cannot be assigned to size, to training, or to the amount of reasoning, and we do not claim a size effect. Second, the main results come from one model that skips, in one condition (no injected failures) at three turns left; Study 1 covers failure history only at twelve turns left. Third, Studies 2 to 5 were designed after Study 1 and were not registered. Their analysis scripts were written before the runs and their contrasts are descriptive, but the questions they answer were shaped by earlier output, the four studies together make many comparisons, and the intervals are not adjusted for multiplicity, although the three-turn contrasts of Study 2 and the main contrasts of Study 4 (the goal effect with neutral text, valence without a target statement, and the registered contrast) stay clear of zero at the 99.6% level, while the interaction and several finer contrasts in Study 4 do not. Fourth, the 16 wordings per frame were generated by a language model and filtered by mechanical rules, with two of three batches served by a fallback model; they cover a wider range than four hand-written paraphrases but are not a random sample of all possible wordings, and loss wordings contain stronger affect verbs ("knocked," "took a hit," "eroded") than the gain and neutral wordings, which could contribute to the lower skipping under loss text; the split of loss wordings by verb in Study 2 does not support this, but it is a comparison of six and ten wordings with a wide interval. Fifth, the format pre-fill for the open models is an intervention outside the registered protocol, and the open models were run at temperature 0.7 only. We also started the 16-wording design on the small open models and stopped it: it ran on a local processor, was interrupted repeatedly, and had reached 966 of 1,440 first choices for one model and none for the other. We stopped for reasons of time and did not analyze the partial output, so the decision did not depend on results; the open models therefore appear only in Study 1 and in the Study 2 pilot. Sixth, a scalar quality score compresses multidimensional incidents into one line, and the six closed actions simplify the continuous space of field work. Seventh, a model does not feel loss; it reacts to text statistics, and the design does not identify the mechanism by which a sentence changes a choice. Reasons the models give are post hoc statements and are not used as evidence. Eighth, in Studies 1 to 4 the operator sees only qualitative option descriptions, so the dominance of verification is visible to the designer but not to the operator, and part of the skipping may be a defensible trade-off from the operator's information. Study 5 shows that skipping persists at 17% to 25% in the target-stating frames when the expected quality change is stated, but it also lowers it substantially, and the added text may act as a cue; the baseline and expected-value runs share a design but not their sampling draws. Ninth, results for commercial models depend on the model version at the time of the run.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10.5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The registered protocol did not support loss chasing. Five studies, four of them with independently generated wordings and registered analysis scripts, suggest that, in the fast commercial model that skips, the shortcut is associated with a visible target under time pressure, is lower under loss text, and is largely absent with reasoning, and that three larger commercial models did not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Online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Chen H, Liu Y, Shao J, Xu X, Sun Z, Hu W (2026) Polished but unresolved: Identifying late-stage pressure states in long-horizon tool-use agents. </w:t>
      </w:r>
      <w:r>
        <w:rPr>
          <w:rFonts w:ascii="Times New Roman" w:cs="Times New Roman" w:eastAsia="Times New Roman" w:hAnsi="Times New Roman"/>
          <w:i/>
          <w:iCs/>
          <w:sz w:val="24"/>
          <w:szCs w:val="24"/>
        </w:rPr>
        <w:t xml:space="preserve">Proceedings of the 2026 Conference on Empirical Methods in Natural Language Processing</w:t>
      </w:r>
      <w:r>
        <w:rPr>
          <w:rFonts w:ascii="Times New Roman" w:cs="Times New Roman" w:eastAsia="Times New Roman" w:hAnsi="Times New Roman"/>
          <w:sz w:val="24"/>
          <w:szCs w:val="24"/>
        </w:rPr>
        <w:t xml:space="preserve"> (arXiv:2609.00823).</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Jiang H, Tang K (2026) Why agents compromise safety under pressure. </w:t>
      </w:r>
      <w:r>
        <w:rPr>
          <w:rFonts w:ascii="Times New Roman" w:cs="Times New Roman" w:eastAsia="Times New Roman" w:hAnsi="Times New Roman"/>
          <w:i/>
          <w:iCs/>
          <w:sz w:val="24"/>
          <w:szCs w:val="24"/>
        </w:rPr>
        <w:t xml:space="preserve">Findings of the Association for Computational Linguistics: ACL 2026</w:t>
      </w:r>
      <w:r>
        <w:rPr>
          <w:rFonts w:ascii="Times New Roman" w:cs="Times New Roman" w:eastAsia="Times New Roman" w:hAnsi="Times New Roman"/>
          <w:sz w:val="24"/>
          <w:szCs w:val="24"/>
        </w:rPr>
        <w:t xml:space="preserve"> (arXiv:2603.14975).</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Kellogg KC, Valentine MA, Christin A (2020) Algorithms at work: The new contested terrain of control. </w:t>
      </w:r>
      <w:r>
        <w:rPr>
          <w:rFonts w:ascii="Times New Roman" w:cs="Times New Roman" w:eastAsia="Times New Roman" w:hAnsi="Times New Roman"/>
          <w:i/>
          <w:iCs/>
          <w:sz w:val="24"/>
          <w:szCs w:val="24"/>
        </w:rPr>
        <w:t xml:space="preserve">Academy of Management Annals</w:t>
      </w:r>
      <w:r>
        <w:rPr>
          <w:rFonts w:ascii="Times New Roman" w:cs="Times New Roman" w:eastAsia="Times New Roman" w:hAnsi="Times New Roman"/>
          <w:sz w:val="24"/>
          <w:szCs w:val="24"/>
        </w:rPr>
        <w:t xml:space="preserve"> 14(1):366-410.</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Locke EA, Latham GP (2002) Building a practically useful theory of goal setting and task motivation: A 35-year odyssey.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57(9):705-717.</w:t>
      </w:r>
    </w:p>
    <w:p>
      <w:pPr>
        <w:spacing w:after="0" w:before="0" w:line="480"/>
        <w:ind w:left="720" w:hanging="720"/>
      </w:pPr>
      <w:r>
        <w:rPr>
          <w:rFonts w:ascii="Times New Roman" w:cs="Times New Roman" w:eastAsia="Times New Roman" w:hAnsi="Times New Roman"/>
          <w:sz w:val="24"/>
          <w:szCs w:val="24"/>
        </w:rPr>
        <w:t xml:space="preserve">Ordóñez LD, Schweitzer ME, Galinsky AD, Bazerman MH (2009) Goals gone wild: The systematic side effects of overprescribing goal setting. </w:t>
      </w:r>
      <w:r>
        <w:rPr>
          <w:rFonts w:ascii="Times New Roman" w:cs="Times New Roman" w:eastAsia="Times New Roman" w:hAnsi="Times New Roman"/>
          <w:i/>
          <w:iCs/>
          <w:sz w:val="24"/>
          <w:szCs w:val="24"/>
        </w:rPr>
        <w:t xml:space="preserve">Academy of Management Perspectives</w:t>
      </w:r>
      <w:r>
        <w:rPr>
          <w:rFonts w:ascii="Times New Roman" w:cs="Times New Roman" w:eastAsia="Times New Roman" w:hAnsi="Times New Roman"/>
          <w:sz w:val="24"/>
          <w:szCs w:val="24"/>
        </w:rPr>
        <w:t xml:space="preserve"> 23(1):6-16.</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Payne K (2025) An analysis of AI decision under risk: Prospect theory emerges in large language models. Preprint, arXiv:2508.00902.</w:t>
      </w:r>
    </w:p>
    <w:p>
      <w:pPr>
        <w:spacing w:after="0" w:before="0" w:line="480"/>
        <w:ind w:left="720" w:hanging="720"/>
      </w:pPr>
      <w:r>
        <w:rPr>
          <w:rFonts w:ascii="Times New Roman" w:cs="Times New Roman" w:eastAsia="Times New Roman" w:hAnsi="Times New Roman"/>
          <w:sz w:val="24"/>
          <w:szCs w:val="24"/>
        </w:rPr>
        <w:t xml:space="preserve">Raisch S, Krakowski S (2021) Artificial intelligence and management: The automation-augmentation paradox.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46(1):192-210.</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Saebo M, Gibson S, Crosse T, Menon A, Jang E, Cruz D (2026) Asymmetric goal drift in coding agents under value conflict. Preprint, arXiv:2603.03456.</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Scheurer J, Balesni M, Hobbhahn M (2023) Large language models can strategically deceive their users when put under pressure. Preprint, arXiv:2311.07590.</w:t>
      </w:r>
    </w:p>
    <w:p>
      <w:pPr>
        <w:spacing w:after="0" w:before="0" w:line="480"/>
        <w:ind w:left="720" w:hanging="720"/>
      </w:pPr>
      <w:r>
        <w:rPr>
          <w:rFonts w:ascii="Times New Roman" w:cs="Times New Roman" w:eastAsia="Times New Roman" w:hAnsi="Times New Roman"/>
          <w:sz w:val="24"/>
          <w:szCs w:val="24"/>
        </w:rPr>
        <w:t xml:space="preserve">Schweitzer ME, Ordóñez L, Douma B (2004) Goal setting as a motivator of unethical behavior. </w:t>
      </w:r>
      <w:r>
        <w:rPr>
          <w:rFonts w:ascii="Times New Roman" w:cs="Times New Roman" w:eastAsia="Times New Roman" w:hAnsi="Times New Roman"/>
          <w:i/>
          <w:iCs/>
          <w:sz w:val="24"/>
          <w:szCs w:val="24"/>
        </w:rPr>
        <w:t xml:space="preserve">Academy of Management Journal</w:t>
      </w:r>
      <w:r>
        <w:rPr>
          <w:rFonts w:ascii="Times New Roman" w:cs="Times New Roman" w:eastAsia="Times New Roman" w:hAnsi="Times New Roman"/>
          <w:sz w:val="24"/>
          <w:szCs w:val="24"/>
        </w:rPr>
        <w:t xml:space="preserve"> 47(3):422-432.</w:t>
      </w:r>
    </w:p>
    <w:p>
      <w:pPr>
        <w:spacing w:after="0" w:before="0" w:line="480"/>
        <w:ind w:left="720" w:hanging="720"/>
      </w:pPr>
      <w:r>
        <w:rPr>
          <w:rFonts w:ascii="Times New Roman" w:cs="Times New Roman" w:eastAsia="Times New Roman" w:hAnsi="Times New Roman"/>
          <w:sz w:val="24"/>
          <w:szCs w:val="24"/>
        </w:rPr>
        <w:t xml:space="preserve">Sculley D, et al. (2015) Hidden technical debt in machine learning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28.</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pPr>
        <w:spacing w:after="0" w:before="0" w:line="480"/>
        <w:ind w:left="720" w:hanging="720"/>
      </w:pPr>
      <w:r>
        <w:rPr>
          <w:rFonts w:ascii="Times New Roman" w:cs="Times New Roman" w:eastAsia="Times New Roman" w:hAnsi="Times New Roman"/>
          <w:sz w:val="24"/>
          <w:szCs w:val="24"/>
        </w:rPr>
        <w:t xml:space="preserve">Wang Z, Zhang Z (2026) Framing effects in independent-agent large language models: A cross-family behavioral analysis. Preprint, arXiv:2603.19282.</w:t>
      </w:r>
    </w:p>
    <w:p>
      <w:pPr>
        <w:spacing w:after="0" w:before="0" w:line="480"/>
        <w:ind w:left="720" w:hanging="720"/>
      </w:pPr>
      <w:r>
        <w:rPr>
          <w:rFonts w:ascii="Times New Roman" w:cs="Times New Roman" w:eastAsia="Times New Roman" w:hAnsi="Times New Roman"/>
          <w:sz w:val="24"/>
          <w:szCs w:val="24"/>
        </w:rPr>
        <w:t xml:space="preserve">Xu X, Wu W (2026) Low reasoning effort is enough for routine office work by language-model agents. Preprint, arXiv:2608.03169.</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336c3864fe20b8673448d1eeadf45f33a6a94c0.png"/><Relationship Id="rId9" Type="http://schemas.openxmlformats.org/officeDocument/2006/relationships/image" Target="media/fe054bed557d0f4feecb89e4dbd51d75b2f55a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Loss Frames Make LLM Operators Skip Verification? Goal Visibility and Reasoning in a Maintenance Environment</dc:title>
  <cp:lastModifiedBy>Un-named</cp:lastModifiedBy>
  <cp:revision>1</cp:revision>
  <dcterms:created xsi:type="dcterms:W3CDTF">2026-10-02T12:46:16.682Z</dcterms:created>
  <dcterms:modified xsi:type="dcterms:W3CDTF">2026-10-02T12:46:16.685Z</dcterms:modified>
</cp:coreProperties>
</file>

<file path=docProps/custom.xml><?xml version="1.0" encoding="utf-8"?>
<Properties xmlns="http://schemas.openxmlformats.org/officeDocument/2006/custom-properties" xmlns:vt="http://schemas.openxmlformats.org/officeDocument/2006/docPropsVTypes"/>
</file>