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b/>
          <w:i w:val="0"/>
          <w:sz w:val="24"/>
        </w:rPr>
        <w:t>Title Page</w:t>
      </w:r>
    </w:p>
    <w:p>
      <w:pPr>
        <w:spacing w:after="360" w:before="0" w:line="276" w:lineRule="auto"/>
        <w:jc w:val="center"/>
      </w:pPr>
      <w:r>
        <w:rPr>
          <w:b w:val="0"/>
          <w:i/>
          <w:sz w:val="22"/>
        </w:rPr>
        <w:t>(administrative page; not part of the blinded manuscript)</w:t>
      </w:r>
    </w:p>
    <w:p>
      <w:pPr>
        <w:spacing w:after="360" w:before="0" w:line="288" w:lineRule="auto"/>
        <w:jc w:val="center"/>
      </w:pPr>
      <w:r>
        <w:rPr>
          <w:b/>
          <w:i w:val="0"/>
          <w:sz w:val="28"/>
        </w:rPr>
        <w:t>Cheap Code, Costly Choices: A Behavioral Economics Theory of Technical Debt Accumulation in LLM-Assisted Software Development</w:t>
      </w:r>
    </w:p>
    <w:p>
      <w:pPr>
        <w:spacing w:after="160" w:line="276" w:lineRule="auto"/>
      </w:pPr>
      <w:r>
        <w:rPr>
          <w:b/>
        </w:rPr>
        <w:t xml:space="preserve">Submitted to: </w:t>
      </w:r>
      <w:r>
        <w:rPr>
          <w:b w:val="0"/>
        </w:rPr>
        <w:t>Management Science, Department of Information Systems</w:t>
      </w:r>
    </w:p>
    <w:p>
      <w:pPr>
        <w:spacing w:after="160" w:line="276" w:lineRule="auto"/>
      </w:pPr>
      <w:r>
        <w:rPr>
          <w:b/>
        </w:rPr>
        <w:t xml:space="preserve">Article type: </w:t>
      </w:r>
      <w:r>
        <w:rPr>
          <w:b w:val="0"/>
        </w:rPr>
        <w:t>Research article</w:t>
      </w:r>
    </w:p>
    <w:p>
      <w:pPr>
        <w:spacing w:after="80" w:before="120" w:line="276" w:lineRule="auto"/>
      </w:pPr>
      <w:r>
        <w:rPr>
          <w:b/>
          <w:i w:val="0"/>
        </w:rPr>
        <w:t>Authors</w:t>
      </w:r>
    </w:p>
    <w:p>
      <w:pPr>
        <w:spacing w:after="40" w:before="0" w:line="276" w:lineRule="auto"/>
      </w:pPr>
      <w:r>
        <w:rPr>
          <w:b w:val="0"/>
          <w:i w:val="0"/>
        </w:rPr>
        <w:t>Ook Lee, Department of Information Systems, Hanyang University, Seoul, Korea</w:t>
      </w:r>
    </w:p>
    <w:p>
      <w:pPr>
        <w:spacing w:after="160" w:line="276" w:lineRule="auto"/>
      </w:pPr>
      <w:r>
        <w:rPr>
          <w:b/>
        </w:rPr>
        <w:t xml:space="preserve">Corresponding author: </w:t>
      </w:r>
      <w:r>
        <w:rPr>
          <w:b w:val="0"/>
        </w:rPr>
        <w:t>Ook Lee, Department of Information Systems, Hanyang University, Seoul, Korea; ooklee@hanyang.ac.kr</w:t>
      </w:r>
    </w:p>
    <w:p>
      <w:pPr>
        <w:spacing w:after="160" w:line="276" w:lineRule="auto"/>
      </w:pPr>
      <w:r>
        <w:rPr>
          <w:b/>
        </w:rPr>
        <w:t xml:space="preserve">Keywords: </w:t>
      </w:r>
      <w:r>
        <w:rPr>
          <w:b w:val="0"/>
        </w:rPr>
        <w:t>technical debt; large language models; generative AI; behavioral economics; automation bias; choice architecture; IT governance; formal model</w:t>
      </w:r>
    </w:p>
    <w:p>
      <w:pPr>
        <w:spacing w:after="80" w:before="120" w:line="276" w:lineRule="auto"/>
      </w:pPr>
      <w:r>
        <w:rPr>
          <w:b/>
          <w:i w:val="0"/>
        </w:rPr>
        <w:t>Manuscript details</w:t>
      </w:r>
    </w:p>
    <w:p>
      <w:pPr>
        <w:spacing w:after="60" w:line="276" w:lineRule="auto"/>
      </w:pPr>
      <w:r>
        <w:rPr>
          <w:b/>
        </w:rPr>
        <w:t xml:space="preserve">Abstract: </w:t>
      </w:r>
      <w:r>
        <w:rPr>
          <w:b w:val="0"/>
        </w:rPr>
        <w:t>198 words</w:t>
      </w:r>
    </w:p>
    <w:p>
      <w:pPr>
        <w:spacing w:after="60" w:line="276" w:lineRule="auto"/>
      </w:pPr>
      <w:r>
        <w:rPr>
          <w:b/>
        </w:rPr>
        <w:t xml:space="preserve">Main text: </w:t>
      </w:r>
      <w:r>
        <w:rPr>
          <w:b w:val="0"/>
        </w:rPr>
        <w:t>approximately 11,200 words (Introduction through Conclusion, including table text and excluding equations)</w:t>
      </w:r>
    </w:p>
    <w:p>
      <w:pPr>
        <w:spacing w:after="60" w:line="276" w:lineRule="auto"/>
      </w:pPr>
      <w:r>
        <w:rPr>
          <w:b/>
        </w:rPr>
        <w:t xml:space="preserve">Tables and figures: </w:t>
      </w:r>
      <w:r>
        <w:rPr>
          <w:b w:val="0"/>
        </w:rPr>
        <w:t>5 tables and 1 figure</w:t>
      </w:r>
    </w:p>
    <w:p>
      <w:pPr>
        <w:spacing w:after="60" w:line="276" w:lineRule="auto"/>
      </w:pPr>
      <w:r>
        <w:rPr>
          <w:b/>
        </w:rPr>
        <w:t xml:space="preserve">References: </w:t>
      </w:r>
      <w:r>
        <w:rPr>
          <w:b w:val="0"/>
        </w:rPr>
        <w:t>52 entries</w:t>
      </w:r>
    </w:p>
    <w:p>
      <w:pPr>
        <w:spacing w:after="60" w:line="276" w:lineRule="auto"/>
      </w:pPr>
      <w:r>
        <w:rPr>
          <w:b/>
        </w:rPr>
        <w:t xml:space="preserve">Appendix: </w:t>
      </w:r>
      <w:r>
        <w:rPr>
          <w:b w:val="0"/>
        </w:rPr>
        <w:t>Appendix A (proofs) is in the manuscript; an Online Appendix (OA1 to OA9: further proofs, data construction, additional results, and the experimental protocol) is submitted as a separate file.</w:t>
      </w:r>
    </w:p>
    <w:p>
      <w:pPr>
        <w:spacing w:after="80" w:before="200" w:line="276" w:lineRule="auto"/>
      </w:pPr>
      <w:r>
        <w:rPr>
          <w:b/>
          <w:i w:val="0"/>
        </w:rPr>
        <w:t>Declarations</w:t>
      </w:r>
    </w:p>
    <w:p>
      <w:pPr>
        <w:spacing w:after="80" w:line="276" w:lineRule="auto"/>
      </w:pPr>
      <w:r>
        <w:rPr>
          <w:b/>
        </w:rPr>
        <w:t xml:space="preserve">Acknowledgments: </w:t>
      </w:r>
      <w:r>
        <w:rPr>
          <w:b w:val="0"/>
        </w:rPr>
        <w:t>[To be completed. Omit from the blinded manuscript.]</w:t>
      </w:r>
    </w:p>
    <w:p>
      <w:pPr>
        <w:spacing w:after="80" w:line="276" w:lineRule="auto"/>
      </w:pPr>
      <w:r>
        <w:rPr>
          <w:b/>
        </w:rPr>
        <w:t xml:space="preserve">Funding: </w:t>
      </w:r>
      <w:r>
        <w:rPr>
          <w:b w:val="0"/>
        </w:rPr>
        <w:t>[To be completed, or: This research received no specific funding.]</w:t>
      </w:r>
    </w:p>
    <w:p>
      <w:pPr>
        <w:spacing w:after="80" w:line="276" w:lineRule="auto"/>
      </w:pPr>
      <w:r>
        <w:rPr>
          <w:b/>
        </w:rPr>
        <w:t xml:space="preserve">Conflict of interest: </w:t>
      </w:r>
      <w:r>
        <w:rPr>
          <w:b w:val="0"/>
        </w:rPr>
        <w:t>[To be completed.]</w:t>
      </w:r>
    </w:p>
    <w:p>
      <w:pPr>
        <w:spacing w:after="80" w:line="276" w:lineRule="auto"/>
      </w:pPr>
      <w:r>
        <w:rPr>
          <w:b/>
        </w:rPr>
        <w:t xml:space="preserve">Ethics: </w:t>
      </w:r>
      <w:r>
        <w:rPr>
          <w:b w:val="0"/>
        </w:rPr>
        <w:t>No human-subjects data were collected. The experiment described in Section 5.5 of the manuscript has not been run; ethics approval will be sought before any data collection.</w:t>
      </w:r>
    </w:p>
    <w:p>
      <w:pPr>
        <w:spacing w:after="80" w:line="276" w:lineRule="auto"/>
      </w:pPr>
      <w:r>
        <w:rPr>
          <w:b/>
        </w:rPr>
        <w:t xml:space="preserve">Data and code: </w:t>
      </w:r>
      <w:r>
        <w:rPr>
          <w:b w:val="0"/>
        </w:rPr>
        <w:t>All data are public (GH Archive; AIDev, CC BY 4.0; CommitPackFT, MIT). Code will be deposited at [repository and DOI to be added]. AsCollected project page: [AsCollected link to be added].</w:t>
      </w:r>
    </w:p>
    <w:p>
      <w:pPr>
        <w:spacing w:after="80" w:line="276" w:lineRule="auto"/>
      </w:pPr>
      <w:r>
        <w:rPr>
          <w:b/>
        </w:rPr>
        <w:t xml:space="preserve">Use of generative AI: </w:t>
      </w:r>
      <w:r>
        <w:rPr>
          <w:b w:val="0"/>
        </w:rPr>
        <w:t>[To be completed in accordance with the journal's policy.]</w:t>
      </w:r>
    </w:p>
    <w:p>
      <w:pPr>
        <w:spacing w:after="80" w:line="276" w:lineRule="auto"/>
      </w:pPr>
      <w:r>
        <w:rPr>
          <w:b/>
        </w:rPr>
        <w:t xml:space="preserve">Prior submission: </w:t>
      </w:r>
      <w:r>
        <w:rPr>
          <w:b w:val="0"/>
        </w:rPr>
        <w:t>[To be completed: state whether an earlier version was submitted elsewhere, if the journal asks.]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 PAGE 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