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sz w:val="24"/>
          <w:szCs w:val="24"/>
        </w:rPr>
        <w:t xml:space="preserve">Statement of Contribution</w:t>
      </w:r>
    </w:p>
    <w:p>
      <w:pPr>
        <w:spacing w:after="120" w:line="276"/>
        <w:jc w:val="center"/>
      </w:pPr>
      <w:r>
        <w:rPr>
          <w:rFonts w:ascii="Times New Roman" w:cs="Times New Roman" w:eastAsia="Times New Roman" w:hAnsi="Times New Roman"/>
          <w:i/>
          <w:iCs/>
          <w:sz w:val="24"/>
          <w:szCs w:val="24"/>
        </w:rPr>
        <w:t xml:space="preserve">Staging Commitment When the Ruler Can Move: Real Options for Generative AI Maintenance under Judge Uncertainty</w:t>
      </w:r>
    </w:p>
    <w:p>
      <w:pPr>
        <w:pBdr>
          <w:bottom w:val="single" w:color="000000" w:sz="6" w:space="1"/>
        </w:pBdr>
        <w:spacing w:after="160"/>
      </w:pPr>
    </w:p>
    <w:p>
      <w:pPr>
        <w:keepNext/>
        <w:spacing w:after="100" w:before="200"/>
      </w:pPr>
      <w:r>
        <w:rPr>
          <w:rFonts w:ascii="Times New Roman" w:cs="Times New Roman" w:eastAsia="Times New Roman" w:hAnsi="Times New Roman"/>
          <w:b/>
          <w:bCs/>
          <w:sz w:val="24"/>
          <w:szCs w:val="24"/>
        </w:rPr>
        <w:t xml:space="preserve">Research question</w:t>
      </w:r>
    </w:p>
    <w:p>
      <w:pPr>
        <w:spacing w:after="160" w:line="276"/>
        <w:jc w:val="left"/>
      </w:pPr>
      <w:r>
        <w:rPr>
          <w:rFonts w:ascii="Times New Roman" w:cs="Times New Roman" w:eastAsia="Times New Roman" w:hAnsi="Times New Roman"/>
          <w:sz w:val="24"/>
          <w:szCs w:val="24"/>
        </w:rPr>
        <w:t xml:space="preserve">When should an organization exercise the option to promote a generative AI policy that a language-model judge has scored more highly, when the judge score is cheap, endogenous to the search, and able to change without notice?</w:t>
      </w:r>
    </w:p>
    <w:p>
      <w:pPr>
        <w:keepNext/>
        <w:spacing w:after="100" w:before="200"/>
      </w:pPr>
      <w:r>
        <w:rPr>
          <w:rFonts w:ascii="Times New Roman" w:cs="Times New Roman" w:eastAsia="Times New Roman" w:hAnsi="Times New Roman"/>
          <w:b/>
          <w:bCs/>
          <w:sz w:val="24"/>
          <w:szCs w:val="24"/>
        </w:rPr>
        <w:t xml:space="preserve">What is new</w:t>
      </w:r>
    </w:p>
    <w:p>
      <w:pPr>
        <w:pStyle w:val="ListParagraph"/>
        <w:numPr>
          <w:ilvl w:val="0"/>
          <w:numId w:val="2"/>
        </w:numPr>
        <w:spacing w:after="80" w:line="276"/>
      </w:pPr>
      <w:r>
        <w:rPr>
          <w:rFonts w:ascii="Times New Roman" w:cs="Times New Roman" w:eastAsia="Times New Roman" w:hAnsi="Times New Roman"/>
          <w:sz w:val="24"/>
          <w:szCs w:val="24"/>
        </w:rPr>
        <w:t xml:space="preserve">Measurement-system risk. Real options theory in IS assumes that the performance measure used to update beliefs, however noisy, stays attached to the underlying asset. The paper relaxes this assumption, models the judge as an observation equation that can drift or jump, and shows that the option premium for waiting rises with judge noise and jump risk (Section 3; Propositions 1 to 5).</w:t>
      </w:r>
    </w:p>
    <w:p>
      <w:pPr>
        <w:pStyle w:val="ListParagraph"/>
        <w:numPr>
          <w:ilvl w:val="0"/>
          <w:numId w:val="2"/>
        </w:numPr>
        <w:spacing w:after="80" w:line="276"/>
      </w:pPr>
      <w:r>
        <w:rPr>
          <w:rFonts w:ascii="Times New Roman" w:cs="Times New Roman" w:eastAsia="Times New Roman" w:hAnsi="Times New Roman"/>
          <w:sz w:val="24"/>
          <w:szCs w:val="24"/>
        </w:rPr>
        <w:t xml:space="preserve">Maintenance rather than project funding. Promotion of a generative policy recurs weekly and is costly to reverse because users, logs, and future training data inherit it. The paper recasts the release train as a compound option and adds the option to switch the ruler, that is, to pin and recalibrate the judge.</w:t>
      </w:r>
    </w:p>
    <w:p>
      <w:pPr>
        <w:pStyle w:val="ListParagraph"/>
        <w:numPr>
          <w:ilvl w:val="0"/>
          <w:numId w:val="2"/>
        </w:numPr>
        <w:spacing w:after="80" w:line="276"/>
      </w:pPr>
      <w:r>
        <w:rPr>
          <w:rFonts w:ascii="Times New Roman" w:cs="Times New Roman" w:eastAsia="Times New Roman" w:hAnsi="Times New Roman"/>
          <w:sz w:val="24"/>
          <w:szCs w:val="24"/>
        </w:rPr>
        <w:t xml:space="preserve">Inspection that detects and deters. In a stylized model of search depth, exploitation, and pay (Section 4), inspection lowers the loss from gaming and also lowers the incentive to game, and its deterrence strengthens with search depth. The model yields conditions under which judge-linked pay is optimal at full strength, a threshold on pay beyond which gaming disappears, and conditions under which the team’s equilibrium is unique or multiple. Proofs are in the Online Appendix.</w:t>
      </w:r>
    </w:p>
    <w:p>
      <w:pPr>
        <w:pStyle w:val="ListParagraph"/>
        <w:numPr>
          <w:ilvl w:val="0"/>
          <w:numId w:val="2"/>
        </w:numPr>
        <w:spacing w:after="80" w:line="276"/>
      </w:pPr>
      <w:r>
        <w:rPr>
          <w:rFonts w:ascii="Times New Roman" w:cs="Times New Roman" w:eastAsia="Times New Roman" w:hAnsi="Times New Roman"/>
          <w:sz w:val="24"/>
          <w:szCs w:val="24"/>
        </w:rPr>
        <w:t xml:space="preserve">Evidence that the problem is conditional. In experiments with open models on verifiable math problems (Section 5), search against a strong judge improved correctness by 0.10 relative to a control arm, whereas under a weak judge the gain disappeared and the share of questions in which the judge score rose while gold fell increased by 0.065.</w:t>
      </w:r>
    </w:p>
    <w:p>
      <w:pPr>
        <w:keepNext/>
        <w:spacing w:after="100" w:before="200"/>
      </w:pPr>
      <w:r>
        <w:rPr>
          <w:rFonts w:ascii="Times New Roman" w:cs="Times New Roman" w:eastAsia="Times New Roman" w:hAnsi="Times New Roman"/>
          <w:b/>
          <w:bCs/>
          <w:sz w:val="24"/>
          <w:szCs w:val="24"/>
        </w:rPr>
        <w:t xml:space="preserve">Relation to prior work</w:t>
      </w:r>
    </w:p>
    <w:p>
      <w:pPr>
        <w:spacing w:after="160" w:line="276"/>
        <w:jc w:val="left"/>
      </w:pPr>
      <w:r>
        <w:rPr>
          <w:rFonts w:ascii="Times New Roman" w:cs="Times New Roman" w:eastAsia="Times New Roman" w:hAnsi="Times New Roman"/>
          <w:sz w:val="24"/>
          <w:szCs w:val="24"/>
        </w:rPr>
        <w:t xml:space="preserve">The paper builds on option-based IT investment and risk research (Benaroch 2002; Benaroch et al. 2006; Fichman 2004; Taudes et al. 2000), on the control literature (Ouchi 1979), and on work on reward-model overoptimization (Gao et al. 2023) and multitask incentives (Holmström and Milgrom 1991). To our knowledge, the IS option literature has not treated the measuring instrument itself as a source of risk. </w:t>
      </w:r>
      <w:r>
        <w:rPr>
          <w:rFonts w:ascii="Times New Roman" w:cs="Times New Roman" w:eastAsia="Times New Roman" w:hAnsi="Times New Roman"/>
          <w:sz w:val="24"/>
          <w:szCs w:val="24"/>
          <w:highlight w:val="yellow"/>
          <w:highlightCs w:val="yellow"/>
        </w:rPr>
        <w:t xml:space="preserve">[Confirm this statement against a systematic literature search before submission.]</w:t>
      </w:r>
    </w:p>
    <w:p>
      <w:pPr>
        <w:keepNext/>
        <w:spacing w:after="100" w:before="200"/>
      </w:pPr>
      <w:r>
        <w:rPr>
          <w:rFonts w:ascii="Times New Roman" w:cs="Times New Roman" w:eastAsia="Times New Roman" w:hAnsi="Times New Roman"/>
          <w:b/>
          <w:bCs/>
          <w:sz w:val="24"/>
          <w:szCs w:val="24"/>
        </w:rPr>
        <w:t xml:space="preserve">Evidence and its limits</w:t>
      </w:r>
    </w:p>
    <w:p>
      <w:pPr>
        <w:spacing w:after="160" w:line="276"/>
        <w:jc w:val="left"/>
      </w:pPr>
      <w:r>
        <w:rPr>
          <w:rFonts w:ascii="Times New Roman" w:cs="Times New Roman" w:eastAsia="Times New Roman" w:hAnsi="Times New Roman"/>
          <w:sz w:val="24"/>
          <w:szCs w:val="24"/>
        </w:rPr>
        <w:t xml:space="preserve">The evidence is computational. The designed illustration contains its cheat by construction, the empirical check covers one benchmark with deterministic gold, one policy model, and two judges, and no deliberate gaming was observed. The stylized model’s mechanisms are untested, and the field design in Section 6 has not been executed. The paper states these limits and frames its claims as conditional.</w:t>
      </w:r>
    </w:p>
    <w:p>
      <w:pPr>
        <w:keepNext/>
        <w:spacing w:after="100" w:before="200"/>
      </w:pPr>
      <w:r>
        <w:rPr>
          <w:rFonts w:ascii="Times New Roman" w:cs="Times New Roman" w:eastAsia="Times New Roman" w:hAnsi="Times New Roman"/>
          <w:b/>
          <w:bCs/>
          <w:sz w:val="24"/>
          <w:szCs w:val="24"/>
        </w:rPr>
        <w:t xml:space="preserve">Implications</w:t>
      </w:r>
    </w:p>
    <w:p>
      <w:pPr>
        <w:spacing w:after="160" w:line="276"/>
        <w:jc w:val="left"/>
      </w:pPr>
      <w:r>
        <w:rPr>
          <w:rFonts w:ascii="Times New Roman" w:cs="Times New Roman" w:eastAsia="Times New Roman" w:hAnsi="Times New Roman"/>
          <w:sz w:val="24"/>
          <w:szCs w:val="24"/>
        </w:rPr>
        <w:t xml:space="preserve">For theory, the paper adds an instrument-risk row to the option-based risk mapping (Table 5). For practice, it yields five commitments for promotion reviews: version the judge and rubric, split development, holdout, and canary items before search, log the judge but gate on an independent check, ship a pilot first, and set the intensity of judge-linked pay together with the power of inspection.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2026-10-17T01:15:43.031Z</dcterms:created>
  <dcterms:modified xsi:type="dcterms:W3CDTF">2026-10-17T01:15:43.031Z</dcterms:modified>
</cp:coreProperties>
</file>

<file path=docProps/custom.xml><?xml version="1.0" encoding="utf-8"?>
<Properties xmlns="http://schemas.openxmlformats.org/officeDocument/2006/custom-properties" xmlns:vt="http://schemas.openxmlformats.org/officeDocument/2006/docPropsVTypes"/>
</file>