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4"/>
          <w:szCs w:val="24"/>
        </w:rPr>
        <w:t xml:space="preserve">TITLE PAGE (not for blind review)</w:t>
      </w:r>
    </w:p>
    <w:p>
      <w:pPr>
        <w:spacing w:after="0" w:line="276"/>
        <w:jc w:val="center"/>
      </w:pPr>
      <w:r>
        <w:rPr>
          <w:rFonts w:ascii="Times New Roman" w:cs="Times New Roman" w:eastAsia="Times New Roman" w:hAnsi="Times New Roman"/>
          <w:b/>
          <w:bCs/>
          <w:sz w:val="24"/>
          <w:szCs w:val="24"/>
        </w:rPr>
        <w:t xml:space="preserve">Staging Commitment When the Ruler Can Move:</w:t>
      </w:r>
    </w:p>
    <w:p>
      <w:pPr>
        <w:spacing w:after="240" w:line="276"/>
        <w:jc w:val="center"/>
      </w:pPr>
      <w:r>
        <w:rPr>
          <w:rFonts w:ascii="Times New Roman" w:cs="Times New Roman" w:eastAsia="Times New Roman" w:hAnsi="Times New Roman"/>
          <w:b/>
          <w:bCs/>
          <w:sz w:val="24"/>
          <w:szCs w:val="24"/>
        </w:rPr>
        <w:t xml:space="preserve">Real Options for Generative AI Maintenance under Judge Uncertainty</w:t>
      </w:r>
    </w:p>
    <w:p>
      <w:pPr>
        <w:keepNext/>
        <w:spacing w:after="100" w:before="200"/>
      </w:pPr>
      <w:r>
        <w:rPr>
          <w:rFonts w:ascii="Times New Roman" w:cs="Times New Roman" w:eastAsia="Times New Roman" w:hAnsi="Times New Roman"/>
          <w:b/>
          <w:bCs/>
          <w:sz w:val="24"/>
          <w:szCs w:val="24"/>
        </w:rPr>
        <w:t xml:space="preserve">Authors</w:t>
      </w:r>
    </w:p>
    <w:p>
      <w:pPr>
        <w:spacing w:after="60" w:line="276"/>
        <w:jc w:val="left"/>
      </w:pPr>
      <w:r>
        <w:rPr>
          <w:rFonts w:ascii="Times New Roman" w:cs="Times New Roman" w:eastAsia="Times New Roman" w:hAnsi="Times New Roman"/>
          <w:sz w:val="24"/>
          <w:szCs w:val="24"/>
          <w:highlight w:val="yellow"/>
          <w:highlightCs w:val="yellow"/>
        </w:rPr>
        <w:t xml:space="preserve">[Author 1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[affiliation]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[email]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[ORCID]</w:t>
      </w:r>
    </w:p>
    <w:p>
      <w:pPr>
        <w:spacing w:after="160" w:line="276"/>
        <w:jc w:val="left"/>
      </w:pPr>
      <w:r>
        <w:rPr>
          <w:rFonts w:ascii="Times New Roman" w:cs="Times New Roman" w:eastAsia="Times New Roman" w:hAnsi="Times New Roman"/>
          <w:sz w:val="24"/>
          <w:szCs w:val="24"/>
          <w:highlight w:val="yellow"/>
          <w:highlightCs w:val="yellow"/>
        </w:rPr>
        <w:t xml:space="preserve">[Author 2 name, if 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[affiliation]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[email]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[ORCID]</w:t>
      </w:r>
    </w:p>
    <w:p>
      <w:pPr>
        <w:keepNext/>
        <w:spacing w:after="100" w:before="200"/>
      </w:pPr>
      <w:r>
        <w:rPr>
          <w:rFonts w:ascii="Times New Roman" w:cs="Times New Roman" w:eastAsia="Times New Roman" w:hAnsi="Times New Roman"/>
          <w:b/>
          <w:bCs/>
          <w:sz w:val="24"/>
          <w:szCs w:val="24"/>
        </w:rPr>
        <w:t xml:space="preserve">Corresponding author</w:t>
      </w:r>
    </w:p>
    <w:p>
      <w:pPr>
        <w:spacing w:after="160" w:line="276"/>
        <w:jc w:val="left"/>
      </w:pPr>
      <w:r>
        <w:rPr>
          <w:rFonts w:ascii="Times New Roman" w:cs="Times New Roman" w:eastAsia="Times New Roman" w:hAnsi="Times New Roman"/>
          <w:sz w:val="24"/>
          <w:szCs w:val="24"/>
          <w:highlight w:val="yellow"/>
          <w:highlightCs w:val="yellow"/>
        </w:rPr>
        <w:t xml:space="preserve">[Name, postal address, email, telephone]</w:t>
      </w:r>
    </w:p>
    <w:p>
      <w:pPr>
        <w:keepNext/>
        <w:spacing w:after="100" w:before="200"/>
      </w:pPr>
      <w:r>
        <w:rPr>
          <w:rFonts w:ascii="Times New Roman" w:cs="Times New Roman" w:eastAsia="Times New Roman" w:hAnsi="Times New Roman"/>
          <w:b/>
          <w:bCs/>
          <w:sz w:val="24"/>
          <w:szCs w:val="24"/>
        </w:rPr>
        <w:t xml:space="preserve">Abstract</w:t>
      </w:r>
    </w:p>
    <w:p>
      <w:pPr>
        <w:spacing w:after="160" w:line="276"/>
        <w:jc w:val="both"/>
      </w:pPr>
      <w:r>
        <w:rPr>
          <w:rFonts w:ascii="Times New Roman" w:cs="Times New Roman" w:eastAsia="Times New Roman" w:hAnsi="Times New Roman"/>
          <w:sz w:val="24"/>
          <w:szCs w:val="24"/>
        </w:rPr>
        <w:t xml:space="preserve">Organizations increasingly use one language model to maintain another: judge models score outputs, rewrite prompts, and authorize the promotion of new policies. This is an investment problem in which the instrument that licenses commitment, the judge score, is noisy, gameable, and subject to change. Drawing on real options theory, this paper models generative AI maintenance as a staged commitment program and introduces measurement-system risk, the risk that the instrument used to observe quality is biased, collapsing, or jumping. Five propositions specify when net-present-value reasoning on judge scores commits too early. A stylized extension shows that inspection both detects and deters gaming and governs how strongly pay can safely follow judge scores. Experiments with open models on verifiable math problems show that the problem is conditional: a strong judge turned search into improvement, whereas a weak judge removed the gain and increased cases in which judge score rose while correctness fell.</w:t>
      </w:r>
    </w:p>
    <w:p>
      <w:pPr>
        <w:keepNext/>
        <w:spacing w:after="100" w:before="200"/>
      </w:pPr>
      <w:r>
        <w:rPr>
          <w:rFonts w:ascii="Times New Roman" w:cs="Times New Roman" w:eastAsia="Times New Roman" w:hAnsi="Times New Roman"/>
          <w:b/>
          <w:bCs/>
          <w:sz w:val="24"/>
          <w:szCs w:val="24"/>
        </w:rPr>
        <w:t xml:space="preserve">Keywords</w:t>
      </w:r>
    </w:p>
    <w:p>
      <w:pPr>
        <w:spacing w:after="160" w:line="276"/>
        <w:jc w:val="left"/>
      </w:pPr>
      <w:r>
        <w:rPr>
          <w:rFonts w:ascii="Times New Roman" w:cs="Times New Roman" w:eastAsia="Times New Roman" w:hAnsi="Times New Roman"/>
          <w:sz w:val="24"/>
          <w:szCs w:val="24"/>
        </w:rPr>
        <w:t xml:space="preserve">real options, IT investment, generative AI, LLM-as-a-judge, model maintenance, measurement system risk, staged commitment, IS control, inspection</w:t>
      </w:r>
    </w:p>
    <w:p>
      <w:pPr>
        <w:keepNext/>
        <w:spacing w:after="100" w:before="200"/>
      </w:pPr>
      <w:r>
        <w:rPr>
          <w:rFonts w:ascii="Times New Roman" w:cs="Times New Roman" w:eastAsia="Times New Roman" w:hAnsi="Times New Roman"/>
          <w:b/>
          <w:bCs/>
          <w:sz w:val="24"/>
          <w:szCs w:val="24"/>
        </w:rPr>
        <w:t xml:space="preserve">Manuscript details</w:t>
      </w:r>
    </w:p>
    <w:p>
      <w:pPr>
        <w:pStyle w:val="ListParagraph"/>
        <w:numPr>
          <w:ilvl w:val="0"/>
          <w:numId w:val="2"/>
        </w:numPr>
        <w:spacing w:after="80" w:line="276"/>
      </w:pPr>
      <w:r>
        <w:rPr>
          <w:rFonts w:ascii="Times New Roman" w:cs="Times New Roman" w:eastAsia="Times New Roman" w:hAnsi="Times New Roman"/>
          <w:sz w:val="24"/>
          <w:szCs w:val="24"/>
        </w:rPr>
        <w:t xml:space="preserve">Main manuscript: approximately 9,300 words excluding references and table contents, 35 pages double-spaced including references; 5 tables and 1 figure.</w:t>
      </w:r>
    </w:p>
    <w:p>
      <w:pPr>
        <w:pStyle w:val="ListParagraph"/>
        <w:numPr>
          <w:ilvl w:val="0"/>
          <w:numId w:val="2"/>
        </w:numPr>
        <w:spacing w:after="80" w:line="276"/>
      </w:pPr>
      <w:r>
        <w:rPr>
          <w:rFonts w:ascii="Times New Roman" w:cs="Times New Roman" w:eastAsia="Times New Roman" w:hAnsi="Times New Roman"/>
          <w:sz w:val="24"/>
          <w:szCs w:val="24"/>
        </w:rPr>
        <w:t xml:space="preserve">Online Appendix: approximately 3,700 words (interview protocol, codebook and vignette, derivation of the exercise rule, and proofs).</w:t>
      </w:r>
    </w:p>
    <w:p>
      <w:pPr>
        <w:keepNext/>
        <w:spacing w:after="100" w:before="200"/>
      </w:pPr>
      <w:r>
        <w:rPr>
          <w:rFonts w:ascii="Times New Roman" w:cs="Times New Roman" w:eastAsia="Times New Roman" w:hAnsi="Times New Roman"/>
          <w:b/>
          <w:bCs/>
          <w:sz w:val="24"/>
          <w:szCs w:val="24"/>
        </w:rPr>
        <w:t xml:space="preserve">Acknowledgments</w:t>
      </w:r>
    </w:p>
    <w:p>
      <w:pPr>
        <w:spacing w:after="160" w:line="276"/>
        <w:jc w:val="left"/>
      </w:pPr>
      <w:r>
        <w:rPr>
          <w:rFonts w:ascii="Times New Roman" w:cs="Times New Roman" w:eastAsia="Times New Roman" w:hAnsi="Times New Roman"/>
          <w:sz w:val="24"/>
          <w:szCs w:val="24"/>
          <w:highlight w:val="yellow"/>
          <w:highlightCs w:val="yellow"/>
        </w:rPr>
        <w:t xml:space="preserve">[Acknowledgments, removed from the anonymized manuscript.]</w:t>
      </w:r>
    </w:p>
    <w:p>
      <w:pPr>
        <w:keepNext/>
        <w:spacing w:after="100" w:before="200"/>
      </w:pPr>
      <w:r>
        <w:rPr>
          <w:rFonts w:ascii="Times New Roman" w:cs="Times New Roman" w:eastAsia="Times New Roman" w:hAnsi="Times New Roman"/>
          <w:b/>
          <w:bCs/>
          <w:sz w:val="24"/>
          <w:szCs w:val="24"/>
        </w:rPr>
        <w:t xml:space="preserve">Funding</w:t>
      </w:r>
    </w:p>
    <w:p>
      <w:pPr>
        <w:spacing w:after="160" w:line="276"/>
        <w:jc w:val="left"/>
      </w:pPr>
      <w:r>
        <w:rPr>
          <w:rFonts w:ascii="Times New Roman" w:cs="Times New Roman" w:eastAsia="Times New Roman" w:hAnsi="Times New Roman"/>
          <w:sz w:val="24"/>
          <w:szCs w:val="24"/>
          <w:highlight w:val="yellow"/>
          <w:highlightCs w:val="yellow"/>
        </w:rPr>
        <w:t xml:space="preserve">[Funding sources and grant numbers, or a statement that there was no external funding.]</w:t>
      </w:r>
    </w:p>
    <w:p>
      <w:pPr>
        <w:keepNext/>
        <w:spacing w:after="100" w:before="200"/>
      </w:pPr>
      <w:r>
        <w:rPr>
          <w:rFonts w:ascii="Times New Roman" w:cs="Times New Roman" w:eastAsia="Times New Roman" w:hAnsi="Times New Roman"/>
          <w:b/>
          <w:bCs/>
          <w:sz w:val="24"/>
          <w:szCs w:val="24"/>
        </w:rPr>
        <w:t xml:space="preserve">Conflicts of interest</w:t>
      </w:r>
    </w:p>
    <w:p>
      <w:pPr>
        <w:spacing w:after="160" w:line="276"/>
        <w:jc w:val="left"/>
      </w:pPr>
      <w:r>
        <w:rPr>
          <w:rFonts w:ascii="Times New Roman" w:cs="Times New Roman" w:eastAsia="Times New Roman" w:hAnsi="Times New Roman"/>
          <w:sz w:val="24"/>
          <w:szCs w:val="24"/>
          <w:highlight w:val="yellow"/>
          <w:highlightCs w:val="yellow"/>
        </w:rPr>
        <w:t xml:space="preserve">[Declare any relevant interests, or state that there are none.]</w:t>
      </w:r>
    </w:p>
    <w:p>
      <w:pPr>
        <w:keepNext/>
        <w:spacing w:after="100" w:before="200"/>
      </w:pPr>
      <w:r>
        <w:rPr>
          <w:rFonts w:ascii="Times New Roman" w:cs="Times New Roman" w:eastAsia="Times New Roman" w:hAnsi="Times New Roman"/>
          <w:b/>
          <w:bCs/>
          <w:sz w:val="24"/>
          <w:szCs w:val="24"/>
        </w:rPr>
        <w:t xml:space="preserve">Prior versions</w:t>
      </w:r>
    </w:p>
    <w:p>
      <w:pPr>
        <w:spacing w:after="160" w:line="276"/>
        <w:jc w:val="left"/>
      </w:pPr>
      <w:r>
        <w:rPr>
          <w:rFonts w:ascii="Times New Roman" w:cs="Times New Roman" w:eastAsia="Times New Roman" w:hAnsi="Times New Roman"/>
          <w:sz w:val="24"/>
          <w:szCs w:val="24"/>
          <w:highlight w:val="yellow"/>
          <w:highlightCs w:val="yellow"/>
        </w:rPr>
        <w:t xml:space="preserve">[State whether any earlier version was presented or posted, for example at a conference or as a working paper. Remove this line if none.]</w:t>
      </w:r>
    </w:p>
    <w:p>
      <w:pPr>
        <w:keepNext/>
        <w:spacing w:after="100" w:before="200"/>
      </w:pPr>
      <w:r>
        <w:rPr>
          <w:rFonts w:ascii="Times New Roman" w:cs="Times New Roman" w:eastAsia="Times New Roman" w:hAnsi="Times New Roman"/>
          <w:b/>
          <w:bCs/>
          <w:sz w:val="24"/>
          <w:szCs w:val="24"/>
        </w:rPr>
        <w:t xml:space="preserve">Use of generative AI</w:t>
      </w:r>
    </w:p>
    <w:p>
      <w:pPr>
        <w:spacing w:after="160" w:line="276"/>
        <w:jc w:val="left"/>
      </w:pPr>
      <w:r>
        <w:rPr>
          <w:rFonts w:ascii="Times New Roman" w:cs="Times New Roman" w:eastAsia="Times New Roman" w:hAnsi="Times New Roman"/>
          <w:sz w:val="24"/>
          <w:szCs w:val="24"/>
          <w:highlight w:val="yellow"/>
          <w:highlightCs w:val="yellow"/>
        </w:rPr>
        <w:t xml:space="preserve">[Edit to match the journal’s policy and your actual use: A generative AI assistant was used for language editing, for drafting and checking derivations and numerical scripts, and for preparing documents. The authors reviewed all content and take full responsibility for it.]</w:t>
      </w:r>
    </w:p>
    <w:p>
      <w:pPr>
        <w:keepNext/>
        <w:spacing w:after="100" w:before="200"/>
      </w:pPr>
      <w:r>
        <w:rPr>
          <w:rFonts w:ascii="Times New Roman" w:cs="Times New Roman" w:eastAsia="Times New Roman" w:hAnsi="Times New Roman"/>
          <w:b/>
          <w:bCs/>
          <w:sz w:val="24"/>
          <w:szCs w:val="24"/>
        </w:rPr>
        <w:t xml:space="preserve">Data and code availability</w:t>
      </w:r>
    </w:p>
    <w:p>
      <w:pPr>
        <w:spacing w:after="160" w:line="276"/>
        <w:jc w:val="left"/>
      </w:pPr>
      <w:r>
        <w:rPr>
          <w:rFonts w:ascii="Times New Roman" w:cs="Times New Roman" w:eastAsia="Times New Roman" w:hAnsi="Times New Roman"/>
          <w:sz w:val="24"/>
          <w:szCs w:val="24"/>
        </w:rPr>
        <w:t xml:space="preserve">The experiments use the public GSM8K test set and open-weight models accessed through a commercial API in October 2026. </w:t>
      </w:r>
      <w:r>
        <w:rPr>
          <w:rFonts w:ascii="Times New Roman" w:cs="Times New Roman" w:eastAsia="Times New Roman" w:hAnsi="Times New Roman"/>
          <w:sz w:val="24"/>
          <w:szCs w:val="24"/>
          <w:highlight w:val="yellow"/>
          <w:highlightCs w:val="yellow"/>
        </w:rPr>
        <w:t xml:space="preserve">[Describe where the replication scripts and logs will be made available, in a form that preserves anonymity during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2026-10-17T01:15:43.088Z</dcterms:created>
  <dcterms:modified xsi:type="dcterms:W3CDTF">2026-10-17T01:15:43.088Z</dcterms:modified>
</cp:coreProperties>
</file>

<file path=docProps/custom.xml><?xml version="1.0" encoding="utf-8"?>
<Properties xmlns="http://schemas.openxmlformats.org/officeDocument/2006/custom-properties" xmlns:vt="http://schemas.openxmlformats.org/officeDocument/2006/docPropsVTypes"/>
</file>