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When Should the Firm Take the Task Back? Error Dynamics and the Economics of Monitoring Autonomous AI Agents</w:t>
      </w:r>
    </w:p>
    <w:p/>
    <w:p>
      <w:pPr>
        <w:jc w:val="center"/>
      </w:pPr>
      <w:r>
        <w:rPr>
          <w:b w:val="0"/>
          <w:i w:val="0"/>
        </w:rPr>
        <w:t>Ook Lee</w:t>
      </w:r>
    </w:p>
    <w:p>
      <w:pPr>
        <w:jc w:val="center"/>
      </w:pPr>
      <w:r>
        <w:rPr>
          <w:b w:val="0"/>
          <w:i w:val="0"/>
        </w:rPr>
        <w:t>Department of Information Systems, Hanyang University, Seoul, Republic of Korea, ooklee@hanyang.ac.kr</w:t>
      </w:r>
    </w:p>
    <w:p/>
    <w:p>
      <w:r>
        <w:rPr>
          <w:b/>
          <w:i w:val="0"/>
        </w:rPr>
        <w:t xml:space="preserve">Funding. </w:t>
      </w:r>
      <w:r>
        <w:rPr>
          <w:b w:val="0"/>
          <w:i w:val="0"/>
        </w:rPr>
        <w:t>The author received no external funding for this research.</w:t>
      </w:r>
    </w:p>
    <w:p>
      <w:r>
        <w:rPr>
          <w:b/>
          <w:i w:val="0"/>
        </w:rPr>
        <w:t xml:space="preserve">Conflict of interest. </w:t>
      </w:r>
      <w:r>
        <w:rPr>
          <w:b w:val="0"/>
          <w:i w:val="0"/>
        </w:rPr>
        <w:t>The author declares no competing interests.</w:t>
      </w:r>
    </w:p>
    <w:p>
      <w:r>
        <w:rPr>
          <w:b/>
          <w:i w:val="0"/>
        </w:rPr>
        <w:t xml:space="preserve">Data availability. </w:t>
      </w:r>
      <w:r>
        <w:rPr>
          <w:b w:val="0"/>
          <w:i w:val="0"/>
        </w:rPr>
        <w:t>The software-engineering trajectories are publicly available on Hugging Face (nebius/SWE-agent-trajectories). The fault-injection code, run-level results, and analysis scripts will be deposited in a public repository upon acceptance.</w:t>
      </w:r>
    </w:p>
    <w:p>
      <w:r>
        <w:rPr>
          <w:b/>
          <w:i w:val="0"/>
        </w:rPr>
        <w:t xml:space="preserve">Use of generative AI. </w:t>
      </w:r>
      <w:r>
        <w:rPr>
          <w:b w:val="0"/>
          <w:i w:val="0"/>
        </w:rPr>
        <w:t>The author used a generative AI assistant (Claude, Anthropic) to help write analysis code, run the experiment, and edit the text. The author designed the study, checked all analyses, and takes full responsibility for the content.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