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 Studies of online freelance platforms already report declines in demand for image creation (Demirci et al. 2025; Hui et al. 2024), but platforms are a setting in which buyers can switch tools at low cost.</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also use the model to ask when displacement would become detectable: if demand among adopters fell by about 40% and adoption followed the recent path of text-generation AI, the effect would reach the detection threshold of our design around 2029 to 2030, and much later or never for smaller effects.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four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turns the model into a conditional projection of when displacement would become visible in data of this kind, with falsifiable criteria for later years. Fourth,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w:t>
      </w:r>
    </w:p>
    <w:p>
      <w:pPr>
        <w:spacing w:after="0" w:line="480" w:lineRule="auto"/>
        <w:ind w:firstLine="720"/>
        <w:jc w:val="left"/>
      </w:pPr>
      <w:r>
        <w:rPr>
          <w:rFonts w:ascii="Times New Roman" w:cs="Times New Roman" w:eastAsia="Times New Roman" w:hAnsi="Times New Roman"/>
          <w:sz w:val="24"/>
          <w:szCs w:val="24"/>
        </w:rPr>
        <w:t xml:space="preserve">A growing literature studies how generative AI affects labor demand on online platforms. Hui et al. (2024) find that freelancers in occupations exposed to ChatGPT, DALL·E 2, and Midjourney lost employment and earnings on a large platform, and Demirci et al. (2025) find that job posts for writing and coding fell by about 21% after ChatGPT, and posts for image creation by about 17% after the release of image-generating tools, relative to manual-intensive jobs. These studies use platform data, in which tasks are bought project by project and the cost of switching to a new tool or provider is low. We study the standing occupations of employers in national job-advert and vacancy statistics, where adoption has to pass through organizational frictions, and we link the evidence to survey data on adoption and its obstacles. The comparison suggests a hypothesis consistent with our model: substitution appears first where buyers can change tools or providers at low cost, and later where it requires organizational change.</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between April and August 2022 (DALL·E 2, Midjourney, and Stable Diffusion) and of ChatGPT in November 2022.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measures with two human coders, who independently scored the same stratified random sample of 199 task statements (199 of the 200 sampled tasks are used: coder A left one blank). The strata were defined by the LLM score and by a rule-based score: 45 tasks scored 2, 55 scored 1, 40 scored 0 but flagged by the rule-based score, and 60 random tasks scored 0 (sampling weights are used in all estimates). The coders saw only the occupation and the task and used the narrow rubric in Appendix A. Agreement between the coders is low: the design-weighted exact agreement is 0.57, weighted Cohen’s κ is 0.18, the κ for a score of one or more versus zero is 0.20, and the Spearman correlation is 0.22. The coders also differ in how broadly they read the construct: coder A scored 27.6% of all O*NET tasks one or more (3.5% two) and coder B 44.5% (15.3% two), against 4.6% (1.0%) for the narrow LLM score. Both coders counted as visual many tasks that the rubric excludes, such as reading blueprints, examining engravings for quality, and monitoring closed-circuit television.</w:t>
      </w:r>
    </w:p>
    <w:p>
      <w:pPr>
        <w:spacing w:after="0" w:line="480" w:lineRule="auto"/>
        <w:ind w:firstLine="720"/>
        <w:jc w:val="left"/>
      </w:pPr>
      <w:r>
        <w:rPr>
          <w:rFonts w:ascii="Times New Roman" w:cs="Times New Roman" w:eastAsia="Times New Roman" w:hAnsi="Times New Roman"/>
          <w:sz w:val="24"/>
          <w:szCs w:val="24"/>
        </w:rPr>
        <w:t xml:space="preserve">By weighted κ, the narrow LLM score agrees with the coders less than the coders agree with each other (0.11 and 0.04, against 0.18), although its rank correlation with coder A (0.52) is higher than the correlation between the coders (0.22). Its weighted κ is 0.11 with coder A (95% bootstrap interval 0.06 to 0.20) and 0.04 with coder B; its binary κ is 0.15 and 0.04; its Spearman correlations are 0.52 and 0.25. Its positives are mostly accepted (coder A scored 80% of them one or more) but it misses most of what the coders counted as visual (sensitivity 0.12 relative to coder A and 0.07 relative to coder B; specificity 0.98 and 0.97). The narrow score is a conservative indicator of visual content production. Because the coders disagree with each other, we cannot treat either as a gold standard, and the reliability of task-level labels for this construct is low regardless of who or what produces them.</w:t>
      </w:r>
    </w:p>
    <w:p>
      <w:pPr>
        <w:spacing w:after="0" w:line="480" w:lineRule="auto"/>
        <w:ind w:firstLine="720"/>
        <w:jc w:val="left"/>
      </w:pPr>
      <w:r>
        <w:rPr>
          <w:rFonts w:ascii="Times New Roman" w:cs="Times New Roman" w:eastAsia="Times New Roman" w:hAnsi="Times New Roman"/>
          <w:sz w:val="24"/>
          <w:szCs w:val="24"/>
        </w:rPr>
        <w:t xml:space="preserve">As a transparent benchmark we also score all tasks with a rule-based classifier built from the rubric text (keyword and pattern rules; the code is in the replication repository). Against the LLM score, its task-level F1 for a score of one or more is 0.58 in the first half and 0.46 in the second half of the task list, and its correlation with the LLM score across occupations is 0.88 and 0.78 (436 and 488 occupations). Its Spearman correlation with coder A is 0.36. UK estimates with the rule-based score are close to those with the narrow LLM score (−2.0% in 2025 and −3.4% in 2026 per standard deviation, with the language control).</w:t>
      </w:r>
    </w:p>
    <w:p>
      <w:pPr>
        <w:spacing w:after="0" w:line="480" w:lineRule="auto"/>
        <w:ind w:firstLine="720"/>
        <w:jc w:val="left"/>
      </w:pPr>
      <w:r>
        <w:rPr>
          <w:rFonts w:ascii="Times New Roman" w:cs="Times New Roman" w:eastAsia="Times New Roman" w:hAnsi="Times New Roman"/>
          <w:sz w:val="24"/>
          <w:szCs w:val="24"/>
        </w:rPr>
        <w:t xml:space="preserve">We therefore built a second, broad measure that scores how much a task involves working with visual materials and visual or aesthetic output: producing, editing, reading, inspecting, or monitoring images, drawings, video, interfaces, and layouts (rubric in Appendix A). We wrote the rubric after seeing coder A’s pattern on the first half of the sample and evaluated it on the second half (99 tasks). Against coder A on that held-out half the weighted κ is 0.41 and the Spearman correlation 0.66. Coder B did not contribute to the rubric, so the comparison with coder B is an independent check: on all 199 tasks the weighted κ is 0.31 (0.25 on the second half), the binary κ is 0.29 (0.23), and the Spearman correlation is 0.46; against the rounded average of the two coders, the weighted κ is 0.28 and the binary κ 0.33. These values are modest in absolute terms. Relative to the benchmark of agreement between the coders (weighted κ 0.18, Spearman 0.22), the broad score agrees with each coder at least as well as the coders agree with each other, and its Spearman correlation with coder A (0.61) and coder B (0.46) is well above the correlation between them. We apply the broad measure to all 18,796 tasks, with the occupation title shown to the model as the coders saw it; 14.9% of tasks score one or more (2.5% score two). We report results for both measures. Low reliability of an exposure measure biases estimated coefficients toward zero, so some of the smallness of our estimates may reflect measurement error rather than absence of an effect.</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spacing w:after="0" w:line="480" w:lineRule="auto"/>
        <w:ind w:firstLine="720"/>
        <w:jc w:val="left"/>
      </w:pPr>
      <w:r>
        <w:rPr>
          <w:rFonts w:ascii="Times New Roman" w:cs="Times New Roman" w:eastAsia="Times New Roman" w:hAnsi="Times New Roman"/>
          <w:sz w:val="24"/>
          <w:szCs w:val="24"/>
        </w:rPr>
        <w:t xml:space="preserve">Our estimates for employers’ standing occupations are smaller than the declines of about 17% in image-creation job posts and about 21% in writing and coding posts reported for a freelance platform (Demirci et al. 2025). This is consistent with the delayed-adoption view that substitution appears first in spot markets for outsourced tasks and later inside organizations, but we have not tested that explanation, and the data sets differ in measure, occupations, and period.</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measures are LLM-coded. The narrow measure agrees poorly with two human coders (weighted κ 0.11 and 0.04) and the coders agree poorly with each other (0.18), so the reliability of the construct at task level is low; the broad measure agrees moderately (0.31 to 0.41) and at least as well as the coders agree with each other, but its rubric was shaped by one coder. Low reliability attenuates estimated effects. A rule-based score gives similar results to the narrow measure.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Release dates refer to public availability and are approximate. The projection depends on assumptions about the adoption path, the linearity of exposure, and adoption among employers of each occupation, and it does not identify the effect among adopters.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Style w:val="Heading1"/>
        <w:keepNext/>
        <w:spacing w:after="120" w:before="360" w:line="240" w:lineRule="auto"/>
      </w:pPr>
      <w:r>
        <w:rPr>
          <w:rFonts w:ascii="Times New Roman" w:cs="Times New Roman" w:eastAsia="Times New Roman" w:hAnsi="Times New Roman"/>
          <w:b/>
          <w:bCs/>
          <w:caps/>
          <w:sz w:val="24"/>
          <w:szCs w:val="24"/>
        </w:rPr>
        <w:t xml:space="preserve">Data, Code, and Generative AI Statements</w:t>
      </w:r>
    </w:p>
    <w:p>
      <w:pPr>
        <w:spacing w:after="0" w:line="480" w:lineRule="auto"/>
        <w:ind w:firstLine="720"/>
        <w:jc w:val="left"/>
      </w:pPr>
      <w:r>
        <w:rPr>
          <w:rFonts w:ascii="Times New Roman" w:cs="Times New Roman" w:eastAsia="Times New Roman" w:hAnsi="Times New Roman"/>
          <w:i/>
          <w:iCs/>
          <w:sz w:val="24"/>
          <w:szCs w:val="24"/>
        </w:rPr>
        <w:t xml:space="preserve">Data and code availability.</w:t>
      </w:r>
      <w:r>
        <w:rPr>
          <w:rFonts w:ascii="Times New Roman" w:cs="Times New Roman" w:eastAsia="Times New Roman" w:hAnsi="Times New Roman"/>
          <w:sz w:val="24"/>
          <w:szCs w:val="24"/>
        </w:rPr>
        <w:t xml:space="preserve"> All data come from public sources (Eurostat, ONS, Statistics Canada, O*NET, Indeed Hiring Lab). The code, prompts, LLM-coded task scores, and human coding files needed to reproduce every table and figure are available in an anonymized replication repository [anonymized link to be provided at submission].</w:t>
      </w:r>
    </w:p>
    <w:p>
      <w:pPr>
        <w:spacing w:after="0" w:line="480" w:lineRule="auto"/>
        <w:ind w:firstLine="720"/>
        <w:jc w:val="left"/>
      </w:pPr>
      <w:r>
        <w:rPr>
          <w:rFonts w:ascii="Times New Roman" w:cs="Times New Roman" w:eastAsia="Times New Roman" w:hAnsi="Times New Roman"/>
          <w:i/>
          <w:iCs/>
          <w:sz w:val="24"/>
          <w:szCs w:val="24"/>
        </w:rPr>
        <w:t xml:space="preserve">Use of generative AI.</w:t>
      </w:r>
      <w:r>
        <w:rPr>
          <w:rFonts w:ascii="Times New Roman" w:cs="Times New Roman" w:eastAsia="Times New Roman" w:hAnsi="Times New Roman"/>
          <w:sz w:val="24"/>
          <w:szCs w:val="24"/>
        </w:rPr>
        <w:t xml:space="preserve"> Large language models were used as measurement instruments to code O*NET and NOC task statements, as described in Section 4.3 and Appendix A. A generative AI assistant was also used to help write analysis code and to draft and edit the manuscript text. [The authors reviewed all results, text, and code and take responsibility for the content; authors to confirm this statement before submission.]</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[MODEL NAME AND VERSION], accessed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and all code are in the anonymized replication repository.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Demirci, O., Hannane, J., and Zhu, X. 2025. Who is AI replacing? The impact of generative AI on online freelancing platforms.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71(10):8097–8108.</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4"/>
          <w:szCs w:val="24"/>
        </w:rPr>
        <w:t xml:space="preserve">Organization Science</w:t>
      </w:r>
      <w:r>
        <w:rPr>
          <w:rFonts w:ascii="Times New Roman" w:cs="Times New Roman" w:eastAsia="Times New Roman" w:hAnsi="Times New Roman"/>
          <w:sz w:val="24"/>
          <w:szCs w:val="24"/>
        </w:rPr>
        <w:t xml:space="preserve"> 35(6):1977–1989.</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SSRN working paper 3482150 (revised January 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2026-10-04T10:53:33.957Z</dcterms:created>
  <dcterms:modified xsi:type="dcterms:W3CDTF">2026-10-04T10:53:33.957Z</dcterms:modified>
</cp:coreProperties>
</file>

<file path=docProps/custom.xml><?xml version="1.0" encoding="utf-8"?>
<Properties xmlns="http://schemas.openxmlformats.org/officeDocument/2006/custom-properties" xmlns:vt="http://schemas.openxmlformats.org/officeDocument/2006/docPropsVTypes"/>
</file>