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ascii="Times New Roman" w:hAnsi="Times New Roman" w:eastAsia="Times New Roman" w:cs="Times New Roman"/>
        </w:rPr>
        <w:t xml:space="preserve">Acquired,</w:t>
      </w:r>
      <w:r>
        <w:rPr>
          <w:rFonts w:ascii="Times New Roman" w:hAnsi="Times New Roman" w:eastAsia="Times New Roman" w:cs="Times New Roman"/>
        </w:rPr>
        <w:t xml:space="preserve"> </w:t>
      </w:r>
      <w:r>
        <w:rPr>
          <w:rFonts w:ascii="Times New Roman" w:hAnsi="Times New Roman" w:eastAsia="Times New Roman" w:cs="Times New Roman"/>
        </w:rPr>
        <w:t xml:space="preserve">Not</w:t>
      </w:r>
      <w:r>
        <w:rPr>
          <w:rFonts w:ascii="Times New Roman" w:hAnsi="Times New Roman" w:eastAsia="Times New Roman" w:cs="Times New Roman"/>
        </w:rPr>
        <w:t xml:space="preserve"> </w:t>
      </w:r>
      <w:r>
        <w:rPr>
          <w:rFonts w:ascii="Times New Roman" w:hAnsi="Times New Roman" w:eastAsia="Times New Roman" w:cs="Times New Roman"/>
        </w:rPr>
        <w:t xml:space="preserve">Yet</w:t>
      </w:r>
      <w:r>
        <w:rPr>
          <w:rFonts w:ascii="Times New Roman" w:hAnsi="Times New Roman" w:eastAsia="Times New Roman" w:cs="Times New Roman"/>
        </w:rPr>
        <w:t xml:space="preserve"> </w:t>
      </w:r>
      <w:r>
        <w:rPr>
          <w:rFonts w:ascii="Times New Roman" w:hAnsi="Times New Roman" w:eastAsia="Times New Roman" w:cs="Times New Roman"/>
        </w:rPr>
        <w:t xml:space="preserve">Assimilated?</w:t>
      </w:r>
      <w:r>
        <w:rPr>
          <w:rFonts w:ascii="Times New Roman" w:hAnsi="Times New Roman" w:eastAsia="Times New Roman" w:cs="Times New Roman"/>
        </w:rPr>
        <w:t xml:space="preserve"> </w:t>
      </w:r>
      <w:r>
        <w:rPr>
          <w:rFonts w:ascii="Times New Roman" w:hAnsi="Times New Roman" w:eastAsia="Times New Roman" w:cs="Times New Roman"/>
        </w:rPr>
        <w:t xml:space="preserve">Complementary</w:t>
      </w:r>
      <w:r>
        <w:rPr>
          <w:rFonts w:ascii="Times New Roman" w:hAnsi="Times New Roman" w:eastAsia="Times New Roman" w:cs="Times New Roman"/>
        </w:rPr>
        <w:t xml:space="preserve"> </w:t>
      </w:r>
      <w:r>
        <w:rPr>
          <w:rFonts w:ascii="Times New Roman" w:hAnsi="Times New Roman" w:eastAsia="Times New Roman" w:cs="Times New Roman"/>
        </w:rPr>
        <w:t xml:space="preserve">Assets</w:t>
      </w:r>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w:r>
        <w:rPr>
          <w:rFonts w:ascii="Times New Roman" w:hAnsi="Times New Roman" w:eastAsia="Times New Roman" w:cs="Times New Roman"/>
        </w:rPr>
        <w:t xml:space="preserve">the</w:t>
      </w:r>
      <w:r>
        <w:rPr>
          <w:rFonts w:ascii="Times New Roman" w:hAnsi="Times New Roman" w:eastAsia="Times New Roman" w:cs="Times New Roman"/>
        </w:rPr>
        <w:t xml:space="preserve"> </w:t>
      </w:r>
      <w:r>
        <w:rPr>
          <w:rFonts w:ascii="Times New Roman" w:hAnsi="Times New Roman" w:eastAsia="Times New Roman" w:cs="Times New Roman"/>
        </w:rPr>
        <w:t xml:space="preserve">Limits</w:t>
      </w:r>
      <w:r>
        <w:rPr>
          <w:rFonts w:ascii="Times New Roman" w:hAnsi="Times New Roman" w:eastAsia="Times New Roman" w:cs="Times New Roman"/>
        </w:rPr>
        <w:t xml:space="preserve"> </w:t>
      </w:r>
      <w:r>
        <w:rPr>
          <w:rFonts w:ascii="Times New Roman" w:hAnsi="Times New Roman" w:eastAsia="Times New Roman" w:cs="Times New Roman"/>
        </w:rPr>
        <w:t xml:space="preserve">of</w:t>
      </w:r>
      <w:r>
        <w:rPr>
          <w:rFonts w:ascii="Times New Roman" w:hAnsi="Times New Roman" w:eastAsia="Times New Roman" w:cs="Times New Roman"/>
        </w:rPr>
        <w:t xml:space="preserve"> </w:t>
      </w:r>
      <w:r>
        <w:rPr>
          <w:rFonts w:ascii="Times New Roman" w:hAnsi="Times New Roman" w:eastAsia="Times New Roman" w:cs="Times New Roman"/>
        </w:rPr>
        <w:t xml:space="preserve">Occupation-Level</w:t>
      </w:r>
      <w:r>
        <w:rPr>
          <w:rFonts w:ascii="Times New Roman" w:hAnsi="Times New Roman" w:eastAsia="Times New Roman" w:cs="Times New Roman"/>
        </w:rPr>
        <w:t xml:space="preserve"> </w:t>
      </w:r>
      <w:r>
        <w:rPr>
          <w:rFonts w:ascii="Times New Roman" w:hAnsi="Times New Roman" w:eastAsia="Times New Roman" w:cs="Times New Roman"/>
        </w:rPr>
        <w:t xml:space="preserve">Evidence</w:t>
      </w:r>
      <w:r>
        <w:rPr>
          <w:rFonts w:ascii="Times New Roman" w:hAnsi="Times New Roman" w:eastAsia="Times New Roman" w:cs="Times New Roman"/>
        </w:rPr>
        <w:t xml:space="preserve"> </w:t>
      </w:r>
      <w:r>
        <w:rPr>
          <w:rFonts w:ascii="Times New Roman" w:hAnsi="Times New Roman" w:eastAsia="Times New Roman" w:cs="Times New Roman"/>
        </w:rPr>
        <w:t xml:space="preserve">on</w:t>
      </w:r>
      <w:r>
        <w:rPr>
          <w:rFonts w:ascii="Times New Roman" w:hAnsi="Times New Roman" w:eastAsia="Times New Roman" w:cs="Times New Roman"/>
        </w:rPr>
        <w:t xml:space="preserve"> </w:t>
      </w:r>
      <w:r>
        <w:rPr>
          <w:rFonts w:ascii="Times New Roman" w:hAnsi="Times New Roman" w:eastAsia="Times New Roman" w:cs="Times New Roman"/>
        </w:rPr>
        <w:t xml:space="preserve">Generative</w:t>
      </w:r>
      <w:r>
        <w:rPr>
          <w:rFonts w:ascii="Times New Roman" w:hAnsi="Times New Roman" w:eastAsia="Times New Roman" w:cs="Times New Roman"/>
        </w:rPr>
        <w:t xml:space="preserve"> </w:t>
      </w:r>
      <w:r>
        <w:rPr>
          <w:rFonts w:ascii="Times New Roman" w:hAnsi="Times New Roman" w:eastAsia="Times New Roman" w:cs="Times New Roman"/>
        </w:rPr>
        <w:t xml:space="preserve">Visual</w:t>
      </w:r>
      <w:r>
        <w:rPr>
          <w:rFonts w:ascii="Times New Roman" w:hAnsi="Times New Roman" w:eastAsia="Times New Roman" w:cs="Times New Roman"/>
        </w:rPr>
        <w:t xml:space="preserve"> </w:t>
      </w:r>
      <w:r>
        <w:rPr>
          <w:rFonts w:ascii="Times New Roman" w:hAnsi="Times New Roman" w:eastAsia="Times New Roman" w:cs="Times New Roman"/>
        </w:rPr>
        <w:t xml:space="preserve">AI</w:t>
      </w:r>
    </w:p>
    <w:bookmarkStart w:id="20" w:name="abstract"/>
    <w:p>
      <w:pPr>
        <w:pStyle w:val="Heading2"/>
      </w:pPr>
      <w:r>
        <w:rPr>
          <w:rFonts w:ascii="Times New Roman" w:hAnsi="Times New Roman" w:eastAsia="Times New Roman" w:cs="Times New Roman"/>
        </w:rPr>
        <w:t xml:space="preserve">Abstract</w:t>
      </w:r>
    </w:p>
    <w:p>
      <w:pPr>
        <w:pStyle w:val="FirstParagraph"/>
        <w:spacing w:line="480" w:lineRule="auto" w:after="0" w:before="0"/>
        <w:ind w:firstLine="720"/>
        <w:jc w:val="left"/>
      </w:pPr>
      <w:r>
        <w:rPr>
          <w:rFonts w:ascii="Times New Roman" w:hAnsi="Times New Roman" w:eastAsia="Times New Roman" w:cs="Times New Roman"/>
        </w:rPr>
        <w:t xml:space="preserve">Statistics showing that firms have adopted generative AI are often read as evidence that creative work is being displaced. We argue that this reading is premature. Extending information systems research on assimilation, we distinguish production complements, which make a technology work, from judgment complements, which make its output reliable enough to replace human work, and we treat assimilation as a property of tasks rather than of firms. In a task-level model, a firm hands a visual task to a generator only when the share of acceptable output exceeds a threshold set by generation, review, and human production costs. Expertise, review capacity, and compliance procedures enter through review cost. Eurostat data show that 9.6 percent of EU firms use AI that generates pictures, video, or audio, and that firms that considered but did not adopt AI cite missing expertise (70 percent) and legal uncertainty (54 percent) far more often than lack of usefulness (18 percent). European and Canadian job-advert data show only small exposure gradients that cannot be distinguished from the pre-2022 trend. We show that these designs could not have detected even complete assimilation at the substitution rates observed on freelance platforms, so such results are uninformative about assimilation. We derive a detectability bound that can accompany any exposure estimate, validate the exposure measure against two human coders, and specify the firm-level design that would separate the competing accounts.</w:t>
      </w:r>
    </w:p>
    <w:p>
      <w:pPr>
        <w:pStyle w:val="BodyText"/>
        <w:spacing w:line="240" w:lineRule="auto" w:after="120" w:before="0"/>
        <w:ind w:firstLine="0"/>
        <w:jc w:val="left"/>
      </w:pPr>
      <w:r>
        <w:rPr>
          <w:bCs/>
          <w:rFonts w:ascii="Times New Roman" w:hAnsi="Times New Roman" w:eastAsia="Times New Roman" w:cs="Times New Roman"/>
          <w:b/>
        </w:rPr>
        <w:t xml:space="preserve">Keywords:</w:t>
      </w:r>
      <w:r>
        <w:rPr>
          <w:rFonts w:ascii="Times New Roman" w:hAnsi="Times New Roman" w:eastAsia="Times New Roman" w:cs="Times New Roman"/>
        </w:rPr>
        <w:t xml:space="preserve"> </w:t>
      </w:r>
      <w:r>
        <w:rPr>
          <w:rFonts w:ascii="Times New Roman" w:hAnsi="Times New Roman" w:eastAsia="Times New Roman" w:cs="Times New Roman"/>
        </w:rPr>
        <w:t xml:space="preserve">generative AI; assimilation; complementary assets; review costs; post-adoption; online job adverts; minimum detectable effect; creative work</w:t>
      </w:r>
    </w:p>
    <w:bookmarkEnd w:id="20"/>
    <w:bookmarkStart w:id="21" w:name="introduction"/>
    <w:p>
      <w:pPr>
        <w:pStyle w:val="Heading2"/>
      </w:pPr>
      <w:r>
        <w:rPr>
          <w:rFonts w:ascii="Times New Roman" w:hAnsi="Times New Roman" w:eastAsia="Times New Roman" w:cs="Times New Roman"/>
        </w:rPr>
        <w:t xml:space="preserve">1 Introduction</w:t>
      </w:r>
    </w:p>
    <w:p>
      <w:pPr>
        <w:pStyle w:val="FirstParagraph"/>
      </w:pPr>
      <w:r>
        <w:rPr>
          <w:rFonts w:ascii="Times New Roman" w:hAnsi="Times New Roman" w:eastAsia="Times New Roman" w:cs="Times New Roman"/>
        </w:rPr>
        <w:t xml:space="preserve">Tools that turn text into images (widely available since 2022) and into video (since 2024) have made a first draft of visual content almost free. Official statistics already record their spread. In 2025, roughly one in ten European enterprises with ten or more employees reported using AI that generates pictures, video, or audio, and more than one in three did so in publishing, film, and broadcasting (Eurostat, 2026). The natural reading is that the people who used to produce such content are being redeployed, and a growing body of exposure-based labor-market research looks for that redeployment in hiring data.</w:t>
      </w:r>
    </w:p>
    <w:p>
      <w:pPr>
        <w:pStyle w:val="BodyText"/>
        <w:spacing w:line="480" w:lineRule="auto" w:after="0" w:before="0"/>
        <w:ind w:firstLine="720"/>
        <w:jc w:val="left"/>
      </w:pPr>
      <w:r>
        <w:rPr>
          <w:rFonts w:ascii="Times New Roman" w:hAnsi="Times New Roman" w:eastAsia="Times New Roman" w:cs="Times New Roman"/>
        </w:rPr>
        <w:t xml:space="preserve">Information systems (IS) research gives reason for caution. Implementation research has long treated adoption as one stage in a sequence that runs through adaptation, acceptance, routinization, and infusion (Cooper and Zmud, 1990; Jasperson et al., 2005). Organizations can acquire an innovation well before they deploy it, so diffusion statistics overstate use. Fichman and Kemerer (1999) called this wedge an assimilation gap and found it widest where knowledge barriers were high. The IT business value literature makes a parallel point: returns depend on complementary organizational investments (Aral and Weill, 2007; Brynjolfsson and Hitt, 2000; Melville et al., 2004). Macroeconomics points the same way. General-purpose technologies take effect only after complementary investments, and labor markets adjust through attrition and reallocation rather than immediate job loss (Acemoglu and Restrepo, 2018; Brynjolfsson et al., 2021; David, 1990). For generative visual AI, then, the question is not only whether it substitutes for creative labor. It is also whether reported use reflects assimilation into tasks at all, and whether the evidence researchers currently rely on could tell the difference.</w:t>
      </w:r>
    </w:p>
    <w:p>
      <w:pPr>
        <w:pStyle w:val="BodyText"/>
        <w:spacing w:line="480" w:lineRule="auto" w:after="0" w:before="0"/>
        <w:ind w:firstLine="720"/>
        <w:jc w:val="left"/>
      </w:pPr>
      <w:r>
        <w:rPr>
          <w:rFonts w:ascii="Times New Roman" w:hAnsi="Times New Roman" w:eastAsia="Times New Roman" w:cs="Times New Roman"/>
        </w:rPr>
        <w:t xml:space="preserve">We take up this question in three steps. First, we develop a task-level theory in which a firm reassigns a visual task to a generator only when the acceptance rate of its output exceeds a threshold set by generation cost, review cost, and the cost of human production. Complementary assets enter through review cost: the expertise to specify and check output, the capacity to run review as a routine, and the procedures that keep copyright and personal-data exposure manageable. Second, we ask what aggregate public data can reveal about the resulting gap between acquisition and assimilation. We derive a detectability bound that compares the hiring response implied by complete assimilation with the minimum detectable effect of standard exposure designs. Third, we assemble the descriptive evidence on the acquisition margin and on the barriers that firms report.</w:t>
      </w:r>
    </w:p>
    <w:p>
      <w:pPr>
        <w:pStyle w:val="BodyText"/>
        <w:spacing w:line="480" w:lineRule="auto" w:after="0" w:before="0"/>
        <w:ind w:firstLine="720"/>
        <w:jc w:val="left"/>
      </w:pPr>
      <w:r>
        <w:rPr>
          <w:rFonts w:ascii="Times New Roman" w:hAnsi="Times New Roman" w:eastAsia="Times New Roman" w:cs="Times New Roman"/>
        </w:rPr>
        <w:t xml:space="preserve">The results are partly substantive and partly cautionary. Acquisition of generative visual AI is substantial and rising, so the absence of a hiring response cannot be explained by an absence of acquisition. Firms that considered AI and did not adopt it cite missing expertise, legal uncertainty, and data-protection concerns far more often than a tool that is not useful, which a complementary-asset account predicts and a capability-failure account does not. The hiring data, however, cannot currently distinguish an assimilation gap from complete assimilation. At observed acquisition rates and at the substitution effects estimated on freelance platforms (Demirci et al., 2025), complete assimilation would reduce adverts in the most exposed occupation by roughly 2 to 17 percent, while the European design cannot detect a reduction smaller than about 23 percent. The gradients the designs do report are small and imprecise, and exposed occupations were already declining relative to others before generative tools were released.</w:t>
      </w:r>
    </w:p>
    <w:p>
      <w:pPr>
        <w:pStyle w:val="BodyText"/>
        <w:spacing w:line="480" w:lineRule="auto" w:after="0" w:before="0"/>
        <w:ind w:firstLine="720"/>
        <w:jc w:val="left"/>
      </w:pPr>
      <w:r>
        <w:rPr>
          <w:rFonts w:ascii="Times New Roman" w:hAnsi="Times New Roman" w:eastAsia="Times New Roman" w:cs="Times New Roman"/>
        </w:rPr>
        <w:t xml:space="preserve">We are explicit about what the paper does not claim. We do not observe assimilation inside firms, and we do not treat small or fragile hiring responses as evidence of a gap. Our point is that such responses could not, at present, have revealed either a gap or its absence.</w:t>
      </w:r>
    </w:p>
    <w:p>
      <w:pPr>
        <w:pStyle w:val="BodyText"/>
        <w:spacing w:line="480" w:lineRule="auto" w:after="0" w:before="0"/>
        <w:ind w:firstLine="720"/>
        <w:jc w:val="left"/>
      </w:pPr>
      <w:r>
        <w:rPr>
          <w:rFonts w:ascii="Times New Roman" w:hAnsi="Times New Roman" w:eastAsia="Times New Roman" w:cs="Times New Roman"/>
        </w:rPr>
        <w:t xml:space="preserve">The paper contributes to IS research in three ways.</w:t>
      </w:r>
      <w:r>
        <w:rPr>
          <w:rFonts w:ascii="Times New Roman" w:hAnsi="Times New Roman" w:eastAsia="Times New Roman" w:cs="Times New Roman"/>
        </w:rPr>
        <w:t xml:space="preserve"> </w:t>
      </w:r>
      <w:r>
        <w:rPr>
          <w:iCs/>
          <w:rFonts w:ascii="Times New Roman" w:hAnsi="Times New Roman" w:eastAsia="Times New Roman" w:cs="Times New Roman"/>
          <w:i/>
        </w:rPr>
        <w:t xml:space="preserve">First, a theoretical contribution.</w:t>
      </w:r>
      <w:r>
        <w:rPr>
          <w:rFonts w:ascii="Times New Roman" w:hAnsi="Times New Roman" w:eastAsia="Times New Roman" w:cs="Times New Roman"/>
        </w:rPr>
        <w:t xml:space="preserve"> </w:t>
      </w:r>
      <w:r>
        <w:rPr>
          <w:rFonts w:ascii="Times New Roman" w:hAnsi="Times New Roman" w:eastAsia="Times New Roman" w:cs="Times New Roman"/>
        </w:rPr>
        <w:t xml:space="preserve">We extend assimilation theory in two ways. We distinguish judgment complements from production complements. Earlier work located the barrier in the knowledge needed to make a technology work (Attewell, 1992; Fichman and Kemerer, 1999). A visual generator removes most of that barrier but leaves the capacity to judge whether its output may replace human work, and we place that capacity in a single, observable cost term, review cost. We also treat assimilation as a property of the task and not of the firm: with the same tool, a firm can assimilate tasks whose review cost is low and leave others untouched, which a firm-level assimilation score conceals. Reported use is therefore a weaker signal of task reassignment for generative tools than for earlier technologies.</w:t>
      </w:r>
      <w:r>
        <w:rPr>
          <w:rFonts w:ascii="Times New Roman" w:hAnsi="Times New Roman" w:eastAsia="Times New Roman" w:cs="Times New Roman"/>
        </w:rPr>
        <w:t xml:space="preserve"> </w:t>
      </w:r>
      <w:r>
        <w:rPr>
          <w:iCs/>
          <w:rFonts w:ascii="Times New Roman" w:hAnsi="Times New Roman" w:eastAsia="Times New Roman" w:cs="Times New Roman"/>
          <w:i/>
        </w:rPr>
        <w:t xml:space="preserve">Second, a methodological contribution.</w:t>
      </w:r>
      <w:r>
        <w:rPr>
          <w:rFonts w:ascii="Times New Roman" w:hAnsi="Times New Roman" w:eastAsia="Times New Roman" w:cs="Times New Roman"/>
        </w:rPr>
        <w:t xml:space="preserve"> </w:t>
      </w:r>
      <w:r>
        <w:rPr>
          <w:rFonts w:ascii="Times New Roman" w:hAnsi="Times New Roman" w:eastAsia="Times New Roman" w:cs="Times New Roman"/>
        </w:rPr>
        <w:t xml:space="preserve">The detectability bound changes how an important part of the literature on AI exposure and hiring should be read, and it is simple enough to be reported next to any exposure coefficient.</w:t>
      </w:r>
      <w:r>
        <w:rPr>
          <w:rFonts w:ascii="Times New Roman" w:hAnsi="Times New Roman" w:eastAsia="Times New Roman" w:cs="Times New Roman"/>
        </w:rPr>
        <w:t xml:space="preserve"> </w:t>
      </w:r>
      <w:r>
        <w:rPr>
          <w:iCs/>
          <w:rFonts w:ascii="Times New Roman" w:hAnsi="Times New Roman" w:eastAsia="Times New Roman" w:cs="Times New Roman"/>
          <w:i/>
        </w:rPr>
        <w:t xml:space="preserve">Third, a research-design contribution.</w:t>
      </w:r>
      <w:r>
        <w:rPr>
          <w:rFonts w:ascii="Times New Roman" w:hAnsi="Times New Roman" w:eastAsia="Times New Roman" w:cs="Times New Roman"/>
        </w:rPr>
        <w:t xml:space="preserve"> </w:t>
      </w:r>
      <w:r>
        <w:rPr>
          <w:rFonts w:ascii="Times New Roman" w:hAnsi="Times New Roman" w:eastAsia="Times New Roman" w:cs="Times New Roman"/>
        </w:rPr>
        <w:t xml:space="preserve">We turn the assimilation-gap account into falsifiable predictions that firm-level data linking use, complementary assets, task reassignment, and hiring could test, and we specify that design.</w:t>
      </w:r>
    </w:p>
    <w:p>
      <w:pPr>
        <w:pStyle w:val="BodyText"/>
        <w:spacing w:line="480" w:lineRule="auto" w:after="0" w:before="0"/>
        <w:ind w:firstLine="720"/>
        <w:jc w:val="left"/>
      </w:pPr>
      <w:r>
        <w:rPr>
          <w:rFonts w:ascii="Times New Roman" w:hAnsi="Times New Roman" w:eastAsia="Times New Roman" w:cs="Times New Roman"/>
        </w:rPr>
        <w:t xml:space="preserve">The argument is not limited to images. Any generative tool whose output is judged by taste or by legal exposure, such as marketing copy, contract drafting, or product design, has the same structure: it is cheap to operate and costly to trust. Visual production is the case for which public data allow a test, which is why we study it. Section 2 reviews the literature. Section 3 develops the theory, Section 4 derives the bound, and Section 5 describes the data. Sections 6 to 8 present the evidence, Section 9 sets out the firm-level design, and Sections 10 and 11 discuss and conclude.</w:t>
      </w:r>
    </w:p>
    <w:bookmarkEnd w:id="21"/>
    <w:bookmarkStart w:id="22" w:name="related-literature"/>
    <w:p>
      <w:pPr>
        <w:pStyle w:val="Heading2"/>
      </w:pPr>
      <w:r>
        <w:rPr>
          <w:rFonts w:ascii="Times New Roman" w:hAnsi="Times New Roman" w:eastAsia="Times New Roman" w:cs="Times New Roman"/>
        </w:rPr>
        <w:t xml:space="preserve">2 Related Literature</w:t>
      </w:r>
    </w:p>
    <w:p>
      <w:pPr>
        <w:pStyle w:val="FirstParagraph"/>
        <w:spacing w:line="480" w:lineRule="auto" w:after="0" w:before="0"/>
        <w:ind w:firstLine="720"/>
        <w:jc w:val="left"/>
      </w:pPr>
      <w:r>
        <w:rPr>
          <w:iCs/>
          <w:rFonts w:ascii="Times New Roman" w:hAnsi="Times New Roman" w:eastAsia="Times New Roman" w:cs="Times New Roman"/>
          <w:i/>
        </w:rPr>
        <w:t xml:space="preserve">From adoption to assimilation.</w:t>
      </w:r>
      <w:r>
        <w:rPr>
          <w:rFonts w:ascii="Times New Roman" w:hAnsi="Times New Roman" w:eastAsia="Times New Roman" w:cs="Times New Roman"/>
        </w:rPr>
        <w:t xml:space="preserve"> </w:t>
      </w:r>
      <w:r>
        <w:rPr>
          <w:rFonts w:ascii="Times New Roman" w:hAnsi="Times New Roman" w:eastAsia="Times New Roman" w:cs="Times New Roman"/>
        </w:rPr>
        <w:t xml:space="preserve">IT implementation is a staged process in which adoption is followed by adaptation, acceptance, routinization, and infusion, and the factors that explain early stages differ from those that explain later ones (Cooper and Zmud, 1990). Complex technologies spread slowly not because firms lack information but because they lack the know-how to use them (Attewell, 1992). In studies of software-process innovations, cumulative acquisition ran well ahead of cumulative deployment, and the assimilation gap was largest for innovations with high knowledge barriers (Fichman and Kemerer, 1999). Post-adoption usage and value vary widely across adopters of e-business (Zhu and Kraemer, 2005), users continue to explore, extend, and often under-use the features of technologies they have adopted (Jasperson et al., 2005), and organizational mechanisms such as top-management participation carry an enterprise system into use (Liang et al., 2007). We build on this tradition but apply it to an outcome it has rarely examined: whether assimilation of a production technology reaches the occupation that used to perform the task.</w:t>
      </w:r>
    </w:p>
    <w:p>
      <w:pPr>
        <w:pStyle w:val="BodyText"/>
        <w:spacing w:line="480" w:lineRule="auto" w:after="0" w:before="0"/>
        <w:ind w:firstLine="720"/>
        <w:jc w:val="left"/>
      </w:pPr>
      <w:r>
        <w:rPr>
          <w:iCs/>
          <w:rFonts w:ascii="Times New Roman" w:hAnsi="Times New Roman" w:eastAsia="Times New Roman" w:cs="Times New Roman"/>
          <w:i/>
        </w:rPr>
        <w:t xml:space="preserve">Complementary assets.</w:t>
      </w:r>
      <w:r>
        <w:rPr>
          <w:rFonts w:ascii="Times New Roman" w:hAnsi="Times New Roman" w:eastAsia="Times New Roman" w:cs="Times New Roman"/>
        </w:rPr>
        <w:t xml:space="preserve"> </w:t>
      </w:r>
      <w:r>
        <w:rPr>
          <w:rFonts w:ascii="Times New Roman" w:hAnsi="Times New Roman" w:eastAsia="Times New Roman" w:cs="Times New Roman"/>
        </w:rPr>
        <w:t xml:space="preserve">A second tradition holds that the value of information technology depends on complementary investments in skills, processes, and organizational design (Aral and Weill, 2007; Brynjolfsson and Hitt, 2000; Melville et al., 2004). General-purpose technologies display long lags for the same reason (Bresnahan and Trajtenberg, 1995; David, 1990), and the lag can be formalized as a productivity J-curve in which intangible complements are built before measured gains appear (Brynjolfsson et al., 2021). When prediction becomes cheap, the value of human judgment rises (Agrawal et al., 2018). Complementary assets in the resource-based tradition are those a firm needs to produce and capture value from an innovation (Teece, 1986; Wade and Hulland, 2004), and absorptive capacity is the ability to recognize and apply external knowledge (Cohen and Levinthal, 1990). We make the complements concrete for generative visual AI: expertise, review capacity, and compliance procedures are not supplied by a better model.</w:t>
      </w:r>
    </w:p>
    <w:p>
      <w:pPr>
        <w:pStyle w:val="BodyText"/>
        <w:spacing w:line="480" w:lineRule="auto" w:after="0" w:before="0"/>
        <w:ind w:firstLine="720"/>
        <w:jc w:val="left"/>
      </w:pPr>
      <w:r>
        <w:rPr>
          <w:iCs/>
          <w:rFonts w:ascii="Times New Roman" w:hAnsi="Times New Roman" w:eastAsia="Times New Roman" w:cs="Times New Roman"/>
          <w:i/>
        </w:rPr>
        <w:t xml:space="preserve">Generative AI, work, and IS.</w:t>
      </w:r>
      <w:r>
        <w:rPr>
          <w:rFonts w:ascii="Times New Roman" w:hAnsi="Times New Roman" w:eastAsia="Times New Roman" w:cs="Times New Roman"/>
        </w:rPr>
        <w:t xml:space="preserve"> </w:t>
      </w:r>
      <w:r>
        <w:rPr>
          <w:rFonts w:ascii="Times New Roman" w:hAnsi="Times New Roman" w:eastAsia="Times New Roman" w:cs="Times New Roman"/>
        </w:rPr>
        <w:t xml:space="preserve">A large literature maps AI capabilities onto occupational tasks (Eloundou et al., 2023; Felten et al., 2021; Webb, 2020). Exposure measures describe where a technology could matter, not where it has been acquired or assimilated. Task-based models separate the displacement, reinstatement, and productivity effects of automation (Acemoglu and Restrepo, 2018, 2019), and models of unbalanced growth show that tasks which cannot be automated become bottlenecks (Aghion et al., 2019; Baumol, 1967). Establishments exposed to AI change their hiring, but little aggregate effect is detectable at the occupation or industry level (Acemoglu et al., 2022). Danish registers linked to adoption surveys show precise zeros for adopters’ earnings and hours (Humlum and Vestergaard, 2025). Evidence from online labor markets is sharper. Freelancers exposed to ChatGPT and image generators lost employment and earnings (Hui et al., 2024), and image-creation posts fell by about 17 percent after image generators were released (Demirci et al., 2025). These settings share a feature that our theory makes explicit: the buyer of a freelance task can switch to the tool without first building a review routine or a compliance policy. We use the platform estimates as a reference for how large substitution can be once assimilation has occurred, not as a test of our account.</w:t>
      </w:r>
    </w:p>
    <w:p>
      <w:pPr>
        <w:pStyle w:val="BodyText"/>
        <w:spacing w:line="480" w:lineRule="auto" w:after="0" w:before="0"/>
        <w:ind w:firstLine="720"/>
        <w:jc w:val="left"/>
      </w:pPr>
      <w:r>
        <w:rPr>
          <w:rFonts w:ascii="Times New Roman" w:hAnsi="Times New Roman" w:eastAsia="Times New Roman" w:cs="Times New Roman"/>
        </w:rPr>
        <w:t xml:space="preserve">Within IS, work on AI has mostly examined what happens inside organizations that already use it. People are poorly calibrated about their own capabilities when deciding whether to delegate to an AI system (Fügener et al., 2022), which implies that judging machine output is not costless even for competent workers. Editorial work has framed AI as a continually moving technological frontier (Berente et al., 2021), as a component of human–AI hybrids that reshape digital labor platforms (Rai et al., 2019), and, for generative models, as a double-edged tool for knowledge work (Susarla et al., 2023). Studies of this kind take use as given, whereas labor economics takes the occupation as given and seldom asks whether exposed employers have changed how work is done. What is missing is an account of the step in between, from acquiring a generator to reassigning a task to it, and of what that step implies for the evidence that occupation-level studies can supply. Two strands of work are close to our empirical approach. Tambe and Hitt (2012) showed that IT labor data can sharpen measurement of IT’s contribution to firm output, and Babina et al. (2024) build firm-level indicators of AI investment from workforce data. The latter is the kind of linkage that the design in Section 9 requires.</w:t>
      </w:r>
    </w:p>
    <w:bookmarkEnd w:id="22"/>
    <w:bookmarkStart w:id="27" w:name="theory"/>
    <w:p>
      <w:pPr>
        <w:pStyle w:val="Heading2"/>
      </w:pPr>
      <w:r>
        <w:rPr>
          <w:rFonts w:ascii="Times New Roman" w:hAnsi="Times New Roman" w:eastAsia="Times New Roman" w:cs="Times New Roman"/>
        </w:rPr>
        <w:t xml:space="preserve">3 Theory</w:t>
      </w:r>
    </w:p>
    <w:bookmarkStart w:id="23" w:name="X25f9d9da1a5d62e882d193ab12e4e3c55ae3336"/>
    <w:p>
      <w:pPr>
        <w:pStyle w:val="Heading3"/>
      </w:pPr>
      <w:r>
        <w:rPr>
          <w:rFonts w:ascii="Times New Roman" w:hAnsi="Times New Roman" w:eastAsia="Times New Roman" w:cs="Times New Roman"/>
        </w:rPr>
        <w:t xml:space="preserve">3.1 Acquisition, Assimilation, and the Acceptance Threshold</w:t>
      </w:r>
    </w:p>
    <w:p>
      <w:pPr>
        <w:pStyle w:val="FirstParagraph"/>
        <w:spacing w:line="480" w:lineRule="auto" w:after="0" w:before="0"/>
        <w:ind w:firstLine="720"/>
        <w:jc w:val="left"/>
      </w:pPr>
      <w:r>
        <w:rPr>
          <w:rFonts w:ascii="Times New Roman" w:hAnsi="Times New Roman" w:eastAsia="Times New Roman" w:cs="Times New Roman"/>
        </w:rPr>
        <w:t xml:space="preserve">A firm produces visual tasks such as images, layouts, and short videos.</w:t>
      </w:r>
      <w:r>
        <w:rPr>
          <w:rFonts w:ascii="Times New Roman" w:hAnsi="Times New Roman" w:eastAsia="Times New Roman" w:cs="Times New Roman"/>
        </w:rPr>
        <w:t xml:space="preserve"> </w:t>
      </w:r>
      <w:r>
        <w:rPr>
          <w:iCs/>
          <w:rFonts w:ascii="Times New Roman" w:hAnsi="Times New Roman" w:eastAsia="Times New Roman" w:cs="Times New Roman"/>
          <w:i/>
        </w:rPr>
        <w:t xml:space="preserve">Acquisition</w:t>
      </w:r>
      <w:r>
        <w:rPr>
          <w:rFonts w:ascii="Times New Roman" w:hAnsi="Times New Roman" w:eastAsia="Times New Roman" w:cs="Times New Roman"/>
        </w:rPr>
        <w:t xml:space="preserve"> </w:t>
      </w:r>
      <w:r>
        <w:rPr>
          <w:rFonts w:ascii="Times New Roman" w:hAnsi="Times New Roman" w:eastAsia="Times New Roman" w:cs="Times New Roman"/>
        </w:rPr>
        <w:t xml:space="preserve">is the event that the firm has a visual generator available and reports using it.</w:t>
      </w:r>
      <w:r>
        <w:rPr>
          <w:rFonts w:ascii="Times New Roman" w:hAnsi="Times New Roman" w:eastAsia="Times New Roman" w:cs="Times New Roman"/>
        </w:rPr>
        <w:t xml:space="preserve"> </w:t>
      </w:r>
      <w:r>
        <w:rPr>
          <w:iCs/>
          <w:rFonts w:ascii="Times New Roman" w:hAnsi="Times New Roman" w:eastAsia="Times New Roman" w:cs="Times New Roman"/>
          <w:i/>
        </w:rPr>
        <w:t xml:space="preserve">Assimilation</w:t>
      </w:r>
      <w:r>
        <w:rPr>
          <w:rFonts w:ascii="Times New Roman" w:hAnsi="Times New Roman" w:eastAsia="Times New Roman" w:cs="Times New Roman"/>
        </w:rPr>
        <w:t xml:space="preserve"> </w:t>
      </w:r>
      <w:r>
        <w:rPr>
          <w:rFonts w:ascii="Times New Roman" w:hAnsi="Times New Roman" w:eastAsia="Times New Roman" w:cs="Times New Roman"/>
        </w:rPr>
        <w:t xml:space="preserve">of a task is the event that the task is produced by the generator rather than by the occupation that used to produce it. Acquisition is necessary for assimilation but not sufficient: a marketing team may try an image generator while the tasks that define a graphic-design role stay with that role. Survey indicators of use therefore measure something closer to acquisition than to assimilation.</w:t>
      </w:r>
    </w:p>
    <w:p>
      <w:pPr>
        <w:pStyle w:val="BodyText"/>
        <w:spacing w:line="480" w:lineRule="auto" w:after="0" w:before="0"/>
        <w:ind w:firstLine="720"/>
        <w:jc w:val="left"/>
      </w:pPr>
      <w:r>
        <w:rPr>
          <w:rFonts w:ascii="Times New Roman" w:hAnsi="Times New Roman" w:eastAsia="Times New Roman" w:cs="Times New Roman"/>
        </w:rPr>
        <w:t xml:space="preserve">Producing a visual asset with human labor costs</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Producing it with the generator costs</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for generation and</w:t>
      </w:r>
      <w:r>
        <w:rPr>
          <w:rFonts w:ascii="Times New Roman" w:hAnsi="Times New Roman" w:eastAsia="Times New Roman" w:cs="Times New Roman"/>
        </w:rPr>
        <w:t xml:space="preserve"> </w:t>
      </w:r>
      <m:oMath>
        <m: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for human review. With probability</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the output is accepted; with probability</w:t>
      </w:r>
      <w:r>
        <w:rPr>
          <w:rFonts w:ascii="Times New Roman" w:hAnsi="Times New Roman" w:eastAsia="Times New Roman" w:cs="Times New Roman"/>
        </w:rPr>
        <w:t xml:space="preserve"> </w:t>
      </w:r>
      <m:oMath>
        <m:r>
          <m:t>1</m:t>
        </m:r>
        <m:r>
          <m:rPr>
            <m:sty m:val="p"/>
          </m:rPr>
          <m:t>−</m:t>
        </m:r>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it is rejected and a human produces the asset at cost</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Expected cost with the generator is</w:t>
      </w:r>
      <w:r>
        <w:rPr>
          <w:rFonts w:ascii="Times New Roman" w:hAnsi="Times New Roman" w:eastAsia="Times New Roman" w:cs="Times New Roman"/>
        </w:rPr>
        <w:t xml:space="preserve"> </w:t>
      </w:r>
      <m:oMath>
        <m:r>
          <m:t>c</m:t>
        </m:r>
        <m:r>
          <m:rPr>
            <m:sty m:val="p"/>
          </m:rPr>
          <m:t>+</m:t>
        </m:r>
        <m:r>
          <m:t>r</m:t>
        </m:r>
        <m:r>
          <m:rPr>
            <m:sty m:val="p"/>
          </m:rPr>
          <m:t>+</m:t>
        </m:r>
        <m:d>
          <m:dPr>
            <m:begChr m:val="("/>
            <m:endChr m:val=")"/>
            <m:sepChr m:val=""/>
            <m:grow/>
          </m:dPr>
          <m:e>
            <m:r>
              <m:t>1</m:t>
            </m:r>
            <m:r>
              <m:rPr>
                <m:sty m:val="p"/>
              </m:rPr>
              <m:t>−</m:t>
            </m:r>
            <m:r>
              <m:t>a</m:t>
            </m:r>
          </m:e>
        </m:d>
        <m:r>
          <m:t>θ</m:t>
        </m:r>
      </m:oMath>
      <w:r>
        <w:rPr>
          <w:rFonts w:ascii="Times New Roman" w:hAnsi="Times New Roman" w:eastAsia="Times New Roman" w:cs="Times New Roman"/>
        </w:rPr>
        <w:t xml:space="preserve">, so the firm assimilates the task when</w:t>
      </w:r>
    </w:p>
    <w:p>
      <w:pPr>
        <w:pStyle w:val="BodyText"/>
        <w:spacing w:line="480" w:lineRule="auto" w:after="0" w:before="0"/>
        <w:ind w:firstLine="720"/>
        <w:jc w:val="left"/>
      </w:pPr>
      <m:oMathPara>
        <m:oMathParaPr>
          <m:jc m:val="center"/>
        </m:oMathParaPr>
        <m:oMath>
          <m:r>
            <m:t>a</m:t>
          </m:r>
          <m:r>
            <m:rPr>
              <m:sty m:val="p"/>
            </m:rPr>
            <m:t>&gt;</m:t>
          </m:r>
          <m:sSup>
            <m:e>
              <m:r>
                <m:t>a</m:t>
              </m:r>
            </m:e>
            <m:sup>
              <m:r>
                <m:rPr>
                  <m:sty m:val="p"/>
                </m:rPr>
                <m:t>*</m:t>
              </m:r>
            </m:sup>
          </m:sSup>
          <m:r>
            <m:rPr>
              <m:sty m:val="p"/>
            </m:rPr>
            <m:t>=</m:t>
          </m:r>
          <m:f>
            <m:fPr>
              <m:type m:val="bar"/>
            </m:fPr>
            <m:num>
              <m:r>
                <m:t>c</m:t>
              </m:r>
              <m:r>
                <m:rPr>
                  <m:sty m:val="p"/>
                </m:rPr>
                <m:t>+</m:t>
              </m:r>
              <m:r>
                <m:t>r</m:t>
              </m:r>
            </m:num>
            <m:den>
              <m:r>
                <m:t>θ</m:t>
              </m:r>
            </m:den>
          </m:f>
          <m:r>
            <m:rPr>
              <m:sty m:val="p"/>
            </m:rPr>
            <m:t>.</m:t>
          </m:r>
          <m:r>
            <m:t>  </m:t>
          </m:r>
          <m:d>
            <m:dPr>
              <m:begChr m:val="("/>
              <m:endChr m:val=")"/>
              <m:sepChr m:val=""/>
              <m:grow/>
            </m:dPr>
            <m:e>
              <m:r>
                <m:t>1</m:t>
              </m:r>
            </m:e>
          </m:d>
        </m:oMath>
      </m:oMathPara>
    </w:p>
    <w:p>
      <w:pPr>
        <w:pStyle w:val="FirstParagraph"/>
        <w:spacing w:line="480" w:lineRule="auto" w:after="0" w:before="0"/>
        <w:ind w:firstLine="720"/>
        <w:jc w:val="left"/>
      </w:pPr>
      <w:r>
        <w:rPr>
          <w:rFonts w:ascii="Times New Roman" w:hAnsi="Times New Roman" w:eastAsia="Times New Roman" w:cs="Times New Roman"/>
        </w:rPr>
        <w:t xml:space="preserve">The acceptance rate</w:t>
      </w:r>
      <w:r>
        <w:rPr>
          <w:rFonts w:ascii="Times New Roman" w:hAnsi="Times New Roman" w:eastAsia="Times New Roman" w:cs="Times New Roman"/>
        </w:rPr>
        <w:t xml:space="preserve"> </w:t>
      </w:r>
      <m:oMath>
        <m:r>
          <m:t>a</m:t>
        </m:r>
        <m:r>
          <m:rPr>
            <m:sty m:val="p"/>
          </m:rPr>
          <m:t>=</m:t>
        </m:r>
        <m:r>
          <m:t>a</m:t>
        </m:r>
        <m:d>
          <m:dPr>
            <m:begChr m:val="("/>
            <m:endChr m:val=")"/>
            <m:sepChr m:val=""/>
            <m:grow/>
          </m:dPr>
          <m:e>
            <m:r>
              <m:t>q</m:t>
            </m:r>
            <m:r>
              <m:rPr>
                <m:sty m:val="p"/>
              </m:rPr>
              <m:t>,</m:t>
            </m:r>
            <m:r>
              <m:t>m</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rises with model quality</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and falls with the task’s quality requirement</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so assimilation is more likely for routine and internal visuals than for brand-defining, technically exact, or legally sensitive work. The review cost</w:t>
      </w:r>
      <w:r>
        <w:rPr>
          <w:rFonts w:ascii="Times New Roman" w:hAnsi="Times New Roman" w:eastAsia="Times New Roman" w:cs="Times New Roman"/>
        </w:rPr>
        <w:t xml:space="preserve"> </w:t>
      </w:r>
      <m:oMath>
        <m:r>
          <m:t>r</m:t>
        </m:r>
        <m:r>
          <m:rPr>
            <m:sty m:val="p"/>
          </m:rPr>
          <m:t>=</m:t>
        </m:r>
        <m:r>
          <m:t>r</m:t>
        </m:r>
        <m:d>
          <m:dPr>
            <m:begChr m:val="("/>
            <m:endChr m:val=")"/>
            <m:sepChr m:val=""/>
            <m:grow/>
          </m:dPr>
          <m:e>
            <m:r>
              <m:t>q</m:t>
            </m:r>
            <m:r>
              <m:rPr>
                <m:sty m:val="p"/>
              </m:rPr>
              <m:t>;</m:t>
            </m:r>
            <m:r>
              <m:t>K</m:t>
            </m:r>
          </m:e>
        </m:d>
      </m:oMath>
      <w:r>
        <w:rPr>
          <w:rFonts w:ascii="Times New Roman" w:hAnsi="Times New Roman" w:eastAsia="Times New Roman" w:cs="Times New Roman"/>
        </w:rPr>
        <w:t xml:space="preserve"> </w:t>
      </w:r>
      <w:r>
        <w:rPr>
          <w:rFonts w:ascii="Times New Roman" w:hAnsi="Times New Roman" w:eastAsia="Times New Roman" w:cs="Times New Roman"/>
        </w:rPr>
        <w:t xml:space="preserve">rises with</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ascii="Times New Roman" w:hAnsi="Times New Roman" w:eastAsia="Times New Roman" w:cs="Times New Roman"/>
        </w:rPr>
        <w:t xml:space="preserve">but falls with the firm’s stock of complementary assets</w:t>
      </w:r>
      <w:r>
        <w:rPr>
          <w:rFonts w:ascii="Times New Roman" w:hAnsi="Times New Roman" w:eastAsia="Times New Roman" w:cs="Times New Roman"/>
        </w:rPr>
        <w:t xml:space="preserve"> </w:t>
      </w:r>
      <m:oMath>
        <m:r>
          <m:t>K</m:t>
        </m:r>
        <m:r>
          <m:rPr>
            <m:sty m:val="p"/>
          </m:rPr>
          <m:t>=</m:t>
        </m:r>
        <m:d>
          <m:dPr>
            <m:begChr m:val="("/>
            <m:endChr m:val=")"/>
            <m:sepChr m:val=""/>
            <m:grow/>
          </m:dPr>
          <m:e>
            <m:sSup>
              <m:e>
                <m:r>
                  <m:t>K</m:t>
                </m:r>
              </m:e>
              <m:sup>
                <m:r>
                  <m:t>E</m:t>
                </m:r>
              </m:sup>
            </m:sSup>
            <m:r>
              <m:rPr>
                <m:sty m:val="p"/>
              </m:rPr>
              <m:t>,</m:t>
            </m:r>
            <m:sSup>
              <m:e>
                <m:r>
                  <m:t>K</m:t>
                </m:r>
              </m:e>
              <m:sup>
                <m:r>
                  <m:t>R</m:t>
                </m:r>
              </m:sup>
            </m:sSup>
            <m:r>
              <m:rPr>
                <m:sty m:val="p"/>
              </m:rPr>
              <m:t>,</m:t>
            </m:r>
            <m:sSup>
              <m:e>
                <m:r>
                  <m:t>K</m:t>
                </m:r>
              </m:e>
              <m:sup>
                <m:r>
                  <m:t>C</m:t>
                </m:r>
              </m:sup>
            </m:sSup>
          </m:e>
        </m:d>
      </m:oMath>
      <w:r>
        <w:rPr>
          <w:rFonts w:ascii="Times New Roman" w:hAnsi="Times New Roman" w:eastAsia="Times New Roman" w:cs="Times New Roman"/>
        </w:rPr>
        <w:t xml:space="preserve">. Expertise</w:t>
      </w:r>
      <w:r>
        <w:rPr>
          <w:rFonts w:ascii="Times New Roman" w:hAnsi="Times New Roman" w:eastAsia="Times New Roman" w:cs="Times New Roman"/>
        </w:rPr>
        <w:t xml:space="preserve"> </w:t>
      </w:r>
      <m:oMath>
        <m:sSup>
          <m:e>
            <m:r>
              <m:t>K</m:t>
            </m:r>
          </m:e>
          <m:sup>
            <m:r>
              <m:t>E</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lowers the cost of specifying a task and recognizing a failed draft. Review capacity</w:t>
      </w:r>
      <w:r>
        <w:rPr>
          <w:rFonts w:ascii="Times New Roman" w:hAnsi="Times New Roman" w:eastAsia="Times New Roman" w:cs="Times New Roman"/>
        </w:rPr>
        <w:t xml:space="preserve"> </w:t>
      </w:r>
      <m:oMath>
        <m:sSup>
          <m:e>
            <m:r>
              <m:t>K</m:t>
            </m:r>
          </m:e>
          <m:sup>
            <m:r>
              <m:t>R</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lowers the cost of running that check as a routine rather than as an exception. Compliance procedures</w:t>
      </w:r>
      <w:r>
        <w:rPr>
          <w:rFonts w:ascii="Times New Roman" w:hAnsi="Times New Roman" w:eastAsia="Times New Roman" w:cs="Times New Roman"/>
        </w:rPr>
        <w:t xml:space="preserve"> </w:t>
      </w:r>
      <m:oMath>
        <m:sSup>
          <m:e>
            <m:r>
              <m:t>K</m:t>
            </m:r>
          </m:e>
          <m:sup>
            <m:r>
              <m:t>C</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lower the cost of deciding whether an output may be used given copyright and personal-data exposure.</w:t>
      </w:r>
    </w:p>
    <w:p>
      <w:pPr>
        <w:pStyle w:val="BodyText"/>
        <w:spacing w:line="480" w:lineRule="auto" w:after="0" w:before="0"/>
        <w:ind w:firstLine="720"/>
        <w:jc w:val="left"/>
      </w:pPr>
      <w:r>
        <w:rPr>
          <w:bCs/>
          <w:rFonts w:ascii="Times New Roman" w:hAnsi="Times New Roman" w:eastAsia="Times New Roman" w:cs="Times New Roman"/>
          <w:b/>
        </w:rPr>
        <w:t xml:space="preserve">Implication 1 (complements are necessary).</w:t>
      </w:r>
      <w:r>
        <w:rPr>
          <w:rFonts w:ascii="Times New Roman" w:hAnsi="Times New Roman" w:eastAsia="Times New Roman" w:cs="Times New Roman"/>
        </w:rPr>
        <w:t xml:space="preserve"> </w:t>
      </w:r>
      <w:r>
        <w:rPr>
          <w:iCs/>
          <w:rFonts w:ascii="Times New Roman" w:hAnsi="Times New Roman" w:eastAsia="Times New Roman" w:cs="Times New Roman"/>
          <w:i/>
        </w:rPr>
        <w:t xml:space="preserve">If</w:t>
      </w:r>
      <w:r>
        <w:rPr>
          <w:iCs/>
          <w:rFonts w:ascii="Times New Roman" w:hAnsi="Times New Roman" w:eastAsia="Times New Roman" w:cs="Times New Roman"/>
          <w:i/>
        </w:rPr>
        <w:t xml:space="preserve"> </w:t>
      </w:r>
      <m:oMath>
        <m:r>
          <m:t>c</m:t>
        </m:r>
        <m:r>
          <m:rPr>
            <m:sty m:val="p"/>
          </m:rPr>
          <m:t>+</m:t>
        </m:r>
        <m:r>
          <m:t>r</m:t>
        </m:r>
        <m:d>
          <m:dPr>
            <m:begChr m:val="("/>
            <m:endChr m:val=")"/>
            <m:sepChr m:val=""/>
            <m:grow/>
          </m:dPr>
          <m:e>
            <m:r>
              <m:t>q</m:t>
            </m:r>
            <m:r>
              <m:rPr>
                <m:sty m:val="p"/>
              </m:rPr>
              <m:t>;</m:t>
            </m:r>
            <m:r>
              <m:t>K</m:t>
            </m:r>
          </m:e>
        </m:d>
        <m:r>
          <m:rPr>
            <m:sty m:val="p"/>
          </m:rPr>
          <m:t>≥</m:t>
        </m:r>
        <m:r>
          <m:t>θ</m:t>
        </m:r>
      </m:oMath>
      <w:r>
        <w:rPr>
          <w:iCs/>
          <w:rFonts w:ascii="Times New Roman" w:hAnsi="Times New Roman" w:eastAsia="Times New Roman" w:cs="Times New Roman"/>
          <w:i/>
        </w:rPr>
        <w:t xml:space="preserve">, then</w:t>
      </w:r>
      <w:r>
        <w:rPr>
          <w:iCs/>
          <w:rFonts w:ascii="Times New Roman" w:hAnsi="Times New Roman" w:eastAsia="Times New Roman" w:cs="Times New Roman"/>
          <w:i/>
        </w:rPr>
        <w:t xml:space="preserve"> </w:t>
      </w:r>
      <m:oMath>
        <m:sSup>
          <m:e>
            <m:r>
              <m:t>a</m:t>
            </m:r>
          </m:e>
          <m:sup>
            <m:r>
              <m:rPr>
                <m:sty m:val="p"/>
              </m:rPr>
              <m:t>*</m:t>
            </m:r>
          </m:sup>
        </m:sSup>
        <m:r>
          <m:rPr>
            <m:sty m:val="p"/>
          </m:rPr>
          <m:t>≥</m:t>
        </m:r>
        <m:r>
          <m:t>1</m:t>
        </m:r>
      </m:oMath>
      <w:r>
        <w:rPr>
          <w:iCs/>
          <w:rFonts w:ascii="Times New Roman" w:hAnsi="Times New Roman" w:eastAsia="Times New Roman" w:cs="Times New Roman"/>
          <w:i/>
        </w:rPr>
        <w:t xml:space="preserve"> </w:t>
      </w:r>
      <w:r>
        <w:rPr>
          <w:iCs/>
          <w:rFonts w:ascii="Times New Roman" w:hAnsi="Times New Roman" w:eastAsia="Times New Roman" w:cs="Times New Roman"/>
          <w:i/>
        </w:rPr>
        <w:t xml:space="preserve">and the task is not assimilated for any model quality</w:t>
      </w:r>
      <w:r>
        <w:rPr>
          <w:iCs/>
          <w:rFonts w:ascii="Times New Roman" w:hAnsi="Times New Roman" w:eastAsia="Times New Roman" w:cs="Times New Roman"/>
          <w:i/>
        </w:rPr>
        <w:t xml:space="preserve"> </w:t>
      </w:r>
      <m:oMath>
        <m:r>
          <m:t>m</m:t>
        </m:r>
      </m:oMath>
      <w:r>
        <w:rPr>
          <w:iCs/>
          <w:rFonts w:ascii="Times New Roman" w:hAnsi="Times New Roman" w:eastAsia="Times New Roman" w:cs="Times New Roman"/>
          <w:i/>
        </w:rPr>
        <w:t xml:space="preserve">. Model improvements cannot substitute for missing complements; they matter only once complements have brought</w:t>
      </w:r>
      <w:r>
        <w:rPr>
          <w:iCs/>
          <w:rFonts w:ascii="Times New Roman" w:hAnsi="Times New Roman" w:eastAsia="Times New Roman" w:cs="Times New Roman"/>
          <w:i/>
        </w:rPr>
        <w:t xml:space="preserve"> </w:t>
      </w:r>
      <m:oMath>
        <m:sSup>
          <m:e>
            <m:r>
              <m:t>a</m:t>
            </m:r>
          </m:e>
          <m:sup>
            <m:r>
              <m:rPr>
                <m:sty m:val="p"/>
              </m:rPr>
              <m:t>*</m:t>
            </m:r>
          </m:sup>
        </m:sSup>
      </m:oMath>
      <w:r>
        <w:rPr>
          <w:iCs/>
          <w:rFonts w:ascii="Times New Roman" w:hAnsi="Times New Roman" w:eastAsia="Times New Roman" w:cs="Times New Roman"/>
          <w:i/>
        </w:rPr>
        <w:t xml:space="preserve"> </w:t>
      </w:r>
      <w:r>
        <w:rPr>
          <w:iCs/>
          <w:rFonts w:ascii="Times New Roman" w:hAnsi="Times New Roman" w:eastAsia="Times New Roman" w:cs="Times New Roman"/>
          <w:i/>
        </w:rPr>
        <w:t xml:space="preserve">below one.</w:t>
      </w:r>
    </w:p>
    <w:bookmarkEnd w:id="23"/>
    <w:bookmarkStart w:id="24" w:name="from-tasks-to-occupational-demand"/>
    <w:p>
      <w:pPr>
        <w:pStyle w:val="Heading3"/>
      </w:pPr>
      <w:r>
        <w:rPr>
          <w:rFonts w:ascii="Times New Roman" w:hAnsi="Times New Roman" w:eastAsia="Times New Roman" w:cs="Times New Roman"/>
        </w:rPr>
        <w:t xml:space="preserve">3.2 From Tasks to Occupational Demand</w:t>
      </w:r>
    </w:p>
    <w:p>
      <w:pPr>
        <w:pStyle w:val="FirstParagraph"/>
        <w:spacing w:line="480" w:lineRule="auto" w:after="0" w:before="0"/>
        <w:ind w:firstLine="720"/>
        <w:jc w:val="left"/>
      </w:pPr>
      <w:r>
        <w:rPr>
          <w:rFonts w:ascii="Times New Roman" w:hAnsi="Times New Roman" w:eastAsia="Times New Roman" w:cs="Times New Roman"/>
        </w:rPr>
        <w:t xml:space="preserve">Let</w:t>
      </w:r>
      <w:r>
        <w:rPr>
          <w:rFonts w:ascii="Times New Roman" w:hAnsi="Times New Roman" w:eastAsia="Times New Roman" w:cs="Times New Roman"/>
        </w:rPr>
        <w:t xml:space="preserve"> </w:t>
      </w:r>
      <m:oMath>
        <m:sSup>
          <m:e>
            <m:r>
              <m:t>A</m:t>
            </m:r>
          </m:e>
          <m:sup>
            <m:r>
              <m:t>u</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be the share of employers that report use and</w:t>
      </w:r>
      <w:r>
        <w:rPr>
          <w:rFonts w:ascii="Times New Roman" w:hAnsi="Times New Roman" w:eastAsia="Times New Roman" w:cs="Times New Roman"/>
        </w:rPr>
        <w:t xml:space="preserve"> </w:t>
      </w:r>
      <m:oMath>
        <m:sSup>
          <m:e>
            <m:r>
              <m:t>A</m:t>
            </m:r>
          </m:e>
          <m:sup>
            <m:r>
              <m:t>a</m:t>
            </m:r>
          </m:sup>
        </m:sSup>
        <m:r>
          <m:rPr>
            <m:sty m:val="p"/>
          </m:rPr>
          <m:t>≤</m:t>
        </m:r>
        <m:sSup>
          <m:e>
            <m:r>
              <m:t>A</m:t>
            </m:r>
          </m:e>
          <m:sup>
            <m:r>
              <m:t>u</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the share that have assimilated the visual-production tasks of occupation</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Let</w:t>
      </w:r>
      <w:r>
        <w:rPr>
          <w:rFonts w:ascii="Times New Roman" w:hAnsi="Times New Roman" w:eastAsia="Times New Roman" w:cs="Times New Roman"/>
        </w:rPr>
        <w:t xml:space="preserve"> </w:t>
      </w:r>
      <m:oMath>
        <m:sSub>
          <m:e>
            <m:r>
              <m:t>s</m:t>
            </m:r>
          </m:e>
          <m:sub>
            <m:r>
              <m:t>j</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be the share of the occupation’s work that consists of such tasks, and let</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be the log change in demand for the occupation’s visual-production work at an assimilating employer. To a first approximation, the aggregate log change in demand is</w:t>
      </w:r>
    </w:p>
    <w:p>
      <w:pPr>
        <w:pStyle w:val="BodyText"/>
        <w:spacing w:line="480" w:lineRule="auto" w:after="0" w:before="0"/>
        <w:ind w:firstLine="720"/>
        <w:jc w:val="left"/>
      </w:pPr>
      <m:oMathPara>
        <m:oMathParaPr>
          <m:jc m:val="center"/>
        </m:oMathParaPr>
        <m:oMath>
          <m:r>
            <m:t>Δ</m:t>
          </m:r>
          <m:r>
            <m:rPr>
              <m:sty m:val="p"/>
            </m:rPr>
            <m:t>ln</m:t>
          </m:r>
          <m:sSub>
            <m:e>
              <m:r>
                <m:t>N</m:t>
              </m:r>
            </m:e>
            <m:sub>
              <m:r>
                <m:t>j</m:t>
              </m:r>
            </m:sub>
          </m:sSub>
          <m:r>
            <m:rPr>
              <m:sty m:val="p"/>
            </m:rPr>
            <m:t>≈</m:t>
          </m:r>
          <m:sSub>
            <m:e>
              <m:r>
                <m:t>s</m:t>
              </m:r>
            </m:e>
            <m:sub>
              <m:r>
                <m:t>j</m:t>
              </m:r>
            </m:sub>
          </m:sSub>
          <m:r>
            <m:rPr>
              <m:sty m:val="p"/>
            </m:rPr>
            <m:t>⋅</m:t>
          </m:r>
          <m:sSup>
            <m:e>
              <m:r>
                <m:t>A</m:t>
              </m:r>
            </m:e>
            <m:sup>
              <m:r>
                <m:t>a</m:t>
              </m:r>
            </m:sup>
          </m:sSup>
          <m:r>
            <m:rPr>
              <m:sty m:val="p"/>
            </m:rPr>
            <m:t>⋅</m:t>
          </m:r>
          <m:r>
            <m:t>β</m:t>
          </m:r>
          <m:r>
            <m:t> </m:t>
          </m:r>
          <m:r>
            <m:rPr>
              <m:sty m:val="p"/>
            </m:rPr>
            <m:t>≥</m:t>
          </m:r>
          <m:r>
            <m:t> </m:t>
          </m:r>
          <m:sSub>
            <m:e>
              <m:r>
                <m:t>s</m:t>
              </m:r>
            </m:e>
            <m:sub>
              <m:r>
                <m:t>j</m:t>
              </m:r>
            </m:sub>
          </m:sSub>
          <m:r>
            <m:rPr>
              <m:sty m:val="p"/>
            </m:rPr>
            <m:t>⋅</m:t>
          </m:r>
          <m:sSup>
            <m:e>
              <m:r>
                <m:t>A</m:t>
              </m:r>
            </m:e>
            <m:sup>
              <m:r>
                <m:t>u</m:t>
              </m:r>
            </m:sup>
          </m:sSup>
          <m:r>
            <m:rPr>
              <m:sty m:val="p"/>
            </m:rPr>
            <m:t>⋅</m:t>
          </m:r>
          <m:r>
            <m:t>β</m:t>
          </m:r>
          <m:r>
            <m:t> </m:t>
          </m:r>
          <m:r>
            <m:rPr>
              <m:nor/>
              <m:sty m:val="p"/>
            </m:rPr>
            <m:t>for </m:t>
          </m:r>
          <m:r>
            <m:t>β</m:t>
          </m:r>
          <m:r>
            <m:rPr>
              <m:sty m:val="p"/>
            </m:rPr>
            <m:t>&lt;</m:t>
          </m:r>
          <m:r>
            <m:t>0</m:t>
          </m:r>
          <m:r>
            <m:rPr>
              <m:sty m:val="p"/>
            </m:rPr>
            <m:t>.</m:t>
          </m:r>
          <m:r>
            <m:t>  </m:t>
          </m:r>
          <m:d>
            <m:dPr>
              <m:begChr m:val="("/>
              <m:endChr m:val=")"/>
              <m:sepChr m:val=""/>
              <m:grow/>
            </m:dPr>
            <m:e>
              <m:r>
                <m:t>2</m:t>
              </m:r>
            </m:e>
          </m:d>
        </m:oMath>
      </m:oMathPara>
    </w:p>
    <w:p>
      <w:pPr>
        <w:pStyle w:val="FirstParagraph"/>
        <w:spacing w:line="480" w:lineRule="auto" w:after="0" w:before="0"/>
        <w:ind w:firstLine="720"/>
        <w:jc w:val="left"/>
      </w:pPr>
      <w:r>
        <w:rPr>
          <w:rFonts w:ascii="Times New Roman" w:hAnsi="Times New Roman" w:eastAsia="Times New Roman" w:cs="Times New Roman"/>
        </w:rPr>
        <w:t xml:space="preserve">The parameter</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combines substitution, which is negative, with a scale effect, which is positive when cheaper content raises the volume of visual work. Let</w:t>
      </w:r>
      <w:r>
        <w:rPr>
          <w:rFonts w:ascii="Times New Roman" w:hAnsi="Times New Roman" w:eastAsia="Times New Roman" w:cs="Times New Roman"/>
        </w:rPr>
        <w:t xml:space="preserve"> </w:t>
      </w:r>
      <m:oMath>
        <m:r>
          <m:t>ρ</m:t>
        </m:r>
        <m:r>
          <m:rPr>
            <m:sty m:val="p"/>
          </m:rPr>
          <m:t>=</m:t>
        </m:r>
        <m:r>
          <m:t>r</m:t>
        </m:r>
        <m:r>
          <m:rPr>
            <m:sty m:val="p"/>
          </m:rPr>
          <m:t>/</m:t>
        </m:r>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be review cost and</w:t>
      </w:r>
      <w:r>
        <w:rPr>
          <w:rFonts w:ascii="Times New Roman" w:hAnsi="Times New Roman" w:eastAsia="Times New Roman" w:cs="Times New Roman"/>
        </w:rPr>
        <w:t xml:space="preserve"> </w:t>
      </w:r>
      <m:oMath>
        <m:r>
          <m:t>γ</m:t>
        </m:r>
        <m:r>
          <m:rPr>
            <m:sty m:val="p"/>
          </m:rPr>
          <m:t>=</m:t>
        </m:r>
        <m:r>
          <m:t>c</m:t>
        </m:r>
        <m:r>
          <m:rPr>
            <m:sty m:val="p"/>
          </m:rPr>
          <m:t>/</m:t>
        </m:r>
        <m:r>
          <m:t>θ</m:t>
        </m:r>
      </m:oMath>
      <w:r>
        <w:rPr>
          <w:rFonts w:ascii="Times New Roman" w:hAnsi="Times New Roman" w:eastAsia="Times New Roman" w:cs="Times New Roman"/>
        </w:rPr>
        <w:t xml:space="preserve"> </w:t>
      </w:r>
      <w:r>
        <w:rPr>
          <w:rFonts w:ascii="Times New Roman" w:hAnsi="Times New Roman" w:eastAsia="Times New Roman" w:cs="Times New Roman"/>
        </w:rPr>
        <w:t xml:space="preserve">generation cost relative to human production, so that</w:t>
      </w:r>
      <w:r>
        <w:rPr>
          <w:rFonts w:ascii="Times New Roman" w:hAnsi="Times New Roman" w:eastAsia="Times New Roman" w:cs="Times New Roman"/>
        </w:rPr>
        <w:t xml:space="preserve"> </w:t>
      </w:r>
      <m:oMath>
        <m:sSup>
          <m:e>
            <m:r>
              <m:t>a</m:t>
            </m:r>
          </m:e>
          <m:sup>
            <m:r>
              <m:rPr>
                <m:sty m:val="p"/>
              </m:rPr>
              <m:t>*</m:t>
            </m:r>
          </m:sup>
        </m:sSup>
        <m:r>
          <m:rPr>
            <m:sty m:val="p"/>
          </m:rPr>
          <m:t>=</m:t>
        </m:r>
        <m:r>
          <m:t>γ</m:t>
        </m:r>
        <m:r>
          <m:rPr>
            <m:sty m:val="p"/>
          </m:rPr>
          <m:t>+</m:t>
        </m:r>
        <m:r>
          <m:t>ρ</m:t>
        </m:r>
      </m:oMath>
      <w:r>
        <w:rPr>
          <w:rFonts w:ascii="Times New Roman" w:hAnsi="Times New Roman" w:eastAsia="Times New Roman" w:cs="Times New Roman"/>
        </w:rPr>
        <w:t xml:space="preserve">. With the generator, labor per unit of output falls from</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to</w:t>
      </w:r>
      <w:r>
        <w:rPr>
          <w:rFonts w:ascii="Times New Roman" w:hAnsi="Times New Roman" w:eastAsia="Times New Roman" w:cs="Times New Roman"/>
        </w:rPr>
        <w:t xml:space="preserve"> </w:t>
      </w:r>
      <m:oMath>
        <m:r>
          <m:t>h</m:t>
        </m:r>
        <m:d>
          <m:dPr>
            <m:begChr m:val="("/>
            <m:endChr m:val=")"/>
            <m:sepChr m:val=""/>
            <m:grow/>
          </m:dPr>
          <m:e>
            <m:r>
              <m:t>1</m:t>
            </m:r>
            <m:r>
              <m:rPr>
                <m:sty m:val="p"/>
              </m:rPr>
              <m:t>−</m:t>
            </m:r>
            <m:r>
              <m:t>a</m:t>
            </m:r>
            <m:r>
              <m:rPr>
                <m:sty m:val="p"/>
              </m:rPr>
              <m:t>+</m:t>
            </m:r>
            <m:r>
              <m:t>ρ</m:t>
            </m:r>
          </m:e>
        </m:d>
      </m:oMath>
      <w:r>
        <w:rPr>
          <w:rFonts w:ascii="Times New Roman" w:hAnsi="Times New Roman" w:eastAsia="Times New Roman" w:cs="Times New Roman"/>
        </w:rPr>
        <w:t xml:space="preserve">, while cost per unit falls by the ratio</w:t>
      </w:r>
      <w:r>
        <w:rPr>
          <w:rFonts w:ascii="Times New Roman" w:hAnsi="Times New Roman" w:eastAsia="Times New Roman" w:cs="Times New Roman"/>
        </w:rPr>
        <w:t xml:space="preserve"> </w:t>
      </w:r>
      <m:oMath>
        <m:r>
          <m:t>κ</m:t>
        </m:r>
        <m:r>
          <m:rPr>
            <m:sty m:val="p"/>
          </m:rPr>
          <m:t>=</m:t>
        </m:r>
        <m:r>
          <m:t>γ</m:t>
        </m:r>
        <m:r>
          <m:rPr>
            <m:sty m:val="p"/>
          </m:rPr>
          <m:t>+</m:t>
        </m:r>
        <m:r>
          <m:t>ρ</m:t>
        </m:r>
        <m:r>
          <m:rPr>
            <m:sty m:val="p"/>
          </m:rPr>
          <m:t>+</m:t>
        </m:r>
        <m:r>
          <m:t>1</m:t>
        </m:r>
        <m:r>
          <m:rPr>
            <m:sty m:val="p"/>
          </m:rPr>
          <m:t>−</m:t>
        </m:r>
        <m:r>
          <m:t>a</m:t>
        </m:r>
      </m:oMath>
      <w:r>
        <w:rPr>
          <w:rFonts w:ascii="Times New Roman" w:hAnsi="Times New Roman" w:eastAsia="Times New Roman" w:cs="Times New Roman"/>
        </w:rPr>
        <w:t xml:space="preserve">, which is below one exactly when</w:t>
      </w:r>
      <w:r>
        <w:rPr>
          <w:rFonts w:ascii="Times New Roman" w:hAnsi="Times New Roman" w:eastAsia="Times New Roman" w:cs="Times New Roman"/>
        </w:rPr>
        <w:t xml:space="preserve"> </w:t>
      </w:r>
      <m:oMath>
        <m:r>
          <m:t>a</m:t>
        </m:r>
        <m:r>
          <m:rPr>
            <m:sty m:val="p"/>
          </m:rPr>
          <m:t>&gt;</m:t>
        </m:r>
        <m:sSup>
          <m:e>
            <m:r>
              <m:t>a</m:t>
            </m:r>
          </m:e>
          <m:sup>
            <m:r>
              <m:rPr>
                <m:sty m:val="p"/>
              </m:rPr>
              <m:t>*</m:t>
            </m:r>
          </m:sup>
        </m:sSup>
      </m:oMath>
      <w:r>
        <w:rPr>
          <w:rFonts w:ascii="Times New Roman" w:hAnsi="Times New Roman" w:eastAsia="Times New Roman" w:cs="Times New Roman"/>
        </w:rPr>
        <w:t xml:space="preserve">. If</w:t>
      </w:r>
      <w:r>
        <w:rPr>
          <w:rFonts w:ascii="Times New Roman" w:hAnsi="Times New Roman" w:eastAsia="Times New Roman" w:cs="Times New Roman"/>
        </w:rPr>
        <w:t xml:space="preserve"> </w:t>
      </w:r>
      <m:oMath>
        <m:r>
          <m:t>ε</m:t>
        </m:r>
      </m:oMath>
      <w:r>
        <w:rPr>
          <w:rFonts w:ascii="Times New Roman" w:hAnsi="Times New Roman" w:eastAsia="Times New Roman" w:cs="Times New Roman"/>
        </w:rPr>
        <w:t xml:space="preserve"> </w:t>
      </w:r>
      <w:r>
        <w:rPr>
          <w:rFonts w:ascii="Times New Roman" w:hAnsi="Times New Roman" w:eastAsia="Times New Roman" w:cs="Times New Roman"/>
        </w:rPr>
        <w:t xml:space="preserve">is the price elasticity of demand for the occupation’s visual output, the net effect at an assimilating employer is</w:t>
      </w:r>
    </w:p>
    <w:p>
      <w:pPr>
        <w:pStyle w:val="BodyText"/>
        <w:spacing w:line="480" w:lineRule="auto" w:after="0" w:before="0"/>
        <w:ind w:firstLine="720"/>
        <w:jc w:val="left"/>
      </w:pPr>
      <m:oMathPara>
        <m:oMathParaPr>
          <m:jc m:val="center"/>
        </m:oMathParaPr>
        <m:oMath>
          <m:r>
            <m:t>β</m:t>
          </m:r>
          <m:r>
            <m:rPr>
              <m:sty m:val="p"/>
            </m:rPr>
            <m:t>=</m:t>
          </m:r>
          <m:r>
            <m:rPr>
              <m:sty m:val="p"/>
            </m:rPr>
            <m:t>ln</m:t>
          </m:r>
          <m:d>
            <m:dPr>
              <m:begChr m:val="("/>
              <m:endChr m:val=")"/>
              <m:sepChr m:val=""/>
              <m:grow/>
            </m:dPr>
            <m:e>
              <m:r>
                <m:t>1</m:t>
              </m:r>
              <m:r>
                <m:rPr>
                  <m:sty m:val="p"/>
                </m:rPr>
                <m:t>−</m:t>
              </m:r>
              <m:r>
                <m:t>a</m:t>
              </m:r>
              <m:r>
                <m:rPr>
                  <m:sty m:val="p"/>
                </m:rPr>
                <m:t>+</m:t>
              </m:r>
              <m:r>
                <m:t>ρ</m:t>
              </m:r>
            </m:e>
          </m:d>
          <m:r>
            <m:rPr>
              <m:sty m:val="p"/>
            </m:rPr>
            <m:t>−</m:t>
          </m:r>
          <m:r>
            <m:t>ε</m:t>
          </m:r>
          <m:r>
            <m:rPr>
              <m:sty m:val="p"/>
            </m:rPr>
            <m:t>ln</m:t>
          </m:r>
          <m:r>
            <m:t>κ</m:t>
          </m:r>
          <m:r>
            <m:rPr>
              <m:sty m:val="p"/>
            </m:rPr>
            <m:t>.</m:t>
          </m:r>
          <m:r>
            <m:t>  </m:t>
          </m:r>
          <m:d>
            <m:dPr>
              <m:begChr m:val="("/>
              <m:endChr m:val=")"/>
              <m:sepChr m:val=""/>
              <m:grow/>
            </m:dPr>
            <m:e>
              <m:r>
                <m:t>3</m:t>
              </m:r>
            </m:e>
          </m:d>
        </m:oMath>
      </m:oMathPara>
    </w:p>
    <w:p>
      <w:pPr>
        <w:pStyle w:val="FirstParagraph"/>
        <w:spacing w:line="480" w:lineRule="auto" w:after="0" w:before="0"/>
        <w:ind w:firstLine="720"/>
        <w:jc w:val="left"/>
      </w:pPr>
      <w:r>
        <w:rPr>
          <w:rFonts w:ascii="Times New Roman" w:hAnsi="Times New Roman" w:eastAsia="Times New Roman" w:cs="Times New Roman"/>
        </w:rPr>
        <w:t xml:space="preserve">The first term combines displacement, because the generator takes over a share</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ascii="Times New Roman" w:hAnsi="Times New Roman" w:eastAsia="Times New Roman" w:cs="Times New Roman"/>
        </w:rPr>
        <w:t xml:space="preserve">of human production, with reinstatement, because review and direction create labor</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that did not exist before (Acemoglu and Restrepo, 2018, 2019). The second is the scale effect. Two properties follow (derivations are in the online supplement). Labor per unit cannot fall below the review share</w:t>
      </w:r>
      <w:r>
        <w:rPr>
          <w:rFonts w:ascii="Times New Roman" w:hAnsi="Times New Roman" w:eastAsia="Times New Roman" w:cs="Times New Roman"/>
        </w:rPr>
        <w:t xml:space="preserve"> </w:t>
      </w:r>
      <m:oMath>
        <m:r>
          <m:t>ρ</m:t>
        </m:r>
      </m:oMath>
      <w:r>
        <w:rPr>
          <w:rFonts w:ascii="Times New Roman" w:hAnsi="Times New Roman" w:eastAsia="Times New Roman" w:cs="Times New Roman"/>
        </w:rPr>
        <w:t xml:space="preserve"> </w:t>
      </w:r>
      <w:r>
        <w:rPr>
          <w:rFonts w:ascii="Times New Roman" w:hAnsi="Times New Roman" w:eastAsia="Times New Roman" w:cs="Times New Roman"/>
        </w:rPr>
        <w:t xml:space="preserve">however high the acceptance rate, so review is a bottleneck task (Aghion et al., 2019; Baumol, 1967) and the complements that govern assimilation also govern how much labor assimilation saves. And</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is negative if and only if</w:t>
      </w:r>
      <w:r>
        <w:rPr>
          <w:rFonts w:ascii="Times New Roman" w:hAnsi="Times New Roman" w:eastAsia="Times New Roman" w:cs="Times New Roman"/>
        </w:rPr>
        <w:t xml:space="preserve"> </w:t>
      </w:r>
      <m:oMath>
        <m:r>
          <m:t>ε</m:t>
        </m:r>
        <m:r>
          <m:rPr>
            <m:sty m:val="p"/>
          </m:rPr>
          <m:t>&lt;</m:t>
        </m:r>
        <m:r>
          <m:rPr>
            <m:sty m:val="p"/>
          </m:rPr>
          <m:t>ln</m:t>
        </m:r>
        <m:d>
          <m:dPr>
            <m:begChr m:val="("/>
            <m:endChr m:val=")"/>
            <m:sepChr m:val=""/>
            <m:grow/>
          </m:dPr>
          <m:e>
            <m:r>
              <m:t>1</m:t>
            </m:r>
            <m:r>
              <m:rPr>
                <m:sty m:val="p"/>
              </m:rPr>
              <m:t>−</m:t>
            </m:r>
            <m:r>
              <m:t>a</m:t>
            </m:r>
            <m:r>
              <m:rPr>
                <m:sty m:val="p"/>
              </m:rPr>
              <m:t>+</m:t>
            </m:r>
            <m:r>
              <m:t>ρ</m:t>
            </m:r>
          </m:e>
        </m:d>
        <m:r>
          <m:rPr>
            <m:sty m:val="p"/>
          </m:rPr>
          <m:t>/</m:t>
        </m:r>
        <m:r>
          <m:rPr>
            <m:sty m:val="p"/>
          </m:rPr>
          <m:t>ln</m:t>
        </m:r>
        <m:r>
          <m:t>κ</m:t>
        </m:r>
      </m:oMath>
      <w:r>
        <w:rPr>
          <w:rFonts w:ascii="Times New Roman" w:hAnsi="Times New Roman" w:eastAsia="Times New Roman" w:cs="Times New Roman"/>
        </w:rPr>
        <w:t xml:space="preserve">, a threshold above one whenever generation costs anything: complete assimilation reduces demand for the occupation if demand for visual output is inelastic and can raise it only if demand is elastic. For example, with</w:t>
      </w:r>
      <w:r>
        <w:rPr>
          <w:rFonts w:ascii="Times New Roman" w:hAnsi="Times New Roman" w:eastAsia="Times New Roman" w:cs="Times New Roman"/>
        </w:rPr>
        <w:t xml:space="preserve"> </w:t>
      </w:r>
      <m:oMath>
        <m:r>
          <m:t>a</m:t>
        </m:r>
        <m:r>
          <m:rPr>
            <m:sty m:val="p"/>
          </m:rPr>
          <m:t>=</m:t>
        </m:r>
        <m:r>
          <m:t>0.8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ρ</m:t>
        </m:r>
        <m:r>
          <m:rPr>
            <m:sty m:val="p"/>
          </m:rPr>
          <m:t>=</m:t>
        </m:r>
        <m:r>
          <m:t>0.3</m:t>
        </m:r>
      </m:oMath>
      <w:r>
        <w:rPr>
          <w:rFonts w:ascii="Times New Roman" w:hAnsi="Times New Roman" w:eastAsia="Times New Roman" w:cs="Times New Roman"/>
        </w:rPr>
        <w:t xml:space="preserve">, and</w:t>
      </w:r>
      <w:r>
        <w:rPr>
          <w:rFonts w:ascii="Times New Roman" w:hAnsi="Times New Roman" w:eastAsia="Times New Roman" w:cs="Times New Roman"/>
        </w:rPr>
        <w:t xml:space="preserve"> </w:t>
      </w:r>
      <m:oMath>
        <m:r>
          <m:t>γ</m:t>
        </m:r>
        <m:r>
          <m:rPr>
            <m:sty m:val="p"/>
          </m:rPr>
          <m:t>=</m:t>
        </m:r>
        <m:r>
          <m:t>0.05</m:t>
        </m:r>
      </m:oMath>
      <w:r>
        <w:rPr>
          <w:rFonts w:ascii="Times New Roman" w:hAnsi="Times New Roman" w:eastAsia="Times New Roman" w:cs="Times New Roman"/>
        </w:rPr>
        <w:t xml:space="preserve">, labor per unit halves and</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is</w:t>
      </w:r>
      <w:r>
        <w:rPr>
          <w:rFonts w:ascii="Times New Roman" w:hAnsi="Times New Roman" w:eastAsia="Times New Roman" w:cs="Times New Roman"/>
        </w:rPr>
        <w:t xml:space="preserve"> </w:t>
      </w:r>
      <m:oMath>
        <m:r>
          <m:rPr>
            <m:sty m:val="p"/>
          </m:rPr>
          <m:t>−</m:t>
        </m:r>
        <m:r>
          <m:t>0.39</m:t>
        </m:r>
      </m:oMath>
      <w:r>
        <w:rPr>
          <w:rFonts w:ascii="Times New Roman" w:hAnsi="Times New Roman" w:eastAsia="Times New Roman" w:cs="Times New Roman"/>
        </w:rPr>
        <w:t xml:space="preserve"> </w:t>
      </w:r>
      <w:r>
        <w:rPr>
          <w:rFonts w:ascii="Times New Roman" w:hAnsi="Times New Roman" w:eastAsia="Times New Roman" w:cs="Times New Roman"/>
        </w:rPr>
        <w:t xml:space="preserve">if</w:t>
      </w:r>
      <w:r>
        <w:rPr>
          <w:rFonts w:ascii="Times New Roman" w:hAnsi="Times New Roman" w:eastAsia="Times New Roman" w:cs="Times New Roman"/>
        </w:rPr>
        <w:t xml:space="preserve"> </w:t>
      </w:r>
      <m:oMath>
        <m:r>
          <m:t>ε</m:t>
        </m:r>
        <m:r>
          <m:rPr>
            <m:sty m:val="p"/>
          </m:rPr>
          <m:t>=</m:t>
        </m:r>
        <m:r>
          <m:t>0.5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0.10</m:t>
        </m:r>
      </m:oMath>
      <w:r>
        <w:rPr>
          <w:rFonts w:ascii="Times New Roman" w:hAnsi="Times New Roman" w:eastAsia="Times New Roman" w:cs="Times New Roman"/>
        </w:rPr>
        <w:t xml:space="preserve"> </w:t>
      </w:r>
      <w:r>
        <w:rPr>
          <w:rFonts w:ascii="Times New Roman" w:hAnsi="Times New Roman" w:eastAsia="Times New Roman" w:cs="Times New Roman"/>
        </w:rPr>
        <w:t xml:space="preserve">if</w:t>
      </w:r>
      <w:r>
        <w:rPr>
          <w:rFonts w:ascii="Times New Roman" w:hAnsi="Times New Roman" w:eastAsia="Times New Roman" w:cs="Times New Roman"/>
        </w:rPr>
        <w:t xml:space="preserve"> </w:t>
      </w:r>
      <m:oMath>
        <m:r>
          <m:t>ε</m:t>
        </m:r>
        <m:r>
          <m:rPr>
            <m:sty m:val="p"/>
          </m:rPr>
          <m:t>=</m:t>
        </m:r>
        <m:r>
          <m:t>1</m:t>
        </m:r>
      </m:oMath>
      <w:r>
        <w:rPr>
          <w:rFonts w:ascii="Times New Roman" w:hAnsi="Times New Roman" w:eastAsia="Times New Roman" w:cs="Times New Roman"/>
        </w:rPr>
        <w:t xml:space="preserve">, and</w:t>
      </w:r>
      <w:r>
        <w:rPr>
          <w:rFonts w:ascii="Times New Roman" w:hAnsi="Times New Roman" w:eastAsia="Times New Roman" w:cs="Times New Roman"/>
        </w:rPr>
        <w:t xml:space="preserve"> </w:t>
      </w:r>
      <m:oMath>
        <m:r>
          <m:rPr>
            <m:sty m:val="p"/>
          </m:rPr>
          <m:t>+</m:t>
        </m:r>
        <m:r>
          <m:t>0.02</m:t>
        </m:r>
      </m:oMath>
      <w:r>
        <w:rPr>
          <w:rFonts w:ascii="Times New Roman" w:hAnsi="Times New Roman" w:eastAsia="Times New Roman" w:cs="Times New Roman"/>
        </w:rPr>
        <w:t xml:space="preserve"> </w:t>
      </w:r>
      <w:r>
        <w:rPr>
          <w:rFonts w:ascii="Times New Roman" w:hAnsi="Times New Roman" w:eastAsia="Times New Roman" w:cs="Times New Roman"/>
        </w:rPr>
        <w:t xml:space="preserve">if</w:t>
      </w:r>
      <w:r>
        <w:rPr>
          <w:rFonts w:ascii="Times New Roman" w:hAnsi="Times New Roman" w:eastAsia="Times New Roman" w:cs="Times New Roman"/>
        </w:rPr>
        <w:t xml:space="preserve"> </w:t>
      </w:r>
      <m:oMath>
        <m:r>
          <m:t>ε</m:t>
        </m:r>
        <m:r>
          <m:rPr>
            <m:sty m:val="p"/>
          </m:rPr>
          <m:t>=</m:t>
        </m:r>
        <m:r>
          <m:t>1.2</m:t>
        </m:r>
      </m:oMath>
      <w:r>
        <w:rPr>
          <w:rFonts w:ascii="Times New Roman" w:hAnsi="Times New Roman" w:eastAsia="Times New Roman" w:cs="Times New Roman"/>
        </w:rPr>
        <w:t xml:space="preserve">. The platform-based values</w:t>
      </w:r>
      <w:r>
        <w:rPr>
          <w:rFonts w:ascii="Times New Roman" w:hAnsi="Times New Roman" w:eastAsia="Times New Roman" w:cs="Times New Roman"/>
        </w:rPr>
        <w:t xml:space="preserve"> </w:t>
      </w:r>
      <m:oMath>
        <m:r>
          <m:t>β</m:t>
        </m:r>
        <m:r>
          <m:rPr>
            <m:sty m:val="p"/>
          </m:rPr>
          <m:t>=</m:t>
        </m:r>
        <m:r>
          <m:rPr>
            <m:sty m:val="p"/>
          </m:rPr>
          <m:t>−</m:t>
        </m:r>
        <m:r>
          <m:t>0.19</m:t>
        </m:r>
      </m:oMath>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used below are reduced-form and bundle all four parameters.</w:t>
      </w:r>
    </w:p>
    <w:p>
      <w:pPr>
        <w:pStyle w:val="BodyText"/>
        <w:spacing w:line="480" w:lineRule="auto" w:after="0" w:before="0"/>
        <w:ind w:firstLine="720"/>
        <w:jc w:val="left"/>
      </w:pPr>
      <w:r>
        <w:rPr>
          <w:rFonts w:ascii="Times New Roman" w:hAnsi="Times New Roman" w:eastAsia="Times New Roman" w:cs="Times New Roman"/>
        </w:rPr>
        <w:t xml:space="preserve">Equation (2) makes clear why a small aggregate response is ambiguous. It can arise because</w:t>
      </w:r>
      <w:r>
        <w:rPr>
          <w:rFonts w:ascii="Times New Roman" w:hAnsi="Times New Roman" w:eastAsia="Times New Roman" w:cs="Times New Roman"/>
        </w:rPr>
        <w:t xml:space="preserve"> </w:t>
      </w:r>
      <m:oMath>
        <m:sSup>
          <m:e>
            <m:r>
              <m:t>A</m:t>
            </m:r>
          </m:e>
          <m:sup>
            <m:r>
              <m:t>a</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is small relative to</w:t>
      </w:r>
      <w:r>
        <w:rPr>
          <w:rFonts w:ascii="Times New Roman" w:hAnsi="Times New Roman" w:eastAsia="Times New Roman" w:cs="Times New Roman"/>
        </w:rPr>
        <w:t xml:space="preserve"> </w:t>
      </w:r>
      <m:oMath>
        <m:sSup>
          <m:e>
            <m:r>
              <m:t>A</m:t>
            </m:r>
          </m:e>
          <m:sup>
            <m:r>
              <m:t>u</m:t>
            </m:r>
          </m:sup>
        </m:sSup>
      </m:oMath>
      <w:r>
        <w:rPr>
          <w:rFonts w:ascii="Times New Roman" w:hAnsi="Times New Roman" w:eastAsia="Times New Roman" w:cs="Times New Roman"/>
        </w:rPr>
        <w:t xml:space="preserve">, which is the assimilation gap, or because</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is close to zero, which is assimilation with offsetting scale effects. It can also arise simply because</w:t>
      </w:r>
      <w:r>
        <w:rPr>
          <w:rFonts w:ascii="Times New Roman" w:hAnsi="Times New Roman" w:eastAsia="Times New Roman" w:cs="Times New Roman"/>
        </w:rPr>
        <w:t xml:space="preserve"> </w:t>
      </w:r>
      <m:oMath>
        <m:sSub>
          <m:e>
            <m:r>
              <m:t>s</m:t>
            </m:r>
          </m:e>
          <m:sub>
            <m:r>
              <m:t>j</m:t>
            </m:r>
          </m:sub>
        </m:sSub>
        <m:r>
          <m:rPr>
            <m:sty m:val="p"/>
          </m:rPr>
          <m:t>⋅</m:t>
        </m:r>
        <m:sSup>
          <m:e>
            <m:r>
              <m:t>A</m:t>
            </m:r>
          </m:e>
          <m:sup>
            <m:r>
              <m:t>u</m:t>
            </m:r>
          </m:sup>
        </m:sSup>
        <m:r>
          <m:rPr>
            <m:sty m:val="p"/>
          </m:rPr>
          <m:t>⋅</m:t>
        </m:r>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is small even when</w:t>
      </w:r>
      <w:r>
        <w:rPr>
          <w:rFonts w:ascii="Times New Roman" w:hAnsi="Times New Roman" w:eastAsia="Times New Roman" w:cs="Times New Roman"/>
        </w:rPr>
        <w:t xml:space="preserve"> </w:t>
      </w:r>
      <m:oMath>
        <m:sSup>
          <m:e>
            <m:r>
              <m:t>A</m:t>
            </m:r>
          </m:e>
          <m:sup>
            <m:r>
              <m:t>a</m:t>
            </m:r>
          </m:sup>
        </m:sSup>
        <m:r>
          <m:rPr>
            <m:sty m:val="p"/>
          </m:rPr>
          <m:t>=</m:t>
        </m:r>
        <m:sSup>
          <m:e>
            <m:r>
              <m:t>A</m:t>
            </m:r>
          </m:e>
          <m:sup>
            <m:r>
              <m:t>u</m:t>
            </m:r>
          </m:sup>
        </m:sSup>
      </m:oMath>
      <w:r>
        <w:rPr>
          <w:rFonts w:ascii="Times New Roman" w:hAnsi="Times New Roman" w:eastAsia="Times New Roman" w:cs="Times New Roman"/>
        </w:rPr>
        <w:t xml:space="preserve">. Section 4 shows that this last possibility is the binding one in current data.</w:t>
      </w:r>
    </w:p>
    <w:p>
      <w:pPr>
        <w:pStyle w:val="BodyText"/>
        <w:spacing w:line="480" w:lineRule="auto" w:after="0" w:before="0"/>
        <w:ind w:firstLine="720"/>
        <w:jc w:val="left"/>
      </w:pPr>
      <w:r>
        <w:rPr>
          <w:rFonts w:ascii="Times New Roman" w:hAnsi="Times New Roman" w:eastAsia="Times New Roman" w:cs="Times New Roman"/>
        </w:rPr>
        <w:t xml:space="preserve">Adjustment through attrition adds a lag. Employers reduce workforces mainly by lowering hires. If assimilation lowers target employment by a fraction</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and the employer closes a fraction</w:t>
      </w:r>
      <w:r>
        <w:rPr>
          <w:rFonts w:ascii="Times New Roman" w:hAnsi="Times New Roman" w:eastAsia="Times New Roman" w:cs="Times New Roman"/>
        </w:rPr>
        <w:t xml:space="preserve"> </w:t>
      </w:r>
      <m:oMath>
        <m:r>
          <m:t>λ</m:t>
        </m:r>
      </m:oMath>
      <w:r>
        <w:rPr>
          <w:rFonts w:ascii="Times New Roman" w:hAnsi="Times New Roman" w:eastAsia="Times New Roman" w:cs="Times New Roman"/>
        </w:rPr>
        <w:t xml:space="preserve"> </w:t>
      </w:r>
      <w:r>
        <w:rPr>
          <w:rFonts w:ascii="Times New Roman" w:hAnsi="Times New Roman" w:eastAsia="Times New Roman" w:cs="Times New Roman"/>
        </w:rPr>
        <w:t xml:space="preserve">of the remaining gap each period, hiring falls by at most</w:t>
      </w:r>
      <w:r>
        <w:rPr>
          <w:rFonts w:ascii="Times New Roman" w:hAnsi="Times New Roman" w:eastAsia="Times New Roman" w:cs="Times New Roman"/>
        </w:rPr>
        <w:t xml:space="preserve"> </w:t>
      </w:r>
      <m:oMath>
        <m:r>
          <m:t>f</m:t>
        </m:r>
      </m:oMath>
      <w:r>
        <w:rPr>
          <w:rFonts w:ascii="Times New Roman" w:hAnsi="Times New Roman" w:eastAsia="Times New Roman" w:cs="Times New Roman"/>
        </w:rPr>
        <w:t xml:space="preserve">, so the decline in adverts never exceeds the decline in target employment, and employment closes only</w:t>
      </w:r>
      <w:r>
        <w:rPr>
          <w:rFonts w:ascii="Times New Roman" w:hAnsi="Times New Roman" w:eastAsia="Times New Roman" w:cs="Times New Roman"/>
        </w:rPr>
        <w:t xml:space="preserve"> </w:t>
      </w:r>
      <m:oMath>
        <m:r>
          <m:t>1</m:t>
        </m:r>
        <m:r>
          <m:rPr>
            <m:sty m:val="p"/>
          </m:rPr>
          <m:t>−</m:t>
        </m:r>
        <m:sSup>
          <m:e>
            <m:d>
              <m:dPr>
                <m:begChr m:val="("/>
                <m:endChr m:val=")"/>
                <m:sepChr m:val=""/>
                <m:grow/>
              </m:dPr>
              <m:e>
                <m:r>
                  <m:t>1</m:t>
                </m:r>
                <m:r>
                  <m:rPr>
                    <m:sty m:val="p"/>
                  </m:rPr>
                  <m:t>−</m:t>
                </m:r>
                <m:r>
                  <m:t>λ</m:t>
                </m:r>
              </m:e>
            </m:d>
          </m:e>
          <m:sup>
            <m:r>
              <m:t>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of the gap after</w:t>
      </w:r>
      <w:r>
        <w:rPr>
          <w:rFonts w:ascii="Times New Roman" w:hAnsi="Times New Roman" w:eastAsia="Times New Roman" w:cs="Times New Roman"/>
        </w:rPr>
        <w:t xml:space="preserve"> </w:t>
      </w:r>
      <m:oMath>
        <m:r>
          <m:t>T</m:t>
        </m:r>
      </m:oMath>
      <w:r>
        <w:rPr>
          <w:rFonts w:ascii="Times New Roman" w:hAnsi="Times New Roman" w:eastAsia="Times New Roman" w:cs="Times New Roman"/>
        </w:rPr>
        <w:t xml:space="preserve"> </w:t>
      </w:r>
      <w:r>
        <w:rPr>
          <w:rFonts w:ascii="Times New Roman" w:hAnsi="Times New Roman" w:eastAsia="Times New Roman" w:cs="Times New Roman"/>
        </w:rPr>
        <w:t xml:space="preserve">periods (19 percent after two years and 41 percent after five when</w:t>
      </w:r>
      <w:r>
        <w:rPr>
          <w:rFonts w:ascii="Times New Roman" w:hAnsi="Times New Roman" w:eastAsia="Times New Roman" w:cs="Times New Roman"/>
        </w:rPr>
        <w:t xml:space="preserve"> </w:t>
      </w:r>
      <m:oMath>
        <m:r>
          <m:t>λ</m:t>
        </m:r>
        <m:r>
          <m:rPr>
            <m:sty m:val="p"/>
          </m:rPr>
          <m:t>=</m:t>
        </m:r>
        <m:r>
          <m:t>0.10</m:t>
        </m:r>
      </m:oMath>
      <w:r>
        <w:rPr>
          <w:rFonts w:ascii="Times New Roman" w:hAnsi="Times New Roman" w:eastAsia="Times New Roman" w:cs="Times New Roman"/>
        </w:rPr>
        <w:t xml:space="preserve">). A decline that began before the technology, because of structural change in the industries that employ the occupation, enters as a lower target employment at an earlier date and follows the same dynamics. The two cannot be told apart without firm-level data that observe use of the tool.</w:t>
      </w:r>
    </w:p>
    <w:bookmarkEnd w:id="24"/>
    <w:bookmarkStart w:id="25" w:name="extending-assimilation-theory"/>
    <w:p>
      <w:pPr>
        <w:pStyle w:val="Heading3"/>
      </w:pPr>
      <w:r>
        <w:rPr>
          <w:rFonts w:ascii="Times New Roman" w:hAnsi="Times New Roman" w:eastAsia="Times New Roman" w:cs="Times New Roman"/>
        </w:rPr>
        <w:t xml:space="preserve">3.3 Extending Assimilation Theory</w:t>
      </w:r>
    </w:p>
    <w:p>
      <w:pPr>
        <w:pStyle w:val="FirstParagraph"/>
        <w:spacing w:line="480" w:lineRule="auto" w:after="0" w:before="0"/>
        <w:ind w:firstLine="720"/>
        <w:jc w:val="left"/>
      </w:pPr>
      <w:r>
        <w:rPr>
          <w:rFonts w:ascii="Times New Roman" w:hAnsi="Times New Roman" w:eastAsia="Times New Roman" w:cs="Times New Roman"/>
        </w:rPr>
        <w:t xml:space="preserve">The model carries three claims that go beyond restating the assimilation gap for a new technology. The first and third are the core of our theoretical contribution; the second is a conjecture that current public data do not support. All three are conceptual claims, not results of this paper, and Section 9 sets out how each could be tested.</w:t>
      </w:r>
    </w:p>
    <w:p>
      <w:pPr>
        <w:pStyle w:val="BodyText"/>
        <w:spacing w:line="480" w:lineRule="auto" w:after="0" w:before="0"/>
        <w:ind w:firstLine="720"/>
        <w:jc w:val="left"/>
      </w:pPr>
      <w:r>
        <w:rPr>
          <w:iCs/>
          <w:rFonts w:ascii="Times New Roman" w:hAnsi="Times New Roman" w:eastAsia="Times New Roman" w:cs="Times New Roman"/>
          <w:i/>
        </w:rPr>
        <w:t xml:space="preserve">Judgment complements differ from production complements.</w:t>
      </w:r>
      <w:r>
        <w:rPr>
          <w:rFonts w:ascii="Times New Roman" w:hAnsi="Times New Roman" w:eastAsia="Times New Roman" w:cs="Times New Roman"/>
        </w:rPr>
        <w:t xml:space="preserve"> </w:t>
      </w:r>
      <w:r>
        <w:rPr>
          <w:rFonts w:ascii="Times New Roman" w:hAnsi="Times New Roman" w:eastAsia="Times New Roman" w:cs="Times New Roman"/>
        </w:rPr>
        <w:t xml:space="preserve">In the classic account, knowledge barriers impede building the competence needed to make a technology work (Attewell, 1992; Fichman and Kemerer, 1999). Generative tools remove most of this production barrier, since a person can operate a generator on the first day. What remains is a different kind of complement: the capacity to judge whether an output is acceptable, which here consists of expertise, review capacity, and compliance procedures. Production complements govern whether a technology can be used, whereas judgment complements govern whether its output can be relied on in place of human work. The distinction is close to absorptive capacity (Cohen and Levinthal, 1990), with the difference that the object recognized is a machine’s output on a specific task and not a body of outside knowledge. Treating the two classes separately explains why a tool that is easy to use can still be hard to assimilate.</w:t>
      </w:r>
    </w:p>
    <w:p>
      <w:pPr>
        <w:pStyle w:val="BodyText"/>
        <w:spacing w:line="480" w:lineRule="auto" w:after="0" w:before="0"/>
        <w:ind w:firstLine="720"/>
        <w:jc w:val="left"/>
      </w:pPr>
      <w:r>
        <w:rPr>
          <w:iCs/>
          <w:rFonts w:ascii="Times New Roman" w:hAnsi="Times New Roman" w:eastAsia="Times New Roman" w:cs="Times New Roman"/>
          <w:i/>
        </w:rPr>
        <w:t xml:space="preserve">Assimilation is a property of the task, not of the firm.</w:t>
      </w:r>
      <w:r>
        <w:rPr>
          <w:rFonts w:ascii="Times New Roman" w:hAnsi="Times New Roman" w:eastAsia="Times New Roman" w:cs="Times New Roman"/>
        </w:rPr>
        <w:t xml:space="preserve"> </w:t>
      </w:r>
      <w:r>
        <w:rPr>
          <w:rFonts w:ascii="Times New Roman" w:hAnsi="Times New Roman" w:eastAsia="Times New Roman" w:cs="Times New Roman"/>
        </w:rPr>
        <w:t xml:space="preserve">Scales such as routinization and infusion (Cooper and Zmud, 1990) describe how deeply a firm has embedded a technology. In our model a firm that has acquired the same generator can have assimilated some visual tasks and not others, because review cost relative to the cost of human production differs across tasks, and a firm-level score hides this variation. The unit of analysis should be the task, with the firm as the setting in which review capacity is supplied. Within-firm comparisons across tasks can then identify the mechanism with firm characteristics held fixed.</w:t>
      </w:r>
    </w:p>
    <w:p>
      <w:pPr>
        <w:pStyle w:val="BodyText"/>
        <w:spacing w:line="480" w:lineRule="auto" w:after="0" w:before="0"/>
        <w:ind w:firstLine="720"/>
        <w:jc w:val="left"/>
      </w:pPr>
      <w:r>
        <w:rPr>
          <w:iCs/>
          <w:rFonts w:ascii="Times New Roman" w:hAnsi="Times New Roman" w:eastAsia="Times New Roman" w:cs="Times New Roman"/>
          <w:i/>
        </w:rPr>
        <w:t xml:space="preserve">A conjecture: cheaper acquisition makes acquisition less informative.</w:t>
      </w:r>
      <w:r>
        <w:rPr>
          <w:rFonts w:ascii="Times New Roman" w:hAnsi="Times New Roman" w:eastAsia="Times New Roman" w:cs="Times New Roman"/>
        </w:rPr>
        <w:t xml:space="preserve"> </w:t>
      </w:r>
      <w:r>
        <w:rPr>
          <w:rFonts w:ascii="Times New Roman" w:hAnsi="Times New Roman" w:eastAsia="Times New Roman" w:cs="Times New Roman"/>
        </w:rPr>
        <w:t xml:space="preserve">When acquisition requires a large commitment, a firm that acquires has typically decided to reorganize work around the technology. As acquisition cost falls toward zero, firms acquire to explore, and acquisition counts carry less information about deployment. The assimilation gap would then widen as acquisition becomes cheaper, which reverses the usual expectation that falling costs speed diffusion into use. Public data give only weak and partly unfavorable evidence. Among European firms that use AI, the share using it for at least two business purposes does not vary with the share running ready-to-use commercial software, a proxy for low-commitment acquisition (Spearman correlation</w:t>
      </w:r>
      <w:r>
        <w:rPr>
          <w:rFonts w:ascii="Times New Roman" w:hAnsi="Times New Roman" w:eastAsia="Times New Roman" w:cs="Times New Roman"/>
        </w:rPr>
        <w:t xml:space="preserve"> </w:t>
      </w:r>
      <m:oMath>
        <m:r>
          <m:rPr>
            <m:sty m:val="p"/>
          </m:rPr>
          <m:t>−</m:t>
        </m:r>
        <m:r>
          <m:t>0.03</m:t>
        </m:r>
      </m:oMath>
      <w:r>
        <w:rPr>
          <w:rFonts w:ascii="Times New Roman" w:hAnsi="Times New Roman" w:eastAsia="Times New Roman" w:cs="Times New Roman"/>
        </w:rPr>
        <w:t xml:space="preserve"> </w:t>
      </w:r>
      <w:r>
        <w:rPr>
          <w:rFonts w:ascii="Times New Roman" w:hAnsi="Times New Roman" w:eastAsia="Times New Roman" w:cs="Times New Roman"/>
        </w:rPr>
        <w:t xml:space="preserve">across 23 countries in 2024,</w:t>
      </w:r>
      <w:r>
        <w:rPr>
          <w:rFonts w:ascii="Times New Roman" w:hAnsi="Times New Roman" w:eastAsia="Times New Roman" w:cs="Times New Roman"/>
        </w:rPr>
        <w:t xml:space="preserve"> </w:t>
      </w:r>
      <m:oMath>
        <m:r>
          <m:t>p</m:t>
        </m:r>
        <m:r>
          <m:rPr>
            <m:sty m:val="p"/>
          </m:rPr>
          <m:t>=</m:t>
        </m:r>
        <m:r>
          <m:t>0.91</m:t>
        </m:r>
      </m:oMath>
      <w:r>
        <w:rPr>
          <w:rFonts w:ascii="Times New Roman" w:hAnsi="Times New Roman" w:eastAsia="Times New Roman" w:cs="Times New Roman"/>
        </w:rPr>
        <w:t xml:space="preserve">), and the share using three or more AI technologies is negatively but imprecisely related to it (</w:t>
      </w:r>
      <m:oMath>
        <m:r>
          <m:rPr>
            <m:sty m:val="p"/>
          </m:rPr>
          <m:t>−</m:t>
        </m:r>
        <m:r>
          <m:t>0.33</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p</m:t>
        </m:r>
        <m:r>
          <m:rPr>
            <m:sty m:val="p"/>
          </m:rPr>
          <m:t>=</m:t>
        </m:r>
        <m:r>
          <m:t>0.13</m:t>
        </m:r>
      </m:oMath>
      <w:r>
        <w:rPr>
          <w:rFonts w:ascii="Times New Roman" w:hAnsi="Times New Roman" w:eastAsia="Times New Roman" w:cs="Times New Roman"/>
        </w:rPr>
        <w:t xml:space="preserve">). Across size classes the relation is positive, because large firms both buy more ready-to-use software and use AI more broadly. In the United States, about 39 percent of employed adults used generative AI for work in the past week in 2026, yet it assisted only about 6 percent of work hours (Bick et al., 2024), a gap between use and intensity that cannot be compared with earlier technologies. We treat the claim as a conjecture that the data neither support nor refute, and we do not rest the contribution on it.</w:t>
      </w:r>
    </w:p>
    <w:p>
      <w:pPr>
        <w:pStyle w:val="BodyText"/>
        <w:spacing w:line="480" w:lineRule="auto" w:after="0" w:before="0"/>
        <w:ind w:firstLine="720"/>
        <w:jc w:val="left"/>
      </w:pPr>
      <w:r>
        <w:rPr>
          <w:iCs/>
          <w:rFonts w:ascii="Times New Roman" w:hAnsi="Times New Roman" w:eastAsia="Times New Roman" w:cs="Times New Roman"/>
          <w:i/>
        </w:rPr>
        <w:t xml:space="preserve">Boundary conditions.</w:t>
      </w:r>
      <w:r>
        <w:rPr>
          <w:rFonts w:ascii="Times New Roman" w:hAnsi="Times New Roman" w:eastAsia="Times New Roman" w:cs="Times New Roman"/>
        </w:rPr>
        <w:t xml:space="preserve"> </w:t>
      </w:r>
      <w:r>
        <w:rPr>
          <w:rFonts w:ascii="Times New Roman" w:hAnsi="Times New Roman" w:eastAsia="Times New Roman" w:cs="Times New Roman"/>
        </w:rPr>
        <w:t xml:space="preserve">The account is not a general claim about generative AI. It predicts a smaller assimilation gap where output can be verified cheaply and mechanically (for example, code checked by tests), where the reviewer is also the buyer, as on freelance platforms, or where no compliance regime binds. It predicts a larger gap for tasks judged by taste or by legal exposure, such as brand imagery and licensed content. The model abstracts from how review routines form; studies of technology appropriation and of the routines that grow around technology (Leonardi, 2011; Orlikowski, 2000) describe that process, and we treat its outcome as the stock of complements</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w:t>
      </w:r>
    </w:p>
    <w:bookmarkEnd w:id="25"/>
    <w:bookmarkStart w:id="26" w:name="competing-accounts-and-hypotheses"/>
    <w:p>
      <w:pPr>
        <w:pStyle w:val="Heading3"/>
      </w:pPr>
      <w:r>
        <w:rPr>
          <w:rFonts w:ascii="Times New Roman" w:hAnsi="Times New Roman" w:eastAsia="Times New Roman" w:cs="Times New Roman"/>
        </w:rPr>
        <w:t xml:space="preserve">3.4 Competing Accounts and Hypotheses</w:t>
      </w:r>
    </w:p>
    <w:p>
      <w:pPr>
        <w:pStyle w:val="FirstParagraph"/>
        <w:spacing w:line="240" w:lineRule="auto" w:after="120" w:before="0"/>
        <w:ind w:firstLine="0"/>
        <w:jc w:val="left"/>
      </w:pPr>
      <w:r>
        <w:rPr>
          <w:rFonts w:ascii="Times New Roman" w:hAnsi="Times New Roman" w:eastAsia="Times New Roman" w:cs="Times New Roman"/>
        </w:rPr>
        <w:t xml:space="preserve">Table 1 sets out four accounts and what each predicts for four observables. Only the first three columns are observed in this paper. The fourth, the firm-level link between use and hiring, is what discriminates among the last three accounts.</w:t>
      </w:r>
    </w:p>
    <w:p>
      <w:pPr>
        <w:pStyle w:val="BodyText"/>
        <w:spacing w:line="240" w:lineRule="auto" w:after="120" w:before="0"/>
        <w:ind w:firstLine="0"/>
        <w:jc w:val="left"/>
      </w:pPr>
      <w:r>
        <w:rPr>
          <w:bCs/>
          <w:rFonts w:ascii="Times New Roman" w:hAnsi="Times New Roman" w:eastAsia="Times New Roman" w:cs="Times New Roman"/>
          <w:b/>
        </w:rPr>
        <w:t xml:space="preserve">Table 1. Competing accounts and their observable implications</w:t>
      </w:r>
    </w:p>
    <w:tbl>
      <w:tblPr>
        <w:tblStyle w:val="Table"/>
        <w:tblW w:type="pct" w:w="5000"/>
        <w:tblLook w:firstRow="1" w:lastRow="0" w:firstColumn="0" w:lastColumn="0" w:noHBand="0" w:noVBand="0" w:val="0020"/>
        <w:jc w:val="start"/>
        <w:tblBorders>
          <w:top w:val="single" w:sz="8" w:color="000000"/>
          <w:bottom w:val="single" w:sz="8" w:color="000000"/>
        </w:tblBorders>
      </w:tblPr>
      <w:tblGrid>
        <w:gridCol w:w="1584"/>
        <w:gridCol w:w="1584"/>
        <w:gridCol w:w="1584"/>
        <w:gridCol w:w="1584"/>
        <w:gridCol w:w="1584"/>
      </w:tblGrid>
      <w:tr>
        <w:trPr>
          <w:tblHeader w:val="true"/>
        </w:trPr>
        <w:tc>
          <w:tcPr>
            <w:tcBorders>
              <w:bottom w:val="single" w:sz="6" w:color="000000"/>
            </w:tcBorders>
          </w:tcPr>
          <w:p>
            <w:pPr>
              <w:pStyle w:val="Compact"/>
              <w:spacing w:line="240" w:lineRule="auto" w:after="40"/>
              <w:ind w:firstLine="0"/>
              <w:jc w:val="left"/>
            </w:pPr>
            <w:r>
              <w:rPr>
                <w:rFonts w:ascii="Times New Roman" w:hAnsi="Times New Roman"/>
                <w:b/>
                <w:sz w:val="19"/>
              </w:rPr>
              <w:t xml:space="preserve">Account</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Acquisition (</w:t>
            </w:r>
            <m:oMath>
              <m:sSup>
                <m:e>
                  <m:r>
                    <m:t>A</m:t>
                  </m:r>
                </m:e>
                <m:sup>
                  <m:r>
                    <m:t>u</m:t>
                  </m:r>
                </m:sup>
              </m:sSup>
            </m:oMath>
            <w:r>
              <w:rPr>
                <w:rFonts w:ascii="Times New Roman" w:hAnsi="Times New Roman"/>
                <w:b/>
                <w:sz w:val="19"/>
              </w:rPr>
              <w:t xml:space="preserve">)</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Barriers cited by non-adopters</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Occupation-level hiring</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Firm-level link (not observed here)</w:t>
            </w:r>
          </w:p>
        </w:tc>
      </w:tr>
      <w:tr>
        <w:tc>
          <w:tcPr/>
          <w:p>
            <w:pPr>
              <w:pStyle w:val="Compact"/>
              <w:spacing w:line="240" w:lineRule="auto" w:after="40"/>
              <w:ind w:firstLine="0"/>
              <w:jc w:val="left"/>
            </w:pPr>
            <w:r>
              <w:rPr>
                <w:rFonts w:ascii="Times New Roman" w:hAnsi="Times New Roman"/>
                <w:sz w:val="19"/>
              </w:rPr>
              <w:t xml:space="preserve">Capability failure</w:t>
            </w:r>
          </w:p>
        </w:tc>
        <w:tc>
          <w:tcPr/>
          <w:p>
            <w:pPr>
              <w:pStyle w:val="Compact"/>
              <w:spacing w:line="240" w:lineRule="auto" w:after="40"/>
              <w:ind w:firstLine="0"/>
              <w:jc w:val="left"/>
            </w:pPr>
            <w:r>
              <w:rPr>
                <w:rFonts w:ascii="Times New Roman" w:hAnsi="Times New Roman"/>
                <w:sz w:val="19"/>
              </w:rPr>
              <w:t xml:space="preserve">Low</w:t>
            </w:r>
          </w:p>
        </w:tc>
        <w:tc>
          <w:tcPr/>
          <w:p>
            <w:pPr>
              <w:pStyle w:val="Compact"/>
              <w:spacing w:line="240" w:lineRule="auto" w:after="40"/>
              <w:ind w:firstLine="0"/>
              <w:jc w:val="left"/>
            </w:pPr>
            <w:r>
              <w:rPr>
                <w:rFonts w:ascii="Times New Roman" w:hAnsi="Times New Roman"/>
                <w:sz w:val="19"/>
              </w:rPr>
              <w:t xml:space="preserve">“</w:t>
            </w:r>
            <w:r>
              <w:rPr>
                <w:rFonts w:ascii="Times New Roman" w:hAnsi="Times New Roman"/>
                <w:sz w:val="19"/>
              </w:rPr>
              <w:t xml:space="preserve">Not useful</w:t>
            </w:r>
            <w:r>
              <w:rPr>
                <w:rFonts w:ascii="Times New Roman" w:hAnsi="Times New Roman"/>
                <w:sz w:val="19"/>
              </w:rPr>
              <w:t xml:space="preserve">”</w:t>
            </w:r>
            <w:r>
              <w:rPr>
                <w:rFonts w:ascii="Times New Roman" w:hAnsi="Times New Roman"/>
                <w:sz w:val="19"/>
              </w:rPr>
              <w:t xml:space="preserve"> </w:t>
            </w:r>
            <w:r>
              <w:rPr>
                <w:rFonts w:ascii="Times New Roman" w:hAnsi="Times New Roman"/>
                <w:sz w:val="19"/>
              </w:rPr>
              <w:t xml:space="preserve">dominant</w:t>
            </w:r>
          </w:p>
        </w:tc>
        <w:tc>
          <w:tcPr/>
          <w:p>
            <w:pPr>
              <w:pStyle w:val="Compact"/>
              <w:spacing w:line="240" w:lineRule="auto" w:after="40"/>
              <w:ind w:firstLine="0"/>
              <w:jc w:val="left"/>
            </w:pPr>
            <w:r>
              <w:rPr>
                <w:rFonts w:ascii="Times New Roman" w:hAnsi="Times New Roman"/>
                <w:sz w:val="19"/>
              </w:rPr>
              <w:t xml:space="preserve">No change</w:t>
            </w:r>
          </w:p>
        </w:tc>
        <w:tc>
          <w:tcPr/>
          <w:p>
            <w:pPr>
              <w:pStyle w:val="Compact"/>
              <w:spacing w:line="240" w:lineRule="auto" w:after="40"/>
              <w:ind w:firstLine="0"/>
              <w:jc w:val="left"/>
            </w:pPr>
            <w:r>
              <w:rPr>
                <w:rFonts w:ascii="Times New Roman" w:hAnsi="Times New Roman"/>
                <w:sz w:val="19"/>
              </w:rPr>
              <w:t xml:space="preserve">Users do not reassign tasks</w:t>
            </w:r>
          </w:p>
        </w:tc>
      </w:tr>
      <w:tr>
        <w:tc>
          <w:tcPr/>
          <w:p>
            <w:pPr>
              <w:pStyle w:val="Compact"/>
              <w:spacing w:line="240" w:lineRule="auto" w:after="40"/>
              <w:ind w:firstLine="0"/>
              <w:jc w:val="left"/>
            </w:pPr>
            <w:r>
              <w:rPr>
                <w:rFonts w:ascii="Times New Roman" w:hAnsi="Times New Roman"/>
                <w:sz w:val="19"/>
              </w:rPr>
              <w:t xml:space="preserve">Complete assimilation, net substitution</w:t>
            </w:r>
          </w:p>
        </w:tc>
        <w:tc>
          <w:tcPr/>
          <w:p>
            <w:pPr>
              <w:pStyle w:val="Compact"/>
              <w:spacing w:line="240" w:lineRule="auto" w:after="40"/>
              <w:ind w:firstLine="0"/>
              <w:jc w:val="left"/>
            </w:pPr>
            <w:r>
              <w:rPr>
                <w:rFonts w:ascii="Times New Roman" w:hAnsi="Times New Roman"/>
                <w:sz w:val="19"/>
              </w:rPr>
              <w:t xml:space="preserve">Substantial</w:t>
            </w:r>
          </w:p>
        </w:tc>
        <w:tc>
          <w:tcPr/>
          <w:p>
            <w:pPr>
              <w:pStyle w:val="Compact"/>
              <w:spacing w:line="240" w:lineRule="auto" w:after="40"/>
              <w:ind w:firstLine="0"/>
              <w:jc w:val="left"/>
            </w:pPr>
            <w:r>
              <w:rPr>
                <w:rFonts w:ascii="Times New Roman" w:hAnsi="Times New Roman"/>
                <w:sz w:val="19"/>
              </w:rPr>
              <w:t xml:space="preserve">Any</w:t>
            </w:r>
          </w:p>
        </w:tc>
        <w:tc>
          <w:tcPr/>
          <w:p>
            <w:pPr>
              <w:pStyle w:val="Compact"/>
              <w:spacing w:line="240" w:lineRule="auto" w:after="40"/>
              <w:ind w:firstLine="0"/>
              <w:jc w:val="left"/>
            </w:pPr>
            <m:oMath>
              <m:r>
                <m:t>Δ</m:t>
              </m:r>
              <m:r>
                <m:rPr>
                  <m:sty m:val="p"/>
                </m:rPr>
                <m:t>ln</m:t>
              </m:r>
              <m:r>
                <m:t>N</m:t>
              </m:r>
              <m:r>
                <m:rPr>
                  <m:sty m:val="p"/>
                </m:rPr>
                <m:t>≈</m:t>
              </m:r>
              <m:r>
                <m:t>s</m:t>
              </m:r>
              <m:r>
                <m:rPr>
                  <m:sty m:val="p"/>
                </m:rPr>
                <m:t>⋅</m:t>
              </m:r>
              <m:sSup>
                <m:e>
                  <m:r>
                    <m:t>A</m:t>
                  </m:r>
                </m:e>
                <m:sup>
                  <m:r>
                    <m:t>u</m:t>
                  </m:r>
                </m:sup>
              </m:sSup>
              <m:r>
                <m:rPr>
                  <m:sty m:val="p"/>
                </m:rPr>
                <m:t>⋅</m:t>
              </m:r>
              <m:r>
                <m:t>β</m:t>
              </m:r>
            </m:oMath>
            <w:r>
              <w:rPr>
                <w:rFonts w:ascii="Times New Roman" w:hAnsi="Times New Roman"/>
                <w:sz w:val="19"/>
              </w:rPr>
              <w:t xml:space="preserve">,</w:t>
            </w:r>
            <w:r>
              <w:rPr>
                <w:rFonts w:ascii="Times New Roman" w:hAnsi="Times New Roman"/>
                <w:sz w:val="19"/>
              </w:rPr>
              <w:t xml:space="preserve"> </w:t>
            </w:r>
            <m:oMath>
              <m:r>
                <m:t>β</m:t>
              </m:r>
              <m:r>
                <m:rPr>
                  <m:sty m:val="p"/>
                </m:rPr>
                <m:t>&lt;</m:t>
              </m:r>
              <m:r>
                <m:t>0</m:t>
              </m:r>
            </m:oMath>
          </w:p>
        </w:tc>
        <w:tc>
          <w:tcPr/>
          <w:p>
            <w:pPr>
              <w:pStyle w:val="Compact"/>
              <w:spacing w:line="240" w:lineRule="auto" w:after="40"/>
              <w:ind w:firstLine="0"/>
              <w:jc w:val="left"/>
            </w:pPr>
            <w:r>
              <w:rPr>
                <w:rFonts w:ascii="Times New Roman" w:hAnsi="Times New Roman"/>
                <w:sz w:val="19"/>
              </w:rPr>
              <w:t xml:space="preserve">Users cut visual hiring relative to non-users</w:t>
            </w:r>
          </w:p>
        </w:tc>
      </w:tr>
      <w:tr>
        <w:tc>
          <w:tcPr/>
          <w:p>
            <w:pPr>
              <w:pStyle w:val="Compact"/>
              <w:spacing w:line="240" w:lineRule="auto" w:after="40"/>
              <w:ind w:firstLine="0"/>
              <w:jc w:val="left"/>
            </w:pPr>
            <w:r>
              <w:rPr>
                <w:rFonts w:ascii="Times New Roman" w:hAnsi="Times New Roman"/>
                <w:sz w:val="19"/>
              </w:rPr>
              <w:t xml:space="preserve">Assimilation, offsetting scale</w:t>
            </w:r>
          </w:p>
        </w:tc>
        <w:tc>
          <w:tcPr/>
          <w:p>
            <w:pPr>
              <w:pStyle w:val="Compact"/>
              <w:spacing w:line="240" w:lineRule="auto" w:after="40"/>
              <w:ind w:firstLine="0"/>
              <w:jc w:val="left"/>
            </w:pPr>
            <w:r>
              <w:rPr>
                <w:rFonts w:ascii="Times New Roman" w:hAnsi="Times New Roman"/>
                <w:sz w:val="19"/>
              </w:rPr>
              <w:t xml:space="preserve">Substantial</w:t>
            </w:r>
          </w:p>
        </w:tc>
        <w:tc>
          <w:tcPr/>
          <w:p>
            <w:pPr>
              <w:pStyle w:val="Compact"/>
              <w:spacing w:line="240" w:lineRule="auto" w:after="40"/>
              <w:ind w:firstLine="0"/>
              <w:jc w:val="left"/>
            </w:pPr>
            <w:r>
              <w:rPr>
                <w:rFonts w:ascii="Times New Roman" w:hAnsi="Times New Roman"/>
                <w:sz w:val="19"/>
              </w:rPr>
              <w:t xml:space="preserve">Any</w:t>
            </w:r>
          </w:p>
        </w:tc>
        <w:tc>
          <w:tcPr/>
          <w:p>
            <w:pPr>
              <w:pStyle w:val="Compact"/>
              <w:spacing w:line="240" w:lineRule="auto" w:after="40"/>
              <w:ind w:firstLine="0"/>
              <w:jc w:val="left"/>
            </w:pPr>
            <m:oMath>
              <m:r>
                <m:t>Δ</m:t>
              </m:r>
              <m:r>
                <m:rPr>
                  <m:sty m:val="p"/>
                </m:rPr>
                <m:t>ln</m:t>
              </m:r>
              <m:r>
                <m:t>N</m:t>
              </m:r>
              <m:r>
                <m:rPr>
                  <m:sty m:val="p"/>
                </m:rPr>
                <m:t>≈</m:t>
              </m:r>
              <m:r>
                <m:t>0</m:t>
              </m:r>
            </m:oMath>
          </w:p>
        </w:tc>
        <w:tc>
          <w:tcPr/>
          <w:p>
            <w:pPr>
              <w:pStyle w:val="Compact"/>
              <w:spacing w:line="240" w:lineRule="auto" w:after="40"/>
              <w:ind w:firstLine="0"/>
              <w:jc w:val="left"/>
            </w:pPr>
            <w:r>
              <w:rPr>
                <w:rFonts w:ascii="Times New Roman" w:hAnsi="Times New Roman"/>
                <w:sz w:val="19"/>
              </w:rPr>
              <w:t xml:space="preserve">Users reassign tasks; hiring unchanged; postings shift toward direction and review</w:t>
            </w:r>
          </w:p>
        </w:tc>
      </w:tr>
      <w:tr>
        <w:tc>
          <w:tcPr/>
          <w:p>
            <w:pPr>
              <w:pStyle w:val="Compact"/>
              <w:spacing w:line="240" w:lineRule="auto" w:after="40"/>
              <w:ind w:firstLine="0"/>
              <w:jc w:val="left"/>
            </w:pPr>
            <w:r>
              <w:rPr>
                <w:rFonts w:ascii="Times New Roman" w:hAnsi="Times New Roman"/>
                <w:sz w:val="19"/>
              </w:rPr>
              <w:t xml:space="preserve">Assimilation gap</w:t>
            </w:r>
          </w:p>
        </w:tc>
        <w:tc>
          <w:tcPr/>
          <w:p>
            <w:pPr>
              <w:pStyle w:val="Compact"/>
              <w:spacing w:line="240" w:lineRule="auto" w:after="40"/>
              <w:ind w:firstLine="0"/>
              <w:jc w:val="left"/>
            </w:pPr>
            <w:r>
              <w:rPr>
                <w:rFonts w:ascii="Times New Roman" w:hAnsi="Times New Roman"/>
                <w:sz w:val="19"/>
              </w:rPr>
              <w:t xml:space="preserve">Substantial</w:t>
            </w:r>
          </w:p>
        </w:tc>
        <w:tc>
          <w:tcPr/>
          <w:p>
            <w:pPr>
              <w:pStyle w:val="Compact"/>
              <w:spacing w:line="240" w:lineRule="auto" w:after="40"/>
              <w:ind w:firstLine="0"/>
              <w:jc w:val="left"/>
            </w:pPr>
            <w:r>
              <w:rPr>
                <w:rFonts w:ascii="Times New Roman" w:hAnsi="Times New Roman"/>
                <w:sz w:val="19"/>
              </w:rPr>
              <w:t xml:space="preserve">Complements dominant</w:t>
            </w:r>
          </w:p>
        </w:tc>
        <w:tc>
          <w:tcPr/>
          <w:p>
            <w:pPr>
              <w:pStyle w:val="Compact"/>
              <w:spacing w:line="240" w:lineRule="auto" w:after="40"/>
              <w:ind w:firstLine="0"/>
              <w:jc w:val="left"/>
            </w:pPr>
            <m:oMath>
              <m:r>
                <m:t>Δ</m:t>
              </m:r>
              <m:r>
                <m:rPr>
                  <m:sty m:val="p"/>
                </m:rPr>
                <m:t>ln</m:t>
              </m:r>
              <m:r>
                <m:t>N</m:t>
              </m:r>
              <m:r>
                <m:rPr>
                  <m:sty m:val="p"/>
                </m:rPr>
                <m:t>≈</m:t>
              </m:r>
              <m:r>
                <m:t>s</m:t>
              </m:r>
              <m:r>
                <m:rPr>
                  <m:sty m:val="p"/>
                </m:rPr>
                <m:t>⋅</m:t>
              </m:r>
              <m:sSup>
                <m:e>
                  <m:r>
                    <m:t>A</m:t>
                  </m:r>
                </m:e>
                <m:sup>
                  <m:r>
                    <m:t>u</m:t>
                  </m:r>
                </m:sup>
              </m:sSup>
              <m:r>
                <m:rPr>
                  <m:sty m:val="p"/>
                </m:rPr>
                <m:t>⋅</m:t>
              </m:r>
              <m:r>
                <m:t>β</m:t>
              </m:r>
            </m:oMath>
            <w:r>
              <w:rPr>
                <w:rFonts w:ascii="Times New Roman" w:hAnsi="Times New Roman"/>
                <w:sz w:val="19"/>
              </w:rPr>
              <w:t xml:space="preserve">, small</w:t>
            </w:r>
          </w:p>
        </w:tc>
        <w:tc>
          <w:tcPr/>
          <w:p>
            <w:pPr>
              <w:pStyle w:val="Compact"/>
              <w:spacing w:line="240" w:lineRule="auto" w:after="40"/>
              <w:ind w:firstLine="0"/>
              <w:jc w:val="left"/>
            </w:pPr>
            <w:r>
              <w:rPr>
                <w:rFonts w:ascii="Times New Roman" w:hAnsi="Times New Roman"/>
                <w:sz w:val="19"/>
              </w:rPr>
              <w:t xml:space="preserve">Few users reassign tasks; reassignment rises with</w:t>
            </w:r>
            <w:r>
              <w:rPr>
                <w:rFonts w:ascii="Times New Roman" w:hAnsi="Times New Roman"/>
                <w:sz w:val="19"/>
              </w:rPr>
              <w:t xml:space="preserve"> </w:t>
            </w:r>
            <m:oMath>
              <m:r>
                <m:t>K</m:t>
              </m:r>
            </m:oMath>
          </w:p>
        </w:tc>
      </w:tr>
    </w:tbl>
    <w:p>
      <w:pPr>
        <w:pStyle w:val="BodyText"/>
        <w:spacing w:line="240" w:lineRule="auto" w:after="120" w:before="0"/>
        <w:ind w:firstLine="0"/>
        <w:jc w:val="left"/>
      </w:pPr>
      <w:r>
        <w:rPr>
          <w:iCs/>
          <w:rFonts w:ascii="Times New Roman" w:hAnsi="Times New Roman" w:eastAsia="Times New Roman" w:cs="Times New Roman"/>
          <w:i/>
        </w:rPr>
        <w:t xml:space="preserve">Notes.</w:t>
      </w:r>
      <w:r>
        <w:rPr>
          <w:rFonts w:ascii="Times New Roman" w:hAnsi="Times New Roman" w:eastAsia="Times New Roman" w:cs="Times New Roman"/>
        </w:rPr>
        <w:t xml:space="preserve"> </w:t>
      </w:r>
      <m:oMath>
        <m:sSup>
          <m:e>
            <m:r>
              <m:t>A</m:t>
            </m:r>
          </m:e>
          <m:sup>
            <m:r>
              <m:t>u</m:t>
            </m:r>
          </m:sup>
        </m:sSup>
      </m:oMath>
      <w:r>
        <w:rPr>
          <w:rFonts w:ascii="Times New Roman" w:hAnsi="Times New Roman" w:eastAsia="Times New Roman" w:cs="Times New Roman"/>
        </w:rPr>
        <w:t xml:space="preserve">: share of firms reporting use.</w:t>
      </w:r>
      <w:r>
        <w:rPr>
          <w:rFonts w:ascii="Times New Roman" w:hAnsi="Times New Roman" w:eastAsia="Times New Roman" w:cs="Times New Roman"/>
        </w:rPr>
        <w:t xml:space="preserve"> </w:t>
      </w:r>
      <m:oMath>
        <m:sSup>
          <m:e>
            <m:r>
              <m:t>A</m:t>
            </m:r>
          </m:e>
          <m:sup>
            <m:r>
              <m:t>a</m:t>
            </m:r>
          </m:sup>
        </m:sSup>
      </m:oMath>
      <w:r>
        <w:rPr>
          <w:rFonts w:ascii="Times New Roman" w:hAnsi="Times New Roman" w:eastAsia="Times New Roman" w:cs="Times New Roman"/>
        </w:rPr>
        <w:t xml:space="preserve">: share that have assimilated the occupation’s visual tasks.</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complementary assets.</w:t>
      </w:r>
    </w:p>
    <w:p>
      <w:pPr>
        <w:pStyle w:val="BodyText"/>
        <w:spacing w:line="480" w:lineRule="auto" w:after="0" w:before="0"/>
        <w:ind w:firstLine="720"/>
        <w:jc w:val="left"/>
      </w:pPr>
      <w:r>
        <w:rPr>
          <w:rFonts w:ascii="Times New Roman" w:hAnsi="Times New Roman" w:eastAsia="Times New Roman" w:cs="Times New Roman"/>
        </w:rPr>
        <w:t xml:space="preserve">We derive two hypotheses that can be examined with current data and one that cannot.</w:t>
      </w:r>
      <w:r>
        <w:rPr>
          <w:rFonts w:ascii="Times New Roman" w:hAnsi="Times New Roman" w:eastAsia="Times New Roman" w:cs="Times New Roman"/>
        </w:rPr>
        <w:t xml:space="preserve"> </w:t>
      </w:r>
      <w:r>
        <w:rPr>
          <w:bCs/>
          <w:rFonts w:ascii="Times New Roman" w:hAnsi="Times New Roman" w:eastAsia="Times New Roman" w:cs="Times New Roman"/>
          <w:b/>
        </w:rPr>
        <w:t xml:space="preserve">H1 (complements, not capability):</w:t>
      </w:r>
      <w:r>
        <w:rPr>
          <w:rFonts w:ascii="Times New Roman" w:hAnsi="Times New Roman" w:eastAsia="Times New Roman" w:cs="Times New Roman"/>
        </w:rPr>
        <w:t xml:space="preserve"> </w:t>
      </w:r>
      <w:r>
        <w:rPr>
          <w:rFonts w:ascii="Times New Roman" w:hAnsi="Times New Roman" w:eastAsia="Times New Roman" w:cs="Times New Roman"/>
        </w:rPr>
        <w:t xml:space="preserve">among firms that considered AI and did not adopt it, complementary-asset barriers are cited substantially more often than lack of usefulness.</w:t>
      </w:r>
      <w:r>
        <w:rPr>
          <w:rFonts w:ascii="Times New Roman" w:hAnsi="Times New Roman" w:eastAsia="Times New Roman" w:cs="Times New Roman"/>
        </w:rPr>
        <w:t xml:space="preserve"> </w:t>
      </w:r>
      <w:r>
        <w:rPr>
          <w:bCs/>
          <w:rFonts w:ascii="Times New Roman" w:hAnsi="Times New Roman" w:eastAsia="Times New Roman" w:cs="Times New Roman"/>
          <w:b/>
        </w:rPr>
        <w:t xml:space="preserve">H2 (detectability):</w:t>
      </w:r>
      <w:r>
        <w:rPr>
          <w:rFonts w:ascii="Times New Roman" w:hAnsi="Times New Roman" w:eastAsia="Times New Roman" w:cs="Times New Roman"/>
        </w:rPr>
        <w:t xml:space="preserve"> </w:t>
      </w:r>
      <w:r>
        <w:rPr>
          <w:rFonts w:ascii="Times New Roman" w:hAnsi="Times New Roman" w:eastAsia="Times New Roman" w:cs="Times New Roman"/>
        </w:rPr>
        <w:t xml:space="preserve">at current acquisition rates and at platform-sized substitution effects, the occupation-level hiring response implied by complete assimilation lies below the minimum detectable effect of exposure-based designs.</w:t>
      </w:r>
      <w:r>
        <w:rPr>
          <w:rFonts w:ascii="Times New Roman" w:hAnsi="Times New Roman" w:eastAsia="Times New Roman" w:cs="Times New Roman"/>
        </w:rPr>
        <w:t xml:space="preserve"> </w:t>
      </w:r>
      <w:r>
        <w:rPr>
          <w:bCs/>
          <w:rFonts w:ascii="Times New Roman" w:hAnsi="Times New Roman" w:eastAsia="Times New Roman" w:cs="Times New Roman"/>
          <w:b/>
        </w:rPr>
        <w:t xml:space="preserve">H3 (a design proposal for future data, not tested here):</w:t>
      </w:r>
      <w:r>
        <w:rPr>
          <w:rFonts w:ascii="Times New Roman" w:hAnsi="Times New Roman" w:eastAsia="Times New Roman" w:cs="Times New Roman"/>
        </w:rPr>
        <w:t xml:space="preserve"> </w:t>
      </w:r>
      <w:r>
        <w:rPr>
          <w:rFonts w:ascii="Times New Roman" w:hAnsi="Times New Roman" w:eastAsia="Times New Roman" w:cs="Times New Roman"/>
        </w:rPr>
        <w:t xml:space="preserve">among acquiring firms, task reassignment increases with</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and hiring for visual occupations falls only among firms that have reassigned tasks.</w:t>
      </w:r>
    </w:p>
    <w:bookmarkEnd w:id="26"/>
    <w:bookmarkEnd w:id="27"/>
    <w:bookmarkStart w:id="28" w:name="what-occupation-level-data-can-identify"/>
    <w:p>
      <w:pPr>
        <w:pStyle w:val="Heading2"/>
      </w:pPr>
      <w:r>
        <w:rPr>
          <w:rFonts w:ascii="Times New Roman" w:hAnsi="Times New Roman" w:eastAsia="Times New Roman" w:cs="Times New Roman"/>
        </w:rPr>
        <w:t xml:space="preserve">4 What Occupation-Level Data Can Identify</w:t>
      </w:r>
    </w:p>
    <w:p>
      <w:pPr>
        <w:pStyle w:val="FirstParagraph"/>
        <w:spacing w:line="480" w:lineRule="auto" w:after="0" w:before="0"/>
        <w:ind w:firstLine="720"/>
        <w:jc w:val="left"/>
      </w:pPr>
      <w:r>
        <w:rPr>
          <w:rFonts w:ascii="Times New Roman" w:hAnsi="Times New Roman" w:eastAsia="Times New Roman" w:cs="Times New Roman"/>
        </w:rPr>
        <w:t xml:space="preserve">Exposure-based hiring designs regress the change in log adverts for occupation</w:t>
      </w:r>
      <w:r>
        <w:rPr>
          <w:rFonts w:ascii="Times New Roman" w:hAnsi="Times New Roman" w:eastAsia="Times New Roman" w:cs="Times New Roman"/>
        </w:rPr>
        <w:t xml:space="preserve"> </w:t>
      </w:r>
      <m:oMath>
        <m:r>
          <m:t>j</m:t>
        </m:r>
      </m:oMath>
      <w:r>
        <w:rPr>
          <w:rFonts w:ascii="Times New Roman" w:hAnsi="Times New Roman" w:eastAsia="Times New Roman" w:cs="Times New Roman"/>
        </w:rPr>
        <w:t xml:space="preserve"> </w:t>
      </w:r>
      <w:r>
        <w:rPr>
          <w:rFonts w:ascii="Times New Roman" w:hAnsi="Times New Roman" w:eastAsia="Times New Roman" w:cs="Times New Roman"/>
        </w:rPr>
        <w:t xml:space="preserve">on standardized exposure. Suppose the most exposed occupation lies</w:t>
      </w:r>
      <w:r>
        <w:rPr>
          <w:rFonts w:ascii="Times New Roman" w:hAnsi="Times New Roman" w:eastAsia="Times New Roman" w:cs="Times New Roman"/>
        </w:rPr>
        <w:t xml:space="preserve"> </w:t>
      </w:r>
      <m:oMath>
        <m:r>
          <m:t>k</m:t>
        </m:r>
      </m:oMath>
      <w:r>
        <w:rPr>
          <w:rFonts w:ascii="Times New Roman" w:hAnsi="Times New Roman" w:eastAsia="Times New Roman" w:cs="Times New Roman"/>
        </w:rPr>
        <w:t xml:space="preserve"> </w:t>
      </w:r>
      <w:r>
        <w:rPr>
          <w:rFonts w:ascii="Times New Roman" w:hAnsi="Times New Roman" w:eastAsia="Times New Roman" w:cs="Times New Roman"/>
        </w:rPr>
        <w:t xml:space="preserve">standard deviations above the mean and that its work is almost entirely visual production (</w:t>
      </w:r>
      <m:oMath>
        <m:sSub>
          <m:e>
            <m:r>
              <m:t>s</m:t>
            </m:r>
          </m:e>
          <m:sub>
            <m:r>
              <m:t>j</m:t>
            </m:r>
          </m:sub>
        </m:sSub>
        <m:r>
          <m:rPr>
            <m:sty m:val="p"/>
          </m:rPr>
          <m:t>≈</m:t>
        </m:r>
        <m:r>
          <m:t>1</m:t>
        </m:r>
      </m:oMath>
      <w:r>
        <w:rPr>
          <w:rFonts w:ascii="Times New Roman" w:hAnsi="Times New Roman" w:eastAsia="Times New Roman" w:cs="Times New Roman"/>
        </w:rPr>
        <w:t xml:space="preserve">). If exposure is approximately proportional to</w:t>
      </w:r>
      <w:r>
        <w:rPr>
          <w:rFonts w:ascii="Times New Roman" w:hAnsi="Times New Roman" w:eastAsia="Times New Roman" w:cs="Times New Roman"/>
        </w:rPr>
        <w:t xml:space="preserve"> </w:t>
      </w:r>
      <m:oMath>
        <m:sSub>
          <m:e>
            <m:r>
              <m:t>s</m:t>
            </m:r>
          </m:e>
          <m:sub>
            <m:r>
              <m:t>j</m:t>
            </m:r>
          </m:sub>
        </m:sSub>
      </m:oMath>
      <w:r>
        <w:rPr>
          <w:rFonts w:ascii="Times New Roman" w:hAnsi="Times New Roman" w:eastAsia="Times New Roman" w:cs="Times New Roman"/>
        </w:rPr>
        <w:t xml:space="preserve">, complete assimilation implies a coefficient per standard deviation of approximately</w:t>
      </w:r>
    </w:p>
    <w:p>
      <w:pPr>
        <w:pStyle w:val="BodyText"/>
        <w:spacing w:line="480" w:lineRule="auto" w:after="0" w:before="0"/>
        <w:ind w:firstLine="720"/>
        <w:jc w:val="left"/>
      </w:pPr>
      <m:oMathPara>
        <m:oMathParaPr>
          <m:jc m:val="center"/>
        </m:oMathParaPr>
        <m:oMath>
          <m:sSup>
            <m:e>
              <m:r>
                <m:t>γ</m:t>
              </m:r>
            </m:e>
            <m:sup>
              <m:r>
                <m:rPr>
                  <m:sty m:val="p"/>
                </m:rPr>
                <m:t>*</m:t>
              </m:r>
            </m:sup>
          </m:sSup>
          <m:r>
            <m:rPr>
              <m:sty m:val="p"/>
            </m:rPr>
            <m:t>≈</m:t>
          </m:r>
          <m:sSup>
            <m:e>
              <m:r>
                <m:t>A</m:t>
              </m:r>
            </m:e>
            <m:sup>
              <m:r>
                <m:t>u</m:t>
              </m:r>
            </m:sup>
          </m:sSup>
          <m:r>
            <m:rPr>
              <m:sty m:val="p"/>
            </m:rPr>
            <m:t>⋅</m:t>
          </m:r>
          <m:r>
            <m:t>β</m:t>
          </m:r>
          <m:r>
            <m:rPr>
              <m:sty m:val="p"/>
            </m:rPr>
            <m:t>/</m:t>
          </m:r>
          <m:r>
            <m:t>k</m:t>
          </m:r>
          <m:r>
            <m:rPr>
              <m:sty m:val="p"/>
            </m:rPr>
            <m:t>.</m:t>
          </m:r>
          <m:r>
            <m:t>  </m:t>
          </m:r>
          <m:d>
            <m:dPr>
              <m:begChr m:val="("/>
              <m:endChr m:val=")"/>
              <m:sepChr m:val=""/>
              <m:grow/>
            </m:dPr>
            <m:e>
              <m:r>
                <m:t>4</m:t>
              </m:r>
            </m:e>
          </m:d>
        </m:oMath>
      </m:oMathPara>
    </w:p>
    <w:p>
      <w:pPr>
        <w:pStyle w:val="FirstParagraph"/>
        <w:spacing w:line="480" w:lineRule="auto" w:after="0" w:before="0"/>
        <w:ind w:firstLine="720"/>
        <w:jc w:val="left"/>
      </w:pPr>
      <w:r>
        <w:rPr>
          <w:rFonts w:ascii="Times New Roman" w:hAnsi="Times New Roman" w:eastAsia="Times New Roman" w:cs="Times New Roman"/>
        </w:rPr>
        <w:t xml:space="preserve">The design can detect</w:t>
      </w:r>
      <w:r>
        <w:rPr>
          <w:rFonts w:ascii="Times New Roman" w:hAnsi="Times New Roman" w:eastAsia="Times New Roman" w:cs="Times New Roman"/>
        </w:rPr>
        <w:t xml:space="preserve"> </w:t>
      </w:r>
      <m:oMath>
        <m:sSup>
          <m:e>
            <m:r>
              <m:t>γ</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only if its magnitude exceeds the minimum detectable effect (MDE), which for a two-sided 5 percent test at 80 percent power is approximately 2.8 times the standard error of the coefficient. This gives a classification rule, stated before we apply it, so that neither a small nor a large observed coefficient is read as support for the gap. (i) If</w:t>
      </w:r>
      <w:r>
        <w:rPr>
          <w:rFonts w:ascii="Times New Roman" w:hAnsi="Times New Roman" w:eastAsia="Times New Roman" w:cs="Times New Roman"/>
        </w:rPr>
        <w:t xml:space="preserve"> </w:t>
      </w:r>
      <m:oMath>
        <m:d>
          <m:dPr>
            <m:begChr m:val="|"/>
            <m:endChr m:val="|"/>
            <m:sepChr m:val=""/>
            <m:grow/>
          </m:dPr>
          <m:e>
            <m:sSup>
              <m:e>
                <m:r>
                  <m:t>γ</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is below the MDE, the design is uninformative about assimilation whatever the estimate: a null does not support the gap, and a negative result is not evidence of substitution. (ii) If</w:t>
      </w:r>
      <w:r>
        <w:rPr>
          <w:rFonts w:ascii="Times New Roman" w:hAnsi="Times New Roman" w:eastAsia="Times New Roman" w:cs="Times New Roman"/>
        </w:rPr>
        <w:t xml:space="preserve"> </w:t>
      </w:r>
      <m:oMath>
        <m:d>
          <m:dPr>
            <m:begChr m:val="|"/>
            <m:endChr m:val="|"/>
            <m:sepChr m:val=""/>
            <m:grow/>
          </m:dPr>
          <m:e>
            <m:sSup>
              <m:e>
                <m:r>
                  <m:t>γ</m:t>
                </m:r>
              </m:e>
              <m:sup>
                <m:r>
                  <m:rPr>
                    <m:sty m:val="p"/>
                  </m:rPr>
                  <m:t>*</m:t>
                </m:r>
              </m:sup>
            </m:s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exceeds the MDE and the estimate is significantly smaller in magnitude than</w:t>
      </w:r>
      <w:r>
        <w:rPr>
          <w:rFonts w:ascii="Times New Roman" w:hAnsi="Times New Roman" w:eastAsia="Times New Roman" w:cs="Times New Roman"/>
        </w:rPr>
        <w:t xml:space="preserve"> </w:t>
      </w:r>
      <m:oMath>
        <m:sSup>
          <m:e>
            <m:r>
              <m:t>γ</m:t>
            </m:r>
          </m:e>
          <m:sup>
            <m:r>
              <m:rPr>
                <m:sty m:val="p"/>
              </m:rPr>
              <m:t>*</m:t>
            </m:r>
          </m:sup>
        </m:sSup>
      </m:oMath>
      <w:r>
        <w:rPr>
          <w:rFonts w:ascii="Times New Roman" w:hAnsi="Times New Roman" w:eastAsia="Times New Roman" w:cs="Times New Roman"/>
        </w:rPr>
        <w:t xml:space="preserve">, the data reject complete assimilation with net substitution but do not distinguish the gap from offsetting scale effects. (iii) If the estimate is significantly larger in magnitude than the largest plausible</w:t>
      </w:r>
      <w:r>
        <w:rPr>
          <w:rFonts w:ascii="Times New Roman" w:hAnsi="Times New Roman" w:eastAsia="Times New Roman" w:cs="Times New Roman"/>
        </w:rPr>
        <w:t xml:space="preserve"> </w:t>
      </w:r>
      <m:oMath>
        <m:sSup>
          <m:e>
            <m:r>
              <m:t>γ</m:t>
            </m:r>
          </m:e>
          <m:sup>
            <m:r>
              <m:rPr>
                <m:sty m:val="p"/>
              </m:rPr>
              <m:t>*</m:t>
            </m:r>
            <m:r>
              <m:rPr>
                <m:sty m:val="p"/>
              </m:rPr>
              <m:t>*</m:t>
            </m:r>
          </m:sup>
        </m:sSup>
      </m:oMath>
      <w:r>
        <w:rPr>
          <w:rFonts w:ascii="Times New Roman" w:hAnsi="Times New Roman" w:eastAsia="Times New Roman" w:cs="Times New Roman"/>
        </w:rPr>
        <w:t xml:space="preserve">, which we take to be the coefficient implied by</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at the acquisition rate of the highest-acquisition sector, or if the gradient is already present before the technology was available, the decline is attributed to other causes.</w:t>
      </w:r>
    </w:p>
    <w:p>
      <w:pPr>
        <w:pStyle w:val="BodyText"/>
        <w:spacing w:line="480" w:lineRule="auto" w:after="0" w:before="0"/>
        <w:ind w:firstLine="720"/>
        <w:jc w:val="left"/>
      </w:pPr>
      <w:r>
        <w:rPr>
          <w:rFonts w:ascii="Times New Roman" w:hAnsi="Times New Roman" w:eastAsia="Times New Roman" w:cs="Times New Roman"/>
        </w:rPr>
        <w:t xml:space="preserve">The reference value of</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ascii="Times New Roman" w:hAnsi="Times New Roman" w:eastAsia="Times New Roman" w:cs="Times New Roman"/>
        </w:rPr>
        <w:t xml:space="preserve">comes from the platform literature. A 17 percent fall in image-creation posts (Demirci et al., 2025) corresponds to</w:t>
      </w:r>
      <w:r>
        <w:rPr>
          <w:rFonts w:ascii="Times New Roman" w:hAnsi="Times New Roman" w:eastAsia="Times New Roman" w:cs="Times New Roman"/>
        </w:rPr>
        <w:t xml:space="preserve"> </w:t>
      </w:r>
      <m:oMath>
        <m:r>
          <m:t>β</m:t>
        </m:r>
        <m:r>
          <m:rPr>
            <m:sty m:val="p"/>
          </m:rPr>
          <m:t>≈</m:t>
        </m:r>
        <m:r>
          <m:rPr>
            <m:sty m:val="p"/>
          </m:rPr>
          <m:t>−</m:t>
        </m:r>
        <m:r>
          <m:t>0.19</m:t>
        </m:r>
      </m:oMath>
      <w:r>
        <w:rPr>
          <w:rFonts w:ascii="Times New Roman" w:hAnsi="Times New Roman" w:eastAsia="Times New Roman" w:cs="Times New Roman"/>
        </w:rPr>
        <w:t xml:space="preserve">. Hui et al. (2024) find smaller effects, 2 percent fewer jobs and 5.2 percent lower earnings, so</w:t>
      </w:r>
      <w:r>
        <w:rPr>
          <w:rFonts w:ascii="Times New Roman" w:hAnsi="Times New Roman" w:eastAsia="Times New Roman" w:cs="Times New Roman"/>
        </w:rPr>
        <w:t xml:space="preserve"> </w:t>
      </w:r>
      <m:oMath>
        <m:r>
          <m:t>β</m:t>
        </m:r>
        <m:r>
          <m:rPr>
            <m:sty m:val="p"/>
          </m:rPr>
          <m:t>=</m:t>
        </m:r>
        <m:r>
          <m:rPr>
            <m:sty m:val="p"/>
          </m:rPr>
          <m:t>−</m:t>
        </m:r>
        <m:r>
          <m:t>0.19</m:t>
        </m:r>
      </m:oMath>
      <w:r>
        <w:rPr>
          <w:rFonts w:ascii="Times New Roman" w:hAnsi="Times New Roman" w:eastAsia="Times New Roman" w:cs="Times New Roman"/>
        </w:rPr>
        <w:t xml:space="preserve"> </w:t>
      </w:r>
      <w:r>
        <w:rPr>
          <w:rFonts w:ascii="Times New Roman" w:hAnsi="Times New Roman" w:eastAsia="Times New Roman" w:cs="Times New Roman"/>
        </w:rPr>
        <w:t xml:space="preserve">favors detection. Because standing occupations may adjust differently, we also consider</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(a 39 percent fall among assimilating employers) as an aggressive case. The supplement gives the derivation, including the effect of measurement error in exposure.</w:t>
      </w:r>
    </w:p>
    <w:bookmarkEnd w:id="28"/>
    <w:bookmarkStart w:id="29" w:name="data-and-measurement"/>
    <w:p>
      <w:pPr>
        <w:pStyle w:val="Heading2"/>
      </w:pPr>
      <w:r>
        <w:rPr>
          <w:rFonts w:ascii="Times New Roman" w:hAnsi="Times New Roman" w:eastAsia="Times New Roman" w:cs="Times New Roman"/>
        </w:rPr>
        <w:t xml:space="preserve">5 Data and Measurement</w:t>
      </w:r>
    </w:p>
    <w:p>
      <w:pPr>
        <w:pStyle w:val="FirstParagraph"/>
        <w:spacing w:line="480" w:lineRule="auto" w:after="0" w:before="0"/>
        <w:ind w:firstLine="720"/>
        <w:jc w:val="left"/>
      </w:pPr>
      <w:r>
        <w:rPr>
          <w:bCs/>
          <w:rFonts w:ascii="Times New Roman" w:hAnsi="Times New Roman" w:eastAsia="Times New Roman" w:cs="Times New Roman"/>
          <w:b/>
        </w:rPr>
        <w:t xml:space="preserve">Acquisition and barriers.</w:t>
      </w:r>
      <w:r>
        <w:rPr>
          <w:rFonts w:ascii="Times New Roman" w:hAnsi="Times New Roman" w:eastAsia="Times New Roman" w:cs="Times New Roman"/>
        </w:rPr>
        <w:t xml:space="preserve"> </w:t>
      </w:r>
      <w:r>
        <w:rPr>
          <w:rFonts w:ascii="Times New Roman" w:hAnsi="Times New Roman" w:eastAsia="Times New Roman" w:cs="Times New Roman"/>
        </w:rPr>
        <w:t xml:space="preserve">We use Eurostat’s survey on ICT usage in enterprises (Eurostat, 2026), which covers firms with ten or more employees in the EU27. The 2025 wave asks whether enterprises use AI that generates pictures, video, or sound, the closest public measure of acquisition of generative visual AI. Text generation, asked in 2021, 2023, 2024, and 2025, provides the time path of a neighboring use. Enterprises that considered AI but did not adopt it are asked why, with items for lack of expertise, unclear legal consequences, data protection and privacy, costs, data availability, incompatibility with existing systems, ethical considerations, and the view that AI is not useful. These items correspond to the complementary assets, with two limits that bound every inference below: they refer to AI in general rather than to visual generators, and they are asked only of firms that considered AI.</w:t>
      </w:r>
    </w:p>
    <w:p>
      <w:pPr>
        <w:pStyle w:val="BodyText"/>
        <w:spacing w:line="480" w:lineRule="auto" w:after="0" w:before="0"/>
        <w:ind w:firstLine="720"/>
        <w:jc w:val="left"/>
      </w:pPr>
      <w:r>
        <w:rPr>
          <w:bCs/>
          <w:rFonts w:ascii="Times New Roman" w:hAnsi="Times New Roman" w:eastAsia="Times New Roman" w:cs="Times New Roman"/>
          <w:b/>
        </w:rPr>
        <w:t xml:space="preserve">Hiring series.</w:t>
      </w:r>
      <w:r>
        <w:rPr>
          <w:rFonts w:ascii="Times New Roman" w:hAnsi="Times New Roman" w:eastAsia="Times New Roman" w:cs="Times New Roman"/>
        </w:rPr>
        <w:t xml:space="preserve"> </w:t>
      </w:r>
      <w:r>
        <w:rPr>
          <w:rFonts w:ascii="Times New Roman" w:hAnsi="Times New Roman" w:eastAsia="Times New Roman" w:cs="Times New Roman"/>
        </w:rPr>
        <w:t xml:space="preserve">The European series is Eurostat’s experimental online job advertisements by ISCO-08 three-digit occupation, 2019 to 2024, with 2022 as the base year (604 country-occupation cells, 96 occupations, 16 countries, after a floor of 1,000 base-year adverts). Its population matches the acquisition data, but it offers only two post-2022 years. The Canadian series is the Job Vacancy and Wage Survey by NOC 2021 unit group, 2015 to 2026 (Statistics Canada, 2026), restricted to 312 unit groups with all four quarters observed in 2022 and at least 1,000 vacancies in that year. European Labour Force Survey employment by industry and US sector postings from Indeed Hiring Lab (2026) are used descriptively.</w:t>
      </w:r>
    </w:p>
    <w:p>
      <w:pPr>
        <w:pStyle w:val="BodyText"/>
        <w:spacing w:line="480" w:lineRule="auto" w:after="0" w:before="0"/>
        <w:ind w:firstLine="720"/>
        <w:jc w:val="left"/>
      </w:pPr>
      <w:r>
        <w:rPr>
          <w:bCs/>
          <w:rFonts w:ascii="Times New Roman" w:hAnsi="Times New Roman" w:eastAsia="Times New Roman" w:cs="Times New Roman"/>
          <w:b/>
        </w:rPr>
        <w:t xml:space="preserve">Exposure.</w:t>
      </w:r>
      <w:r>
        <w:rPr>
          <w:rFonts w:ascii="Times New Roman" w:hAnsi="Times New Roman" w:eastAsia="Times New Roman" w:cs="Times New Roman"/>
        </w:rPr>
        <w:t xml:space="preserve"> </w:t>
      </w:r>
      <w:r>
        <w:rPr>
          <w:rFonts w:ascii="Times New Roman" w:hAnsi="Times New Roman" w:eastAsia="Times New Roman" w:cs="Times New Roman"/>
        </w:rPr>
        <w:t xml:space="preserve">Occupational exposure to visual content creation is the mean, over O*NET task statements (National Center for O*NET Development, 2026), of a language-model score on a 0 to 2 rubric divided by two. We scored the 17,358 distinct task statements of the 914 O*NET-SOC occupations linked through the ESCO crosswalk to the 96 European occupations, using Claude Haiku 5.5 at temperature zero and a narrow rubric that credits only the production or editing of visual content (supplement). For Canada we scored the 3,559 distinct main-duty statements of the NOC 2021 unit groups in our sample. A control for language-model exposure is built in the same way from a rubric that credits tasks in which producing text is central. Both measures are standardized. The two occupations with the highest visual exposure are architects, planners, surveyors, and designers (ISCO 216, 5.3 standard deviations above the mean) and creative and performing artists (ISCO 265, 4.4).</w:t>
      </w:r>
    </w:p>
    <w:p>
      <w:pPr>
        <w:pStyle w:val="BodyText"/>
        <w:spacing w:line="480" w:lineRule="auto" w:after="0" w:before="0"/>
        <w:ind w:firstLine="720"/>
        <w:jc w:val="left"/>
      </w:pPr>
      <w:r>
        <w:rPr>
          <w:bCs/>
          <w:rFonts w:ascii="Times New Roman" w:hAnsi="Times New Roman" w:eastAsia="Times New Roman" w:cs="Times New Roman"/>
          <w:b/>
        </w:rPr>
        <w:t xml:space="preserve">Validation.</w:t>
      </w:r>
      <w:r>
        <w:rPr>
          <w:rFonts w:ascii="Times New Roman" w:hAnsi="Times New Roman" w:eastAsia="Times New Roman" w:cs="Times New Roman"/>
        </w:rPr>
        <w:t xml:space="preserve"> </w:t>
      </w:r>
      <w:r>
        <w:rPr>
          <w:rFonts w:ascii="Times New Roman" w:hAnsi="Times New Roman" w:eastAsia="Times New Roman" w:cs="Times New Roman"/>
        </w:rPr>
        <w:t xml:space="preserve">The construct is hard to code, so we validate the scores against human coders. Two coders scored 199 task statements on the visual rubric (0, 1, or 2) independently and without seeing the model scores; one is the author and the other an undergraduate physics student who received only the written rubric. The sample was stratified by an earlier model pass and a keyword rule, so we weight by inverse sampling probability to estimate agreement in the full set of statements. The coders agree on 77 percent of statements (59 percent unweighted), with a weighted</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ascii="Times New Roman" w:hAnsi="Times New Roman" w:eastAsia="Times New Roman" w:cs="Times New Roman"/>
        </w:rPr>
        <w:t xml:space="preserve">of 0.42 (linear-weighted 0.49, binary 0.55). Against the author’s codes, the primary model agrees on 75 percent of statements, with a weighted</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ascii="Times New Roman" w:hAnsi="Times New Roman" w:eastAsia="Times New Roman" w:cs="Times New Roman"/>
        </w:rPr>
        <w:t xml:space="preserve">of 0.18 (linear-weighted 0.23); against the student coder the weighted</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ascii="Times New Roman" w:hAnsi="Times New Roman" w:eastAsia="Times New Roman" w:cs="Times New Roman"/>
        </w:rPr>
        <w:t xml:space="preserve">is 0.11 (0.16). A second model (GPT-5.6 Luna) gives 0.20 and 0.16. The model almost never assigns a nonzero score that the author rejects (specificity 0.99, positive predictive value 0.82), though it is less conservative against the student coder (0.96, 0.54), and it misses most of the visual content the coders identify (sensitivity 0.13 to 0.22). Model–human agreement is therefore well below human–human agreement, so the scores are a conservative, high-precision indicator of visual content rather than a complete one.</w:t>
      </w:r>
    </w:p>
    <w:p>
      <w:pPr>
        <w:pStyle w:val="BodyText"/>
        <w:spacing w:line="480" w:lineRule="auto" w:after="0" w:before="0"/>
        <w:ind w:firstLine="720"/>
        <w:jc w:val="left"/>
      </w:pPr>
      <w:r>
        <w:rPr>
          <w:rFonts w:ascii="Times New Roman" w:hAnsi="Times New Roman" w:eastAsia="Times New Roman" w:cs="Times New Roman"/>
        </w:rPr>
        <w:t xml:space="preserve">Two further checks address noise. The two models agree on 96.8 percent of task statements on the visual rubric (Cohen’s</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ascii="Times New Roman" w:hAnsi="Times New Roman" w:eastAsia="Times New Roman" w:cs="Times New Roman"/>
        </w:rPr>
        <w:t xml:space="preserve">= 0.66; Gwet’s AC1 = 0.97), occupation-level exposure from the two models correlates 0.99, and the gradients in Table 4 change little with the second model’s scores. Agreement between models shows that the scores are stable, not that they are valid. And classical measurement error attenuates the coefficient per standard deviation by the square root of the reliability, so complete assimilation would produce a smaller coefficient than equation (4) gives while the minimum detectable effect is unchanged; noise in exposure strengthens the detectability result. What noise weakens is the substantive reading of any observed gradient, which is why we classify gradients with the bound before interpreting them. We do not correct for attenuation.</w:t>
      </w:r>
    </w:p>
    <w:bookmarkEnd w:id="29"/>
    <w:bookmarkStart w:id="32" w:name="the-acquisition-margin"/>
    <w:p>
      <w:pPr>
        <w:pStyle w:val="Heading2"/>
      </w:pPr>
      <w:r>
        <w:rPr>
          <w:rFonts w:ascii="Times New Roman" w:hAnsi="Times New Roman" w:eastAsia="Times New Roman" w:cs="Times New Roman"/>
        </w:rPr>
        <w:t xml:space="preserve">6 The Acquisition Margin</w:t>
      </w:r>
    </w:p>
    <w:bookmarkStart w:id="30" w:name="acquisition-is-substantial-and-rising"/>
    <w:p>
      <w:pPr>
        <w:pStyle w:val="Heading3"/>
      </w:pPr>
      <w:r>
        <w:rPr>
          <w:rFonts w:ascii="Times New Roman" w:hAnsi="Times New Roman" w:eastAsia="Times New Roman" w:cs="Times New Roman"/>
        </w:rPr>
        <w:t xml:space="preserve">6.1 Acquisition Is Substantial and Rising</w:t>
      </w:r>
    </w:p>
    <w:p>
      <w:pPr>
        <w:pStyle w:val="FirstParagraph"/>
        <w:spacing w:line="480" w:lineRule="auto" w:after="0" w:before="0"/>
        <w:ind w:firstLine="720"/>
        <w:jc w:val="left"/>
      </w:pPr>
      <w:r>
        <w:rPr>
          <w:rFonts w:ascii="Times New Roman" w:hAnsi="Times New Roman" w:eastAsia="Times New Roman" w:cs="Times New Roman"/>
        </w:rPr>
        <w:t xml:space="preserve">In 2025, 9.6 percent of EU27 enterprises with ten or more employees used AI that generates pictures, video, or audio, close to the 8.8 percent that used text generation (Table 2). The share rises to 27.9 percent among firms with 250 or more employees and to 36.2 percent in publishing, film, television, and music. Text-generation use rose from 1.3 percent in 2021 to 2.1 percent in 2023, 5.4 percent in 2024, and 8.8 percent in 2025, while use of at least one AI technology rose from 7.7 to 20.0 percent. Acquisition of generative tools is therefore early but accelerating, and it is concentrated where visual production is most common.</w:t>
      </w:r>
    </w:p>
    <w:p>
      <w:pPr>
        <w:pStyle w:val="BodyText"/>
        <w:spacing w:line="240" w:lineRule="auto" w:after="120" w:before="0"/>
        <w:ind w:firstLine="0"/>
        <w:jc w:val="left"/>
      </w:pPr>
      <w:r>
        <w:rPr>
          <w:bCs/>
          <w:rFonts w:ascii="Times New Roman" w:hAnsi="Times New Roman" w:eastAsia="Times New Roman" w:cs="Times New Roman"/>
          <w:b/>
        </w:rPr>
        <w:t xml:space="preserve">Table 2. Acquisition of generative AI, EU27, 2025 (percent of enterprises with 10 or more employees)</w:t>
      </w:r>
    </w:p>
    <w:tbl>
      <w:tblPr>
        <w:tblStyle w:val="Table"/>
        <w:tblW w:type="auto" w:w="0"/>
        <w:tblLook w:firstRow="1" w:lastRow="0" w:firstColumn="0" w:lastColumn="0" w:noHBand="0" w:noVBand="0" w:val="0020"/>
        <w:jc w:val="start"/>
        <w:tblBorders>
          <w:top w:val="single" w:sz="8" w:color="000000"/>
          <w:bottom w:val="single" w:sz="8" w:color="000000"/>
        </w:tblBorders>
      </w:tblPr>
      <w:tblGrid>
        <w:gridCol w:w="2640"/>
        <w:gridCol w:w="2640"/>
        <w:gridCol w:w="2640"/>
      </w:tblGrid>
      <w:tr>
        <w:trPr>
          <w:tblHeader w:val="true"/>
        </w:trPr>
        <w:tc>
          <w:tcPr>
            <w:tcBorders>
              <w:bottom w:val="single" w:sz="6" w:color="000000"/>
            </w:tcBorders>
          </w:tcPr>
          <w:p>
            <w:pPr>
              <w:pStyle w:val="Compact"/>
              <w:spacing w:line="240" w:lineRule="auto" w:after="40"/>
              <w:ind w:firstLine="0"/>
              <w:jc w:val="left"/>
            </w:pPr>
            <w:r>
              <w:rPr>
                <w:rFonts w:ascii="Times New Roman" w:hAnsi="Times New Roman"/>
                <w:b/>
                <w:sz w:val="19"/>
              </w:rPr>
              <w:t xml:space="preserve">Group</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Picture, video, or audio</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Text generation</w:t>
            </w:r>
          </w:p>
        </w:tc>
      </w:tr>
      <w:tr>
        <w:tc>
          <w:tcPr/>
          <w:p>
            <w:pPr>
              <w:pStyle w:val="Compact"/>
              <w:spacing w:line="240" w:lineRule="auto" w:after="40"/>
              <w:ind w:firstLine="0"/>
              <w:jc w:val="left"/>
            </w:pPr>
            <w:r>
              <w:rPr>
                <w:rFonts w:ascii="Times New Roman" w:hAnsi="Times New Roman"/>
                <w:sz w:val="19"/>
              </w:rPr>
              <w:t xml:space="preserve">All enterprises (10+)</w:t>
            </w:r>
          </w:p>
        </w:tc>
        <w:tc>
          <w:tcPr/>
          <w:p>
            <w:pPr>
              <w:pStyle w:val="Compact"/>
              <w:spacing w:line="240" w:lineRule="auto" w:after="40"/>
              <w:ind w:firstLine="0"/>
              <w:jc w:val="right"/>
            </w:pPr>
            <w:r>
              <w:rPr>
                <w:rFonts w:ascii="Times New Roman" w:hAnsi="Times New Roman"/>
                <w:sz w:val="19"/>
              </w:rPr>
              <w:t xml:space="preserve">9.6</w:t>
            </w:r>
          </w:p>
        </w:tc>
        <w:tc>
          <w:tcPr/>
          <w:p>
            <w:pPr>
              <w:pStyle w:val="Compact"/>
              <w:spacing w:line="240" w:lineRule="auto" w:after="40"/>
              <w:ind w:firstLine="0"/>
              <w:jc w:val="right"/>
            </w:pPr>
            <w:r>
              <w:rPr>
                <w:rFonts w:ascii="Times New Roman" w:hAnsi="Times New Roman"/>
                <w:sz w:val="19"/>
              </w:rPr>
              <w:t xml:space="preserve">8.8</w:t>
            </w:r>
          </w:p>
        </w:tc>
      </w:tr>
      <w:tr>
        <w:tc>
          <w:tcPr/>
          <w:p>
            <w:pPr>
              <w:pStyle w:val="Compact"/>
              <w:spacing w:line="240" w:lineRule="auto" w:after="40"/>
              <w:ind w:firstLine="0"/>
              <w:jc w:val="left"/>
            </w:pPr>
            <w:r>
              <w:rPr>
                <w:rFonts w:ascii="Times New Roman" w:hAnsi="Times New Roman"/>
                <w:sz w:val="19"/>
              </w:rPr>
              <w:t xml:space="preserve">10–49 employees</w:t>
            </w:r>
          </w:p>
        </w:tc>
        <w:tc>
          <w:tcPr/>
          <w:p>
            <w:pPr>
              <w:pStyle w:val="Compact"/>
              <w:spacing w:line="240" w:lineRule="auto" w:after="40"/>
              <w:ind w:firstLine="0"/>
              <w:jc w:val="right"/>
            </w:pPr>
            <w:r>
              <w:rPr>
                <w:rFonts w:ascii="Times New Roman" w:hAnsi="Times New Roman"/>
                <w:sz w:val="19"/>
              </w:rPr>
              <w:t xml:space="preserve">8.1</w:t>
            </w:r>
          </w:p>
        </w:tc>
        <w:tc>
          <w:tcPr/>
          <w:p>
            <w:pPr>
              <w:pStyle w:val="Compact"/>
              <w:spacing w:line="240" w:lineRule="auto" w:after="40"/>
              <w:ind w:firstLine="0"/>
              <w:jc w:val="right"/>
            </w:pPr>
            <w:r>
              <w:rPr>
                <w:rFonts w:ascii="Times New Roman" w:hAnsi="Times New Roman"/>
                <w:sz w:val="19"/>
              </w:rPr>
              <w:t xml:space="preserve">7.0</w:t>
            </w:r>
          </w:p>
        </w:tc>
      </w:tr>
      <w:tr>
        <w:tc>
          <w:tcPr/>
          <w:p>
            <w:pPr>
              <w:pStyle w:val="Compact"/>
              <w:spacing w:line="240" w:lineRule="auto" w:after="40"/>
              <w:ind w:firstLine="0"/>
              <w:jc w:val="left"/>
            </w:pPr>
            <w:r>
              <w:rPr>
                <w:rFonts w:ascii="Times New Roman" w:hAnsi="Times New Roman"/>
                <w:sz w:val="19"/>
              </w:rPr>
              <w:t xml:space="preserve">250 or more employees</w:t>
            </w:r>
          </w:p>
        </w:tc>
        <w:tc>
          <w:tcPr/>
          <w:p>
            <w:pPr>
              <w:pStyle w:val="Compact"/>
              <w:spacing w:line="240" w:lineRule="auto" w:after="40"/>
              <w:ind w:firstLine="0"/>
              <w:jc w:val="right"/>
            </w:pPr>
            <w:r>
              <w:rPr>
                <w:rFonts w:ascii="Times New Roman" w:hAnsi="Times New Roman"/>
                <w:sz w:val="19"/>
              </w:rPr>
              <w:t xml:space="preserve">27.9</w:t>
            </w:r>
          </w:p>
        </w:tc>
        <w:tc>
          <w:tcPr/>
          <w:p>
            <w:pPr>
              <w:pStyle w:val="Compact"/>
              <w:spacing w:line="240" w:lineRule="auto" w:after="40"/>
              <w:ind w:firstLine="0"/>
              <w:jc w:val="right"/>
            </w:pPr>
            <w:r>
              <w:rPr>
                <w:rFonts w:ascii="Times New Roman" w:hAnsi="Times New Roman"/>
                <w:sz w:val="19"/>
              </w:rPr>
              <w:t xml:space="preserve">31.7</w:t>
            </w:r>
          </w:p>
        </w:tc>
      </w:tr>
      <w:tr>
        <w:tc>
          <w:tcPr/>
          <w:p>
            <w:pPr>
              <w:pStyle w:val="Compact"/>
              <w:spacing w:line="240" w:lineRule="auto" w:after="40"/>
              <w:ind w:firstLine="0"/>
              <w:jc w:val="left"/>
            </w:pPr>
            <w:r>
              <w:rPr>
                <w:rFonts w:ascii="Times New Roman" w:hAnsi="Times New Roman"/>
                <w:sz w:val="19"/>
              </w:rPr>
              <w:t xml:space="preserve">Information and communication</w:t>
            </w:r>
          </w:p>
        </w:tc>
        <w:tc>
          <w:tcPr/>
          <w:p>
            <w:pPr>
              <w:pStyle w:val="Compact"/>
              <w:spacing w:line="240" w:lineRule="auto" w:after="40"/>
              <w:ind w:firstLine="0"/>
              <w:jc w:val="right"/>
            </w:pPr>
            <w:r>
              <w:rPr>
                <w:rFonts w:ascii="Times New Roman" w:hAnsi="Times New Roman"/>
                <w:sz w:val="19"/>
              </w:rPr>
              <w:t xml:space="preserve">35.5</w:t>
            </w:r>
          </w:p>
        </w:tc>
        <w:tc>
          <w:tcPr/>
          <w:p>
            <w:pPr>
              <w:pStyle w:val="Compact"/>
              <w:spacing w:line="240" w:lineRule="auto" w:after="40"/>
              <w:ind w:firstLine="0"/>
              <w:jc w:val="right"/>
            </w:pPr>
            <w:r>
              <w:rPr>
                <w:rFonts w:ascii="Times New Roman" w:hAnsi="Times New Roman"/>
                <w:sz w:val="19"/>
              </w:rPr>
              <w:t xml:space="preserve">42.2</w:t>
            </w:r>
          </w:p>
        </w:tc>
      </w:tr>
      <w:tr>
        <w:tc>
          <w:tcPr/>
          <w:p>
            <w:pPr>
              <w:pStyle w:val="Compact"/>
              <w:spacing w:line="240" w:lineRule="auto" w:after="40"/>
              <w:ind w:firstLine="0"/>
              <w:jc w:val="left"/>
            </w:pPr>
            <w:r>
              <w:rPr>
                <w:rFonts w:ascii="Times New Roman" w:hAnsi="Times New Roman"/>
                <w:sz w:val="19"/>
              </w:rPr>
              <w:t xml:space="preserve">Publishing, film, TV, music</w:t>
            </w:r>
          </w:p>
        </w:tc>
        <w:tc>
          <w:tcPr/>
          <w:p>
            <w:pPr>
              <w:pStyle w:val="Compact"/>
              <w:spacing w:line="240" w:lineRule="auto" w:after="40"/>
              <w:ind w:firstLine="0"/>
              <w:jc w:val="right"/>
            </w:pPr>
            <w:r>
              <w:rPr>
                <w:rFonts w:ascii="Times New Roman" w:hAnsi="Times New Roman"/>
                <w:sz w:val="19"/>
              </w:rPr>
              <w:t xml:space="preserve">36.2</w:t>
            </w:r>
          </w:p>
        </w:tc>
        <w:tc>
          <w:tcPr/>
          <w:p>
            <w:pPr>
              <w:pStyle w:val="Compact"/>
              <w:spacing w:line="240" w:lineRule="auto" w:after="40"/>
              <w:ind w:firstLine="0"/>
              <w:jc w:val="right"/>
            </w:pPr>
            <w:r>
              <w:rPr>
                <w:rFonts w:ascii="Times New Roman" w:hAnsi="Times New Roman"/>
                <w:sz w:val="19"/>
              </w:rPr>
              <w:t xml:space="preserve">34.0</w:t>
            </w:r>
          </w:p>
        </w:tc>
      </w:tr>
      <w:tr>
        <w:tc>
          <w:tcPr/>
          <w:p>
            <w:pPr>
              <w:pStyle w:val="Compact"/>
              <w:spacing w:line="240" w:lineRule="auto" w:after="40"/>
              <w:ind w:firstLine="0"/>
              <w:jc w:val="left"/>
            </w:pPr>
            <w:r>
              <w:rPr>
                <w:rFonts w:ascii="Times New Roman" w:hAnsi="Times New Roman"/>
                <w:sz w:val="19"/>
              </w:rPr>
              <w:t xml:space="preserve">Construction</w:t>
            </w:r>
          </w:p>
        </w:tc>
        <w:tc>
          <w:tcPr/>
          <w:p>
            <w:pPr>
              <w:pStyle w:val="Compact"/>
              <w:spacing w:line="240" w:lineRule="auto" w:after="40"/>
              <w:ind w:firstLine="0"/>
              <w:jc w:val="right"/>
            </w:pPr>
            <w:r>
              <w:rPr>
                <w:rFonts w:ascii="Times New Roman" w:hAnsi="Times New Roman"/>
                <w:sz w:val="19"/>
              </w:rPr>
              <w:t xml:space="preserve">4.5</w:t>
            </w:r>
          </w:p>
        </w:tc>
        <w:tc>
          <w:tcPr/>
          <w:p>
            <w:pPr>
              <w:pStyle w:val="Compact"/>
              <w:spacing w:line="240" w:lineRule="auto" w:after="40"/>
              <w:ind w:firstLine="0"/>
              <w:jc w:val="right"/>
            </w:pPr>
            <w:r>
              <w:rPr>
                <w:rFonts w:ascii="Times New Roman" w:hAnsi="Times New Roman"/>
                <w:sz w:val="19"/>
              </w:rPr>
              <w:t xml:space="preserve">3.2</w:t>
            </w:r>
          </w:p>
        </w:tc>
      </w:tr>
    </w:tbl>
    <w:p>
      <w:pPr>
        <w:pStyle w:val="BodyText"/>
        <w:spacing w:line="240" w:lineRule="auto" w:after="120" w:before="0"/>
        <w:ind w:firstLine="0"/>
        <w:jc w:val="left"/>
      </w:pPr>
      <w:r>
        <w:rPr>
          <w:iCs/>
          <w:rFonts w:ascii="Times New Roman" w:hAnsi="Times New Roman" w:eastAsia="Times New Roman" w:cs="Times New Roman"/>
          <w:i/>
        </w:rPr>
        <w:t xml:space="preserve">Source.</w:t>
      </w:r>
      <w:r>
        <w:rPr>
          <w:rFonts w:ascii="Times New Roman" w:hAnsi="Times New Roman" w:eastAsia="Times New Roman" w:cs="Times New Roman"/>
        </w:rPr>
        <w:t xml:space="preserve"> </w:t>
      </w:r>
      <w:r>
        <w:rPr>
          <w:rFonts w:ascii="Times New Roman" w:hAnsi="Times New Roman" w:eastAsia="Times New Roman" w:cs="Times New Roman"/>
        </w:rPr>
        <w:t xml:space="preserve">Eurostat survey on ICT usage in enterprises (indicators E_AI_TPVSG and E_AI_TNLG). The visual-generation indicator exists only for 2025 and is interpreted as acquisition (</w:t>
      </w:r>
      <m:oMath>
        <m:sSup>
          <m:e>
            <m:r>
              <m:t>A</m:t>
            </m:r>
          </m:e>
          <m:sup>
            <m:r>
              <m:t>u</m:t>
            </m:r>
          </m:sup>
        </m:sSup>
      </m:oMath>
      <w:r>
        <w:rPr>
          <w:rFonts w:ascii="Times New Roman" w:hAnsi="Times New Roman" w:eastAsia="Times New Roman" w:cs="Times New Roman"/>
        </w:rPr>
        <w:t xml:space="preserve">), not assimilation.</w:t>
      </w:r>
    </w:p>
    <w:bookmarkEnd w:id="30"/>
    <w:bookmarkStart w:id="31" w:name="X3987abe33d6ec8a85609fe7383eac026929fb85"/>
    <w:p>
      <w:pPr>
        <w:pStyle w:val="Heading3"/>
      </w:pPr>
      <w:r>
        <w:rPr>
          <w:rFonts w:ascii="Times New Roman" w:hAnsi="Times New Roman" w:eastAsia="Times New Roman" w:cs="Times New Roman"/>
        </w:rPr>
        <w:t xml:space="preserve">6.2 Reported Barriers Are Complements, Not Capability</w:t>
      </w:r>
    </w:p>
    <w:p>
      <w:pPr>
        <w:pStyle w:val="FirstParagraph"/>
        <w:spacing w:line="480" w:lineRule="auto" w:after="0" w:before="0"/>
        <w:ind w:firstLine="720"/>
        <w:jc w:val="left"/>
      </w:pPr>
      <w:r>
        <w:rPr>
          <w:rFonts w:ascii="Times New Roman" w:hAnsi="Times New Roman" w:eastAsia="Times New Roman" w:cs="Times New Roman"/>
        </w:rPr>
        <w:t xml:space="preserve">Among enterprises that considered AI and did not adopt it, 70.3 percent cite lack of relevant expertise, 53.6 percent unclear legal consequences, and 52.7 percent data protection and privacy (Table 3). Data availability is cited by 43.5 percent, incompatibility with existing systems by 41.6 percent, costs by 38.4 percent, and the view that AI is not useful by 17.8 percent. The pattern is similar across size classes. This is consistent with H1: firms that stopped short of acquisition describe the obstacle as a missing asset rather than as a tool that fails the task.</w:t>
      </w:r>
    </w:p>
    <w:p>
      <w:pPr>
        <w:pStyle w:val="BodyText"/>
        <w:spacing w:line="240" w:lineRule="auto" w:after="120" w:before="0"/>
        <w:ind w:firstLine="0"/>
        <w:jc w:val="left"/>
      </w:pPr>
      <w:r>
        <w:rPr>
          <w:bCs/>
          <w:rFonts w:ascii="Times New Roman" w:hAnsi="Times New Roman" w:eastAsia="Times New Roman" w:cs="Times New Roman"/>
          <w:b/>
        </w:rPr>
        <w:t xml:space="preserve">Table 3. Reasons for not using AI among enterprises that considered it, EU27, 2025</w:t>
      </w:r>
    </w:p>
    <w:tbl>
      <w:tblPr>
        <w:tblStyle w:val="Table"/>
        <w:tblW w:type="auto" w:w="0"/>
        <w:tblLook w:firstRow="1" w:lastRow="0" w:firstColumn="0" w:lastColumn="0" w:noHBand="0" w:noVBand="0" w:val="0020"/>
        <w:jc w:val="start"/>
        <w:tblBorders>
          <w:top w:val="single" w:sz="8" w:color="000000"/>
          <w:bottom w:val="single" w:sz="8" w:color="000000"/>
        </w:tblBorders>
      </w:tblPr>
      <w:tblGrid>
        <w:gridCol w:w="2640"/>
        <w:gridCol w:w="2640"/>
        <w:gridCol w:w="2640"/>
      </w:tblGrid>
      <w:tr>
        <w:trPr>
          <w:tblHeader w:val="true"/>
        </w:trPr>
        <w:tc>
          <w:tcPr>
            <w:tcBorders>
              <w:bottom w:val="single" w:sz="6" w:color="000000"/>
            </w:tcBorders>
          </w:tcPr>
          <w:p>
            <w:pPr>
              <w:pStyle w:val="Compact"/>
              <w:spacing w:line="240" w:lineRule="auto" w:after="40"/>
              <w:ind w:firstLine="0"/>
              <w:jc w:val="left"/>
            </w:pPr>
            <w:r>
              <w:rPr>
                <w:rFonts w:ascii="Times New Roman" w:hAnsi="Times New Roman"/>
                <w:b/>
                <w:sz w:val="19"/>
              </w:rPr>
              <w:t xml:space="preserve">Reason</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Percent</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Interpretation in the model</w:t>
            </w:r>
          </w:p>
        </w:tc>
      </w:tr>
      <w:tr>
        <w:tc>
          <w:tcPr/>
          <w:p>
            <w:pPr>
              <w:pStyle w:val="Compact"/>
              <w:spacing w:line="240" w:lineRule="auto" w:after="40"/>
              <w:ind w:firstLine="0"/>
              <w:jc w:val="left"/>
            </w:pPr>
            <w:r>
              <w:rPr>
                <w:rFonts w:ascii="Times New Roman" w:hAnsi="Times New Roman"/>
                <w:sz w:val="19"/>
              </w:rPr>
              <w:t xml:space="preserve">Lack of relevant expertise</w:t>
            </w:r>
          </w:p>
        </w:tc>
        <w:tc>
          <w:tcPr/>
          <w:p>
            <w:pPr>
              <w:pStyle w:val="Compact"/>
              <w:spacing w:line="240" w:lineRule="auto" w:after="40"/>
              <w:ind w:firstLine="0"/>
              <w:jc w:val="right"/>
            </w:pPr>
            <w:r>
              <w:rPr>
                <w:rFonts w:ascii="Times New Roman" w:hAnsi="Times New Roman"/>
                <w:sz w:val="19"/>
              </w:rPr>
              <w:t xml:space="preserve">70.3</w:t>
            </w:r>
          </w:p>
        </w:tc>
        <w:tc>
          <w:tcPr/>
          <w:p>
            <w:pPr>
              <w:pStyle w:val="Compact"/>
              <w:spacing w:line="240" w:lineRule="auto" w:after="40"/>
              <w:ind w:firstLine="0"/>
              <w:jc w:val="left"/>
            </w:pPr>
            <w:r>
              <w:rPr>
                <w:rFonts w:ascii="Times New Roman" w:hAnsi="Times New Roman"/>
                <w:sz w:val="19"/>
              </w:rPr>
              <w:t xml:space="preserve">Expertise (</w:t>
            </w:r>
            <m:oMath>
              <m:sSup>
                <m:e>
                  <m:r>
                    <m:t>K</m:t>
                  </m:r>
                </m:e>
                <m:sup>
                  <m:r>
                    <m:t>E</m:t>
                  </m:r>
                </m:sup>
              </m:sSup>
            </m:oMath>
            <w:r>
              <w:rPr>
                <w:rFonts w:ascii="Times New Roman" w:hAnsi="Times New Roman"/>
                <w:sz w:val="19"/>
              </w:rPr>
              <w:t xml:space="preserve">)</w:t>
            </w:r>
          </w:p>
        </w:tc>
      </w:tr>
      <w:tr>
        <w:tc>
          <w:tcPr/>
          <w:p>
            <w:pPr>
              <w:pStyle w:val="Compact"/>
              <w:spacing w:line="240" w:lineRule="auto" w:after="40"/>
              <w:ind w:firstLine="0"/>
              <w:jc w:val="left"/>
            </w:pPr>
            <w:r>
              <w:rPr>
                <w:rFonts w:ascii="Times New Roman" w:hAnsi="Times New Roman"/>
                <w:sz w:val="19"/>
              </w:rPr>
              <w:t xml:space="preserve">Unclear legal consequences</w:t>
            </w:r>
          </w:p>
        </w:tc>
        <w:tc>
          <w:tcPr/>
          <w:p>
            <w:pPr>
              <w:pStyle w:val="Compact"/>
              <w:spacing w:line="240" w:lineRule="auto" w:after="40"/>
              <w:ind w:firstLine="0"/>
              <w:jc w:val="right"/>
            </w:pPr>
            <w:r>
              <w:rPr>
                <w:rFonts w:ascii="Times New Roman" w:hAnsi="Times New Roman"/>
                <w:sz w:val="19"/>
              </w:rPr>
              <w:t xml:space="preserve">53.6</w:t>
            </w:r>
          </w:p>
        </w:tc>
        <w:tc>
          <w:tcPr/>
          <w:p>
            <w:pPr>
              <w:pStyle w:val="Compact"/>
              <w:spacing w:line="240" w:lineRule="auto" w:after="40"/>
              <w:ind w:firstLine="0"/>
              <w:jc w:val="left"/>
            </w:pPr>
            <w:r>
              <w:rPr>
                <w:rFonts w:ascii="Times New Roman" w:hAnsi="Times New Roman"/>
                <w:sz w:val="19"/>
              </w:rPr>
              <w:t xml:space="preserve">Compliance procedures (</w:t>
            </w:r>
            <m:oMath>
              <m:sSup>
                <m:e>
                  <m:r>
                    <m:t>K</m:t>
                  </m:r>
                </m:e>
                <m:sup>
                  <m:r>
                    <m:t>C</m:t>
                  </m:r>
                </m:sup>
              </m:sSup>
            </m:oMath>
            <w:r>
              <w:rPr>
                <w:rFonts w:ascii="Times New Roman" w:hAnsi="Times New Roman"/>
                <w:sz w:val="19"/>
              </w:rPr>
              <w:t xml:space="preserve">)</w:t>
            </w:r>
          </w:p>
        </w:tc>
      </w:tr>
      <w:tr>
        <w:tc>
          <w:tcPr/>
          <w:p>
            <w:pPr>
              <w:pStyle w:val="Compact"/>
              <w:spacing w:line="240" w:lineRule="auto" w:after="40"/>
              <w:ind w:firstLine="0"/>
              <w:jc w:val="left"/>
            </w:pPr>
            <w:r>
              <w:rPr>
                <w:rFonts w:ascii="Times New Roman" w:hAnsi="Times New Roman"/>
                <w:sz w:val="19"/>
              </w:rPr>
              <w:t xml:space="preserve">Data protection and privacy</w:t>
            </w:r>
          </w:p>
        </w:tc>
        <w:tc>
          <w:tcPr/>
          <w:p>
            <w:pPr>
              <w:pStyle w:val="Compact"/>
              <w:spacing w:line="240" w:lineRule="auto" w:after="40"/>
              <w:ind w:firstLine="0"/>
              <w:jc w:val="right"/>
            </w:pPr>
            <w:r>
              <w:rPr>
                <w:rFonts w:ascii="Times New Roman" w:hAnsi="Times New Roman"/>
                <w:sz w:val="19"/>
              </w:rPr>
              <w:t xml:space="preserve">52.7</w:t>
            </w:r>
          </w:p>
        </w:tc>
        <w:tc>
          <w:tcPr/>
          <w:p>
            <w:pPr>
              <w:pStyle w:val="Compact"/>
              <w:spacing w:line="240" w:lineRule="auto" w:after="40"/>
              <w:ind w:firstLine="0"/>
              <w:jc w:val="left"/>
            </w:pPr>
            <w:r>
              <w:rPr>
                <w:rFonts w:ascii="Times New Roman" w:hAnsi="Times New Roman"/>
                <w:sz w:val="19"/>
              </w:rPr>
              <w:t xml:space="preserve">Compliance procedures (</w:t>
            </w:r>
            <m:oMath>
              <m:sSup>
                <m:e>
                  <m:r>
                    <m:t>K</m:t>
                  </m:r>
                </m:e>
                <m:sup>
                  <m:r>
                    <m:t>C</m:t>
                  </m:r>
                </m:sup>
              </m:sSup>
            </m:oMath>
            <w:r>
              <w:rPr>
                <w:rFonts w:ascii="Times New Roman" w:hAnsi="Times New Roman"/>
                <w:sz w:val="19"/>
              </w:rPr>
              <w:t xml:space="preserve">)</w:t>
            </w:r>
          </w:p>
        </w:tc>
      </w:tr>
      <w:tr>
        <w:tc>
          <w:tcPr/>
          <w:p>
            <w:pPr>
              <w:pStyle w:val="Compact"/>
              <w:spacing w:line="240" w:lineRule="auto" w:after="40"/>
              <w:ind w:firstLine="0"/>
              <w:jc w:val="left"/>
            </w:pPr>
            <w:r>
              <w:rPr>
                <w:rFonts w:ascii="Times New Roman" w:hAnsi="Times New Roman"/>
                <w:sz w:val="19"/>
              </w:rPr>
              <w:t xml:space="preserve">Data availability or quality</w:t>
            </w:r>
          </w:p>
        </w:tc>
        <w:tc>
          <w:tcPr/>
          <w:p>
            <w:pPr>
              <w:pStyle w:val="Compact"/>
              <w:spacing w:line="240" w:lineRule="auto" w:after="40"/>
              <w:ind w:firstLine="0"/>
              <w:jc w:val="right"/>
            </w:pPr>
            <w:r>
              <w:rPr>
                <w:rFonts w:ascii="Times New Roman" w:hAnsi="Times New Roman"/>
                <w:sz w:val="19"/>
              </w:rPr>
              <w:t xml:space="preserve">43.5</w:t>
            </w:r>
          </w:p>
        </w:tc>
        <w:tc>
          <w:tcPr/>
          <w:p>
            <w:pPr>
              <w:pStyle w:val="Compact"/>
              <w:spacing w:line="240" w:lineRule="auto" w:after="40"/>
              <w:ind w:firstLine="0"/>
              <w:jc w:val="left"/>
            </w:pPr>
            <w:r>
              <w:rPr>
                <w:rFonts w:ascii="Times New Roman" w:hAnsi="Times New Roman"/>
                <w:sz w:val="19"/>
              </w:rPr>
              <w:t xml:space="preserve">Data complement</w:t>
            </w:r>
          </w:p>
        </w:tc>
      </w:tr>
      <w:tr>
        <w:tc>
          <w:tcPr/>
          <w:p>
            <w:pPr>
              <w:pStyle w:val="Compact"/>
              <w:spacing w:line="240" w:lineRule="auto" w:after="40"/>
              <w:ind w:firstLine="0"/>
              <w:jc w:val="left"/>
            </w:pPr>
            <w:r>
              <w:rPr>
                <w:rFonts w:ascii="Times New Roman" w:hAnsi="Times New Roman"/>
                <w:sz w:val="19"/>
              </w:rPr>
              <w:t xml:space="preserve">Incompatibility with existing systems</w:t>
            </w:r>
          </w:p>
        </w:tc>
        <w:tc>
          <w:tcPr/>
          <w:p>
            <w:pPr>
              <w:pStyle w:val="Compact"/>
              <w:spacing w:line="240" w:lineRule="auto" w:after="40"/>
              <w:ind w:firstLine="0"/>
              <w:jc w:val="right"/>
            </w:pPr>
            <w:r>
              <w:rPr>
                <w:rFonts w:ascii="Times New Roman" w:hAnsi="Times New Roman"/>
                <w:sz w:val="19"/>
              </w:rPr>
              <w:t xml:space="preserve">41.6</w:t>
            </w:r>
          </w:p>
        </w:tc>
        <w:tc>
          <w:tcPr/>
          <w:p>
            <w:pPr>
              <w:pStyle w:val="Compact"/>
              <w:spacing w:line="240" w:lineRule="auto" w:after="40"/>
              <w:ind w:firstLine="0"/>
              <w:jc w:val="left"/>
            </w:pPr>
            <w:r>
              <w:rPr>
                <w:rFonts w:ascii="Times New Roman" w:hAnsi="Times New Roman"/>
                <w:sz w:val="19"/>
              </w:rPr>
              <w:t xml:space="preserve">Technical complement</w:t>
            </w:r>
          </w:p>
        </w:tc>
      </w:tr>
      <w:tr>
        <w:tc>
          <w:tcPr/>
          <w:p>
            <w:pPr>
              <w:pStyle w:val="Compact"/>
              <w:spacing w:line="240" w:lineRule="auto" w:after="40"/>
              <w:ind w:firstLine="0"/>
              <w:jc w:val="left"/>
            </w:pPr>
            <w:r>
              <w:rPr>
                <w:rFonts w:ascii="Times New Roman" w:hAnsi="Times New Roman"/>
                <w:sz w:val="19"/>
              </w:rPr>
              <w:t xml:space="preserve">Costs seem too high</w:t>
            </w:r>
          </w:p>
        </w:tc>
        <w:tc>
          <w:tcPr/>
          <w:p>
            <w:pPr>
              <w:pStyle w:val="Compact"/>
              <w:spacing w:line="240" w:lineRule="auto" w:after="40"/>
              <w:ind w:firstLine="0"/>
              <w:jc w:val="right"/>
            </w:pPr>
            <w:r>
              <w:rPr>
                <w:rFonts w:ascii="Times New Roman" w:hAnsi="Times New Roman"/>
                <w:sz w:val="19"/>
              </w:rPr>
              <w:t xml:space="preserve">38.4</w:t>
            </w:r>
          </w:p>
        </w:tc>
        <w:tc>
          <w:tcPr/>
          <w:p>
            <w:pPr>
              <w:pStyle w:val="Compact"/>
              <w:spacing w:line="240" w:lineRule="auto" w:after="40"/>
              <w:ind w:firstLine="0"/>
              <w:jc w:val="left"/>
            </w:pPr>
            <w:r>
              <w:rPr>
                <w:rFonts w:ascii="Times New Roman" w:hAnsi="Times New Roman"/>
                <w:sz w:val="19"/>
              </w:rPr>
              <w:t xml:space="preserve">Fixed cost of complements or tool</w:t>
            </w:r>
          </w:p>
        </w:tc>
      </w:tr>
      <w:tr>
        <w:tc>
          <w:tcPr/>
          <w:p>
            <w:pPr>
              <w:pStyle w:val="Compact"/>
              <w:spacing w:line="240" w:lineRule="auto" w:after="40"/>
              <w:ind w:firstLine="0"/>
              <w:jc w:val="left"/>
            </w:pPr>
            <w:r>
              <w:rPr>
                <w:rFonts w:ascii="Times New Roman" w:hAnsi="Times New Roman"/>
                <w:sz w:val="19"/>
              </w:rPr>
              <w:t xml:space="preserve">Ethical considerations</w:t>
            </w:r>
          </w:p>
        </w:tc>
        <w:tc>
          <w:tcPr/>
          <w:p>
            <w:pPr>
              <w:pStyle w:val="Compact"/>
              <w:spacing w:line="240" w:lineRule="auto" w:after="40"/>
              <w:ind w:firstLine="0"/>
              <w:jc w:val="right"/>
            </w:pPr>
            <w:r>
              <w:rPr>
                <w:rFonts w:ascii="Times New Roman" w:hAnsi="Times New Roman"/>
                <w:sz w:val="19"/>
              </w:rPr>
              <w:t xml:space="preserve">24.6</w:t>
            </w:r>
          </w:p>
        </w:tc>
        <w:tc>
          <w:tcPr/>
          <w:p>
            <w:pPr>
              <w:pStyle w:val="Compact"/>
              <w:spacing w:line="240" w:lineRule="auto" w:after="40"/>
              <w:ind w:firstLine="0"/>
              <w:jc w:val="left"/>
            </w:pPr>
            <w:r>
              <w:rPr>
                <w:rFonts w:ascii="Times New Roman" w:hAnsi="Times New Roman"/>
                <w:sz w:val="19"/>
              </w:rPr>
              <w:t xml:space="preserve">Institutional complement</w:t>
            </w:r>
          </w:p>
        </w:tc>
      </w:tr>
      <w:tr>
        <w:tc>
          <w:tcPr/>
          <w:p>
            <w:pPr>
              <w:pStyle w:val="Compact"/>
              <w:spacing w:line="240" w:lineRule="auto" w:after="40"/>
              <w:ind w:firstLine="0"/>
              <w:jc w:val="left"/>
            </w:pPr>
            <w:r>
              <w:rPr>
                <w:rFonts w:ascii="Times New Roman" w:hAnsi="Times New Roman"/>
                <w:sz w:val="19"/>
              </w:rPr>
              <w:t xml:space="preserve">AI is not useful for the enterprise</w:t>
            </w:r>
          </w:p>
        </w:tc>
        <w:tc>
          <w:tcPr/>
          <w:p>
            <w:pPr>
              <w:pStyle w:val="Compact"/>
              <w:spacing w:line="240" w:lineRule="auto" w:after="40"/>
              <w:ind w:firstLine="0"/>
              <w:jc w:val="right"/>
            </w:pPr>
            <w:r>
              <w:rPr>
                <w:rFonts w:ascii="Times New Roman" w:hAnsi="Times New Roman"/>
                <w:sz w:val="19"/>
              </w:rPr>
              <w:t xml:space="preserve">17.8</w:t>
            </w:r>
          </w:p>
        </w:tc>
        <w:tc>
          <w:tcPr/>
          <w:p>
            <w:pPr>
              <w:pStyle w:val="Compact"/>
              <w:spacing w:line="240" w:lineRule="auto" w:after="40"/>
              <w:ind w:firstLine="0"/>
              <w:jc w:val="left"/>
            </w:pPr>
            <w:r>
              <w:rPr>
                <w:rFonts w:ascii="Times New Roman" w:hAnsi="Times New Roman"/>
                <w:sz w:val="19"/>
              </w:rPr>
              <w:t xml:space="preserve">Capability failure</w:t>
            </w:r>
          </w:p>
        </w:tc>
      </w:tr>
    </w:tbl>
    <w:p>
      <w:pPr>
        <w:pStyle w:val="BodyText"/>
        <w:spacing w:line="240" w:lineRule="auto" w:after="120" w:before="0"/>
        <w:ind w:firstLine="0"/>
        <w:jc w:val="left"/>
      </w:pPr>
      <w:r>
        <w:rPr>
          <w:iCs/>
          <w:rFonts w:ascii="Times New Roman" w:hAnsi="Times New Roman" w:eastAsia="Times New Roman" w:cs="Times New Roman"/>
          <w:i/>
        </w:rPr>
        <w:t xml:space="preserve">Source.</w:t>
      </w:r>
      <w:r>
        <w:rPr>
          <w:rFonts w:ascii="Times New Roman" w:hAnsi="Times New Roman" w:eastAsia="Times New Roman" w:cs="Times New Roman"/>
        </w:rPr>
        <w:t xml:space="preserve"> </w:t>
      </w:r>
      <w:r>
        <w:rPr>
          <w:rFonts w:ascii="Times New Roman" w:hAnsi="Times New Roman" w:eastAsia="Times New Roman" w:cs="Times New Roman"/>
        </w:rPr>
        <w:t xml:space="preserve">Eurostat 2025. Multiple answers allowed. Items refer to AI in general and are asked only of enterprises that considered AI.</w:t>
      </w:r>
    </w:p>
    <w:p>
      <w:pPr>
        <w:pStyle w:val="BodyText"/>
        <w:spacing w:line="480" w:lineRule="auto" w:after="0" w:before="0"/>
        <w:ind w:firstLine="720"/>
        <w:jc w:val="left"/>
      </w:pPr>
      <w:r>
        <w:rPr>
          <w:rFonts w:ascii="Times New Roman" w:hAnsi="Times New Roman" w:eastAsia="Times New Roman" w:cs="Times New Roman"/>
        </w:rPr>
        <w:t xml:space="preserve">Three limits govern how far this evidence reaches. The items refer to AI in general, so the share citing legal uncertainty may partly reflect text or decision tools. Firms that never considered AI are excluded and may include many for which the tool is genuinely not useful, so 17.8 percent is a lower bound on capability-based non-adoption in the population. And the evidence concerns non-adopters and cannot show that the same barriers block assimilation among adopters, which is what H3 would test. Sector exposure to visual content creation correlates 0.76 across nine EU27 sectors with visual-generation acquisition, but also with text generation (0.75), image recognition (0.74), and any AI (0.82). Exposure therefore identifies digitally intensive sectors rather than a specific propensity to acquire visual generators, a further reason not to read exposure gradients in hiring as effects of visual generation.</w:t>
      </w:r>
    </w:p>
    <w:bookmarkEnd w:id="31"/>
    <w:bookmarkEnd w:id="32"/>
    <w:bookmarkStart w:id="37" w:name="X0775f8330c9593e54d58f04a83b284a01583fa5"/>
    <w:p>
      <w:pPr>
        <w:pStyle w:val="Heading2"/>
      </w:pPr>
      <w:r>
        <w:rPr>
          <w:rFonts w:ascii="Times New Roman" w:hAnsi="Times New Roman" w:eastAsia="Times New Roman" w:cs="Times New Roman"/>
        </w:rPr>
        <w:t xml:space="preserve">7 Occupation-Level Hiring Through the Bound</w:t>
      </w:r>
    </w:p>
    <w:bookmarkStart w:id="33" w:name="exposure-gradients"/>
    <w:p>
      <w:pPr>
        <w:pStyle w:val="Heading3"/>
      </w:pPr>
      <w:r>
        <w:rPr>
          <w:rFonts w:ascii="Times New Roman" w:hAnsi="Times New Roman" w:eastAsia="Times New Roman" w:cs="Times New Roman"/>
        </w:rPr>
        <w:t xml:space="preserve">7.1 Exposure Gradients</w:t>
      </w:r>
    </w:p>
    <w:p>
      <w:pPr>
        <w:pStyle w:val="FirstParagraph"/>
        <w:spacing w:line="480" w:lineRule="auto" w:after="0" w:before="0"/>
        <w:ind w:firstLine="720"/>
        <w:jc w:val="left"/>
      </w:pPr>
      <w:r>
        <w:rPr>
          <w:rFonts w:ascii="Times New Roman" w:hAnsi="Times New Roman" w:eastAsia="Times New Roman" w:cs="Times New Roman"/>
        </w:rPr>
        <w:t xml:space="preserve">For each country-occupation cell in 16 European countries we regress the change in log online adverts relative to 2022 on standardized visual-creation exposure and standardized language-model exposure, separately for each year, with country fixed effects and standard errors clustered by occupation (Table 4). A standard deviation of exposure is associated with 2.2 percent fewer adverts in 2023 (standard error 0.7, randomization</w:t>
      </w:r>
      <w:r>
        <w:rPr>
          <w:rFonts w:ascii="Times New Roman" w:hAnsi="Times New Roman" w:eastAsia="Times New Roman" w:cs="Times New Roman"/>
        </w:rPr>
        <w:t xml:space="preserve"> </w:t>
      </w:r>
      <m:oMath>
        <m:r>
          <m:t>p</m:t>
        </m:r>
        <m:r>
          <m:rPr>
            <m:sty m:val="p"/>
          </m:rPr>
          <m:t>=</m:t>
        </m:r>
        <m:r>
          <m:t>0.012</m:t>
        </m:r>
      </m:oMath>
      <w:r>
        <w:rPr>
          <w:rFonts w:ascii="Times New Roman" w:hAnsi="Times New Roman" w:eastAsia="Times New Roman" w:cs="Times New Roman"/>
        </w:rPr>
        <w:t xml:space="preserve">) and 2.9 percent fewer in 2024 (standard error 1.8,</w:t>
      </w:r>
      <w:r>
        <w:rPr>
          <w:rFonts w:ascii="Times New Roman" w:hAnsi="Times New Roman" w:eastAsia="Times New Roman" w:cs="Times New Roman"/>
        </w:rPr>
        <w:t xml:space="preserve"> </w:t>
      </w:r>
      <m:oMath>
        <m:r>
          <m:t>p</m:t>
        </m:r>
        <m:r>
          <m:rPr>
            <m:sty m:val="p"/>
          </m:rPr>
          <m:t>=</m:t>
        </m:r>
        <m:r>
          <m:t>0.080</m:t>
        </m:r>
      </m:oMath>
      <w:r>
        <w:rPr>
          <w:rFonts w:ascii="Times New Roman" w:hAnsi="Times New Roman" w:eastAsia="Times New Roman" w:cs="Times New Roman"/>
        </w:rPr>
        <w:t xml:space="preserve">). Without the language control the estimates are</w:t>
      </w:r>
      <w:r>
        <w:rPr>
          <w:rFonts w:ascii="Times New Roman" w:hAnsi="Times New Roman" w:eastAsia="Times New Roman" w:cs="Times New Roman"/>
        </w:rPr>
        <w:t xml:space="preserve"> </w:t>
      </w:r>
      <m:oMath>
        <m:r>
          <m:rPr>
            <m:sty m:val="p"/>
          </m:rPr>
          <m:t>−</m:t>
        </m:r>
        <m:r>
          <m:t>3.4</m:t>
        </m:r>
      </m:oMath>
      <w:r>
        <w:rPr>
          <w:rFonts w:ascii="Times New Roman" w:hAnsi="Times New Roman" w:eastAsia="Times New Roman" w:cs="Times New Roman"/>
        </w:rPr>
        <w:t xml:space="preserve"> </w:t>
      </w:r>
      <w:r>
        <w:rPr>
          <w:rFonts w:ascii="Times New Roman" w:hAnsi="Times New Roman" w:eastAsia="Times New Roman" w:cs="Times New Roman"/>
        </w:rPr>
        <w:t xml:space="preserve">and</w:t>
      </w:r>
      <w:r>
        <w:rPr>
          <w:rFonts w:ascii="Times New Roman" w:hAnsi="Times New Roman" w:eastAsia="Times New Roman" w:cs="Times New Roman"/>
        </w:rPr>
        <w:t xml:space="preserve"> </w:t>
      </w:r>
      <m:oMath>
        <m:r>
          <m:rPr>
            <m:sty m:val="p"/>
          </m:rPr>
          <m:t>−</m:t>
        </m:r>
        <m:r>
          <m:t>5.5</m:t>
        </m:r>
      </m:oMath>
      <w:r>
        <w:rPr>
          <w:rFonts w:ascii="Times New Roman" w:hAnsi="Times New Roman" w:eastAsia="Times New Roman" w:cs="Times New Roman"/>
        </w:rPr>
        <w:t xml:space="preserve"> </w:t>
      </w:r>
      <w:r>
        <w:rPr>
          <w:rFonts w:ascii="Times New Roman" w:hAnsi="Times New Roman" w:eastAsia="Times New Roman" w:cs="Times New Roman"/>
        </w:rPr>
        <w:t xml:space="preserve">percent, because exposure to visual content creation and to language models are positively correlated across occupations (0.12).</w:t>
      </w:r>
    </w:p>
    <w:p>
      <w:pPr>
        <w:pStyle w:val="BodyText"/>
        <w:spacing w:line="240" w:lineRule="auto" w:after="120" w:before="0"/>
        <w:ind w:firstLine="0"/>
        <w:jc w:val="left"/>
      </w:pPr>
      <w:r>
        <w:rPr>
          <w:bCs/>
          <w:rFonts w:ascii="Times New Roman" w:hAnsi="Times New Roman" w:eastAsia="Times New Roman" w:cs="Times New Roman"/>
          <w:b/>
        </w:rPr>
        <w:t xml:space="preserve">Table 4. Europe: change in log adverts per standard deviation of visual-creation exposure, relative to 2022</w:t>
      </w:r>
    </w:p>
    <w:tbl>
      <w:tblPr>
        <w:tblStyle w:val="Table"/>
        <w:tblW w:type="pct" w:w="5000"/>
        <w:tblLook w:firstRow="1" w:lastRow="0" w:firstColumn="0" w:lastColumn="0" w:noHBand="0" w:noVBand="0" w:val="0020"/>
        <w:jc w:val="start"/>
        <w:tblBorders>
          <w:top w:val="single" w:sz="8" w:color="000000"/>
          <w:bottom w:val="single" w:sz="8" w:color="000000"/>
        </w:tblBorders>
      </w:tblPr>
      <w:tblGrid>
        <w:gridCol w:w="1320"/>
        <w:gridCol w:w="1320"/>
        <w:gridCol w:w="1320"/>
        <w:gridCol w:w="1320"/>
        <w:gridCol w:w="1320"/>
        <w:gridCol w:w="1320"/>
      </w:tblGrid>
      <w:tr>
        <w:trPr>
          <w:tblHeader w:val="true"/>
        </w:trPr>
        <w:tc>
          <w:tcPr>
            <w:tcBorders>
              <w:bottom w:val="single" w:sz="6" w:color="000000"/>
            </w:tcBorders>
          </w:tcPr>
          <w:p>
            <w:pPr>
              <w:pStyle w:val="Compact"/>
              <w:spacing w:line="240" w:lineRule="auto" w:after="40"/>
              <w:ind w:firstLine="0"/>
            </w:pP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2019</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2020</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2021</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2023</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2024</w:t>
            </w:r>
          </w:p>
        </w:tc>
      </w:tr>
      <w:tr>
        <w:tc>
          <w:tcPr/>
          <w:p>
            <w:pPr>
              <w:pStyle w:val="Compact"/>
              <w:spacing w:line="240" w:lineRule="auto" w:after="40"/>
              <w:ind w:firstLine="0"/>
              <w:jc w:val="left"/>
            </w:pPr>
            <w:r>
              <w:rPr>
                <w:rFonts w:ascii="Times New Roman" w:hAnsi="Times New Roman"/>
                <w:sz w:val="19"/>
              </w:rPr>
              <w:t xml:space="preserve">Preferred (country FE, language-model control)</w:t>
            </w:r>
          </w:p>
        </w:tc>
        <w:tc>
          <w:tcPr/>
          <w:p>
            <w:pPr>
              <w:pStyle w:val="Compact"/>
              <w:spacing w:line="240" w:lineRule="auto" w:after="40"/>
              <w:ind w:firstLine="0"/>
              <w:jc w:val="right"/>
            </w:pPr>
            <w:r>
              <w:rPr>
                <w:rFonts w:ascii="Times New Roman" w:hAnsi="Times New Roman"/>
                <w:sz w:val="19"/>
              </w:rPr>
              <w:t xml:space="preserve">+0.024 (0.015)</w:t>
            </w:r>
          </w:p>
        </w:tc>
        <w:tc>
          <w:tcPr/>
          <w:p>
            <w:pPr>
              <w:pStyle w:val="Compact"/>
              <w:spacing w:line="240" w:lineRule="auto" w:after="40"/>
              <w:ind w:firstLine="0"/>
              <w:jc w:val="right"/>
            </w:pPr>
            <w:r>
              <w:rPr>
                <w:rFonts w:ascii="Times New Roman" w:hAnsi="Times New Roman"/>
                <w:sz w:val="19"/>
              </w:rPr>
              <w:t xml:space="preserve">+0.010 (0.015)</w:t>
            </w:r>
          </w:p>
        </w:tc>
        <w:tc>
          <w:tcPr/>
          <w:p>
            <w:pPr>
              <w:pStyle w:val="Compact"/>
              <w:spacing w:line="240" w:lineRule="auto" w:after="40"/>
              <w:ind w:firstLine="0"/>
              <w:jc w:val="right"/>
            </w:pPr>
            <w:r>
              <w:rPr>
                <w:rFonts w:ascii="Times New Roman" w:hAnsi="Times New Roman"/>
                <w:sz w:val="19"/>
              </w:rPr>
              <w:t xml:space="preserve">+0.014 (0.009)</w:t>
            </w:r>
          </w:p>
        </w:tc>
        <w:tc>
          <w:tcPr/>
          <w:p>
            <w:pPr>
              <w:pStyle w:val="Compact"/>
              <w:spacing w:line="240" w:lineRule="auto" w:after="40"/>
              <w:ind w:firstLine="0"/>
              <w:jc w:val="right"/>
            </w:pPr>
            <w:r>
              <w:rPr>
                <w:rFonts w:ascii="Times New Roman" w:hAnsi="Times New Roman"/>
                <w:sz w:val="19"/>
              </w:rPr>
              <w:t xml:space="preserve">−0.022 (0.007)</w:t>
            </w:r>
          </w:p>
        </w:tc>
        <w:tc>
          <w:tcPr/>
          <w:p>
            <w:pPr>
              <w:pStyle w:val="Compact"/>
              <w:spacing w:line="240" w:lineRule="auto" w:after="40"/>
              <w:ind w:firstLine="0"/>
              <w:jc w:val="right"/>
            </w:pPr>
            <w:r>
              <w:rPr>
                <w:rFonts w:ascii="Times New Roman" w:hAnsi="Times New Roman"/>
                <w:sz w:val="19"/>
              </w:rPr>
              <w:t xml:space="preserve">−0.029 (0.018)</w:t>
            </w:r>
          </w:p>
        </w:tc>
      </w:tr>
      <w:tr>
        <w:tc>
          <w:tcPr/>
          <w:p>
            <w:pPr>
              <w:pStyle w:val="Compact"/>
              <w:spacing w:line="240" w:lineRule="auto" w:after="40"/>
              <w:ind w:firstLine="0"/>
              <w:jc w:val="left"/>
            </w:pPr>
            <w:r>
              <w:rPr>
                <w:rFonts w:ascii="Times New Roman" w:hAnsi="Times New Roman"/>
                <w:sz w:val="19"/>
              </w:rPr>
              <w:t xml:space="preserve">No language-model control</w:t>
            </w:r>
          </w:p>
        </w:tc>
        <w:tc>
          <w:tcPr/>
          <w:p>
            <w:pPr>
              <w:pStyle w:val="Compact"/>
              <w:spacing w:line="240" w:lineRule="auto" w:after="40"/>
              <w:ind w:firstLine="0"/>
              <w:jc w:val="right"/>
            </w:pPr>
            <w:r>
              <w:rPr>
                <w:rFonts w:ascii="Times New Roman" w:hAnsi="Times New Roman"/>
                <w:sz w:val="19"/>
              </w:rPr>
              <w:t xml:space="preserve">+0.014 (0.015)</w:t>
            </w:r>
          </w:p>
        </w:tc>
        <w:tc>
          <w:tcPr/>
          <w:p>
            <w:pPr>
              <w:pStyle w:val="Compact"/>
              <w:spacing w:line="240" w:lineRule="auto" w:after="40"/>
              <w:ind w:firstLine="0"/>
              <w:jc w:val="right"/>
            </w:pPr>
            <w:r>
              <w:rPr>
                <w:rFonts w:ascii="Times New Roman" w:hAnsi="Times New Roman"/>
                <w:sz w:val="19"/>
              </w:rPr>
              <w:t xml:space="preserve">+0.002 (0.015)</w:t>
            </w:r>
          </w:p>
        </w:tc>
        <w:tc>
          <w:tcPr/>
          <w:p>
            <w:pPr>
              <w:pStyle w:val="Compact"/>
              <w:spacing w:line="240" w:lineRule="auto" w:after="40"/>
              <w:ind w:firstLine="0"/>
              <w:jc w:val="right"/>
            </w:pPr>
            <w:r>
              <w:rPr>
                <w:rFonts w:ascii="Times New Roman" w:hAnsi="Times New Roman"/>
                <w:sz w:val="19"/>
              </w:rPr>
              <w:t xml:space="preserve">+0.011 (0.009)</w:t>
            </w:r>
          </w:p>
        </w:tc>
        <w:tc>
          <w:tcPr/>
          <w:p>
            <w:pPr>
              <w:pStyle w:val="Compact"/>
              <w:spacing w:line="240" w:lineRule="auto" w:after="40"/>
              <w:ind w:firstLine="0"/>
              <w:jc w:val="right"/>
            </w:pPr>
            <w:r>
              <w:rPr>
                <w:rFonts w:ascii="Times New Roman" w:hAnsi="Times New Roman"/>
                <w:sz w:val="19"/>
              </w:rPr>
              <w:t xml:space="preserve">−0.034 (0.008)</w:t>
            </w:r>
          </w:p>
        </w:tc>
        <w:tc>
          <w:tcPr/>
          <w:p>
            <w:pPr>
              <w:pStyle w:val="Compact"/>
              <w:spacing w:line="240" w:lineRule="auto" w:after="40"/>
              <w:ind w:firstLine="0"/>
              <w:jc w:val="right"/>
            </w:pPr>
            <w:r>
              <w:rPr>
                <w:rFonts w:ascii="Times New Roman" w:hAnsi="Times New Roman"/>
                <w:sz w:val="19"/>
              </w:rPr>
              <w:t xml:space="preserve">−0.055 (0.020)</w:t>
            </w:r>
          </w:p>
        </w:tc>
      </w:tr>
      <w:tr>
        <w:tc>
          <w:tcPr/>
          <w:p>
            <w:pPr>
              <w:pStyle w:val="Compact"/>
              <w:spacing w:line="240" w:lineRule="auto" w:after="40"/>
              <w:ind w:firstLine="0"/>
              <w:jc w:val="left"/>
            </w:pPr>
            <w:r>
              <w:rPr>
                <w:rFonts w:ascii="Times New Roman" w:hAnsi="Times New Roman"/>
                <w:sz w:val="19"/>
              </w:rPr>
              <w:t xml:space="preserve">Deviation from linear pre-trend (preferred)</w:t>
            </w:r>
          </w:p>
        </w:tc>
        <w:tc>
          <w:tcPr/>
          <w:p>
            <w:pPr>
              <w:pStyle w:val="Compact"/>
              <w:spacing w:line="240" w:lineRule="auto" w:after="40"/>
              <w:ind w:firstLine="0"/>
              <w:jc w:val="right"/>
            </w:pPr>
            <w:r>
              <w:rPr>
                <w:rFonts w:ascii="Times New Roman" w:hAnsi="Times New Roman"/>
                <w:sz w:val="19"/>
              </w:rPr>
              <w:t xml:space="preserve">—</w:t>
            </w:r>
          </w:p>
        </w:tc>
        <w:tc>
          <w:tcPr/>
          <w:p>
            <w:pPr>
              <w:pStyle w:val="Compact"/>
              <w:spacing w:line="240" w:lineRule="auto" w:after="40"/>
              <w:ind w:firstLine="0"/>
              <w:jc w:val="right"/>
            </w:pPr>
            <w:r>
              <w:rPr>
                <w:rFonts w:ascii="Times New Roman" w:hAnsi="Times New Roman"/>
                <w:sz w:val="19"/>
              </w:rPr>
              <w:t xml:space="preserve">—</w:t>
            </w:r>
          </w:p>
        </w:tc>
        <w:tc>
          <w:tcPr/>
          <w:p>
            <w:pPr>
              <w:pStyle w:val="Compact"/>
              <w:spacing w:line="240" w:lineRule="auto" w:after="40"/>
              <w:ind w:firstLine="0"/>
              <w:jc w:val="right"/>
            </w:pPr>
            <w:r>
              <w:rPr>
                <w:rFonts w:ascii="Times New Roman" w:hAnsi="Times New Roman"/>
                <w:sz w:val="19"/>
              </w:rPr>
              <w:t xml:space="preserve">—</w:t>
            </w:r>
          </w:p>
        </w:tc>
        <w:tc>
          <w:tcPr/>
          <w:p>
            <w:pPr>
              <w:pStyle w:val="Compact"/>
              <w:spacing w:line="240" w:lineRule="auto" w:after="40"/>
              <w:ind w:firstLine="0"/>
              <w:jc w:val="right"/>
            </w:pPr>
            <w:r>
              <w:rPr>
                <w:rFonts w:ascii="Times New Roman" w:hAnsi="Times New Roman"/>
                <w:sz w:val="19"/>
              </w:rPr>
              <w:t xml:space="preserve">−0.017 (0.012)</w:t>
            </w:r>
          </w:p>
        </w:tc>
        <w:tc>
          <w:tcPr/>
          <w:p>
            <w:pPr>
              <w:pStyle w:val="Compact"/>
              <w:spacing w:line="240" w:lineRule="auto" w:after="40"/>
              <w:ind w:firstLine="0"/>
              <w:jc w:val="right"/>
            </w:pPr>
            <w:r>
              <w:rPr>
                <w:rFonts w:ascii="Times New Roman" w:hAnsi="Times New Roman"/>
                <w:sz w:val="19"/>
              </w:rPr>
              <w:t xml:space="preserve">−0.017 (0.029)</w:t>
            </w:r>
          </w:p>
        </w:tc>
      </w:tr>
      <w:tr>
        <w:tc>
          <w:tcPr/>
          <w:p>
            <w:pPr>
              <w:pStyle w:val="Compact"/>
              <w:spacing w:line="240" w:lineRule="auto" w:after="40"/>
              <w:ind w:firstLine="0"/>
              <w:jc w:val="left"/>
            </w:pPr>
            <w:r>
              <w:rPr>
                <w:rFonts w:ascii="Times New Roman" w:hAnsi="Times New Roman"/>
                <w:sz w:val="19"/>
              </w:rPr>
              <w:t xml:space="preserve">Randomization</w:t>
            </w:r>
            <w:r>
              <w:rPr>
                <w:rFonts w:ascii="Times New Roman" w:hAnsi="Times New Roman"/>
                <w:sz w:val="19"/>
              </w:rPr>
              <w:t xml:space="preserve"> </w:t>
            </w:r>
            <m:oMath>
              <m:r>
                <m:t>p</m:t>
              </m:r>
            </m:oMath>
            <w:r>
              <w:rPr>
                <w:rFonts w:ascii="Times New Roman" w:hAnsi="Times New Roman"/>
                <w:sz w:val="19"/>
              </w:rPr>
              <w:t xml:space="preserve"> </w:t>
            </w:r>
            <w:r>
              <w:rPr>
                <w:rFonts w:ascii="Times New Roman" w:hAnsi="Times New Roman"/>
                <w:sz w:val="19"/>
              </w:rPr>
              <w:t xml:space="preserve">(preferred)</w:t>
            </w:r>
          </w:p>
        </w:tc>
        <w:tc>
          <w:tcPr/>
          <w:p>
            <w:pPr>
              <w:pStyle w:val="Compact"/>
              <w:spacing w:line="240" w:lineRule="auto" w:after="40"/>
              <w:ind w:firstLine="0"/>
              <w:jc w:val="right"/>
            </w:pPr>
            <w:r>
              <w:rPr>
                <w:rFonts w:ascii="Times New Roman" w:hAnsi="Times New Roman"/>
                <w:sz w:val="19"/>
              </w:rPr>
              <w:t xml:space="preserve">0.126</w:t>
            </w:r>
          </w:p>
        </w:tc>
        <w:tc>
          <w:tcPr/>
          <w:p>
            <w:pPr>
              <w:pStyle w:val="Compact"/>
              <w:spacing w:line="240" w:lineRule="auto" w:after="40"/>
              <w:ind w:firstLine="0"/>
              <w:jc w:val="right"/>
            </w:pPr>
            <w:r>
              <w:rPr>
                <w:rFonts w:ascii="Times New Roman" w:hAnsi="Times New Roman"/>
                <w:sz w:val="19"/>
              </w:rPr>
              <w:t xml:space="preserve">0.595</w:t>
            </w:r>
          </w:p>
        </w:tc>
        <w:tc>
          <w:tcPr/>
          <w:p>
            <w:pPr>
              <w:pStyle w:val="Compact"/>
              <w:spacing w:line="240" w:lineRule="auto" w:after="40"/>
              <w:ind w:firstLine="0"/>
              <w:jc w:val="right"/>
            </w:pPr>
            <w:r>
              <w:rPr>
                <w:rFonts w:ascii="Times New Roman" w:hAnsi="Times New Roman"/>
                <w:sz w:val="19"/>
              </w:rPr>
              <w:t xml:space="preserve">0.166</w:t>
            </w:r>
          </w:p>
        </w:tc>
        <w:tc>
          <w:tcPr/>
          <w:p>
            <w:pPr>
              <w:pStyle w:val="Compact"/>
              <w:spacing w:line="240" w:lineRule="auto" w:after="40"/>
              <w:ind w:firstLine="0"/>
              <w:jc w:val="right"/>
            </w:pPr>
            <w:r>
              <w:rPr>
                <w:rFonts w:ascii="Times New Roman" w:hAnsi="Times New Roman"/>
                <w:sz w:val="19"/>
              </w:rPr>
              <w:t xml:space="preserve">0.012</w:t>
            </w:r>
          </w:p>
        </w:tc>
        <w:tc>
          <w:tcPr/>
          <w:p>
            <w:pPr>
              <w:pStyle w:val="Compact"/>
              <w:spacing w:line="240" w:lineRule="auto" w:after="40"/>
              <w:ind w:firstLine="0"/>
              <w:jc w:val="right"/>
            </w:pPr>
            <w:r>
              <w:rPr>
                <w:rFonts w:ascii="Times New Roman" w:hAnsi="Times New Roman"/>
                <w:sz w:val="19"/>
              </w:rPr>
              <w:t xml:space="preserve">0.080</w:t>
            </w:r>
          </w:p>
        </w:tc>
      </w:tr>
      <w:tr>
        <w:tc>
          <w:tcPr/>
          <w:p>
            <w:pPr>
              <w:pStyle w:val="Compact"/>
              <w:spacing w:line="240" w:lineRule="auto" w:after="40"/>
              <w:ind w:firstLine="0"/>
              <w:jc w:val="left"/>
            </w:pPr>
            <w:r>
              <w:rPr>
                <w:rFonts w:ascii="Times New Roman" w:hAnsi="Times New Roman"/>
                <w:sz w:val="19"/>
              </w:rPr>
              <w:t xml:space="preserve">Minimum detectable effect (preferred)</w:t>
            </w:r>
          </w:p>
        </w:tc>
        <w:tc>
          <w:tcPr/>
          <w:p>
            <w:pPr>
              <w:pStyle w:val="Compact"/>
              <w:spacing w:line="240" w:lineRule="auto" w:after="40"/>
              <w:ind w:firstLine="0"/>
              <w:jc w:val="right"/>
            </w:pPr>
            <w:r>
              <w:rPr>
                <w:rFonts w:ascii="Times New Roman" w:hAnsi="Times New Roman"/>
                <w:sz w:val="19"/>
              </w:rPr>
              <w:t xml:space="preserve">0.041</w:t>
            </w:r>
          </w:p>
        </w:tc>
        <w:tc>
          <w:tcPr/>
          <w:p>
            <w:pPr>
              <w:pStyle w:val="Compact"/>
              <w:spacing w:line="240" w:lineRule="auto" w:after="40"/>
              <w:ind w:firstLine="0"/>
              <w:jc w:val="right"/>
            </w:pPr>
            <w:r>
              <w:rPr>
                <w:rFonts w:ascii="Times New Roman" w:hAnsi="Times New Roman"/>
                <w:sz w:val="19"/>
              </w:rPr>
              <w:t xml:space="preserve">0.042</w:t>
            </w:r>
          </w:p>
        </w:tc>
        <w:tc>
          <w:tcPr/>
          <w:p>
            <w:pPr>
              <w:pStyle w:val="Compact"/>
              <w:spacing w:line="240" w:lineRule="auto" w:after="40"/>
              <w:ind w:firstLine="0"/>
              <w:jc w:val="right"/>
            </w:pPr>
            <w:r>
              <w:rPr>
                <w:rFonts w:ascii="Times New Roman" w:hAnsi="Times New Roman"/>
                <w:sz w:val="19"/>
              </w:rPr>
              <w:t xml:space="preserve">0.025</w:t>
            </w:r>
          </w:p>
        </w:tc>
        <w:tc>
          <w:tcPr/>
          <w:p>
            <w:pPr>
              <w:pStyle w:val="Compact"/>
              <w:spacing w:line="240" w:lineRule="auto" w:after="40"/>
              <w:ind w:firstLine="0"/>
              <w:jc w:val="right"/>
            </w:pPr>
            <w:r>
              <w:rPr>
                <w:rFonts w:ascii="Times New Roman" w:hAnsi="Times New Roman"/>
                <w:sz w:val="19"/>
              </w:rPr>
              <w:t xml:space="preserve">0.019</w:t>
            </w:r>
          </w:p>
        </w:tc>
        <w:tc>
          <w:tcPr/>
          <w:p>
            <w:pPr>
              <w:pStyle w:val="Compact"/>
              <w:spacing w:line="240" w:lineRule="auto" w:after="40"/>
              <w:ind w:firstLine="0"/>
              <w:jc w:val="right"/>
            </w:pPr>
            <w:r>
              <w:rPr>
                <w:rFonts w:ascii="Times New Roman" w:hAnsi="Times New Roman"/>
                <w:sz w:val="19"/>
              </w:rPr>
              <w:t xml:space="preserve">0.050</w:t>
            </w:r>
          </w:p>
        </w:tc>
      </w:tr>
      <w:tr>
        <w:tc>
          <w:tcPr/>
          <w:p>
            <w:pPr>
              <w:pStyle w:val="Compact"/>
              <w:spacing w:line="240" w:lineRule="auto" w:after="40"/>
              <w:ind w:firstLine="0"/>
              <w:jc w:val="left"/>
            </w:pPr>
            <w:r>
              <w:rPr>
                <w:rFonts w:ascii="Times New Roman" w:hAnsi="Times New Roman"/>
                <w:sz w:val="19"/>
              </w:rPr>
              <w:t xml:space="preserve">Second scorer (preferred)</w:t>
            </w:r>
          </w:p>
        </w:tc>
        <w:tc>
          <w:tcPr/>
          <w:p>
            <w:pPr>
              <w:pStyle w:val="Compact"/>
              <w:spacing w:line="240" w:lineRule="auto" w:after="40"/>
              <w:ind w:firstLine="0"/>
              <w:jc w:val="right"/>
            </w:pPr>
            <w:r>
              <w:rPr>
                <w:rFonts w:ascii="Times New Roman" w:hAnsi="Times New Roman"/>
                <w:sz w:val="19"/>
              </w:rPr>
              <w:t xml:space="preserve">+0.023 (0.015)</w:t>
            </w:r>
          </w:p>
        </w:tc>
        <w:tc>
          <w:tcPr/>
          <w:p>
            <w:pPr>
              <w:pStyle w:val="Compact"/>
              <w:spacing w:line="240" w:lineRule="auto" w:after="40"/>
              <w:ind w:firstLine="0"/>
              <w:jc w:val="right"/>
            </w:pPr>
            <w:r>
              <w:rPr>
                <w:rFonts w:ascii="Times New Roman" w:hAnsi="Times New Roman"/>
                <w:sz w:val="19"/>
              </w:rPr>
              <w:t xml:space="preserve">+0.004 (0.015)</w:t>
            </w:r>
          </w:p>
        </w:tc>
        <w:tc>
          <w:tcPr/>
          <w:p>
            <w:pPr>
              <w:pStyle w:val="Compact"/>
              <w:spacing w:line="240" w:lineRule="auto" w:after="40"/>
              <w:ind w:firstLine="0"/>
              <w:jc w:val="right"/>
            </w:pPr>
            <w:r>
              <w:rPr>
                <w:rFonts w:ascii="Times New Roman" w:hAnsi="Times New Roman"/>
                <w:sz w:val="19"/>
              </w:rPr>
              <w:t xml:space="preserve">+0.011 (0.009)</w:t>
            </w:r>
          </w:p>
        </w:tc>
        <w:tc>
          <w:tcPr/>
          <w:p>
            <w:pPr>
              <w:pStyle w:val="Compact"/>
              <w:spacing w:line="240" w:lineRule="auto" w:after="40"/>
              <w:ind w:firstLine="0"/>
              <w:jc w:val="right"/>
            </w:pPr>
            <w:r>
              <w:rPr>
                <w:rFonts w:ascii="Times New Roman" w:hAnsi="Times New Roman"/>
                <w:sz w:val="19"/>
              </w:rPr>
              <w:t xml:space="preserve">−0.025 (0.007)</w:t>
            </w:r>
          </w:p>
        </w:tc>
        <w:tc>
          <w:tcPr/>
          <w:p>
            <w:pPr>
              <w:pStyle w:val="Compact"/>
              <w:spacing w:line="240" w:lineRule="auto" w:after="40"/>
              <w:ind w:firstLine="0"/>
              <w:jc w:val="right"/>
            </w:pPr>
            <w:r>
              <w:rPr>
                <w:rFonts w:ascii="Times New Roman" w:hAnsi="Times New Roman"/>
                <w:sz w:val="19"/>
              </w:rPr>
              <w:t xml:space="preserve">−0.032 (0.017)</w:t>
            </w:r>
          </w:p>
        </w:tc>
      </w:tr>
    </w:tbl>
    <w:p>
      <w:pPr>
        <w:pStyle w:val="BodyText"/>
        <w:spacing w:line="240" w:lineRule="auto" w:after="120" w:before="0"/>
        <w:ind w:firstLine="0"/>
        <w:jc w:val="left"/>
      </w:pPr>
      <w:r>
        <w:rPr>
          <w:iCs/>
          <w:rFonts w:ascii="Times New Roman" w:hAnsi="Times New Roman" w:eastAsia="Times New Roman" w:cs="Times New Roman"/>
          <w:i/>
        </w:rPr>
        <w:t xml:space="preserve">Notes.</w:t>
      </w:r>
      <w:r>
        <w:rPr>
          <w:rFonts w:ascii="Times New Roman" w:hAnsi="Times New Roman" w:eastAsia="Times New Roman" w:cs="Times New Roman"/>
        </w:rPr>
        <w:t xml:space="preserve"> </w:t>
      </w:r>
      <w:r>
        <w:rPr>
          <w:rFonts w:ascii="Times New Roman" w:hAnsi="Times New Roman" w:eastAsia="Times New Roman" w:cs="Times New Roman"/>
        </w:rPr>
        <w:t xml:space="preserve">604 country-occupation cells (96 occupations, 16 countries); separate regressions by year with country fixed effects; standard errors clustered by ISCO three-digit occupation in parentheses. Randomization</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-values come from 5,000 permutations of exposure across occupations. Minimum detectable effect = 2.8 × standard error. The deviation row fits a linear trend to the 2019–2021 coefficients and the 2022 base year (zero by construction) and reports the deviation of the 2023 and 2024 coefficients from its extrapolation; the fitted slope is</w:t>
      </w:r>
      <w:r>
        <w:rPr>
          <w:rFonts w:ascii="Times New Roman" w:hAnsi="Times New Roman" w:eastAsia="Times New Roman" w:cs="Times New Roman"/>
        </w:rPr>
        <w:t xml:space="preserve"> </w:t>
      </w:r>
      <m:oMath>
        <m:r>
          <m:rPr>
            <m:sty m:val="p"/>
          </m:rPr>
          <m:t>−</m:t>
        </m:r>
        <m:r>
          <m:t>0.0069</m:t>
        </m:r>
      </m:oMath>
      <w:r>
        <w:rPr>
          <w:rFonts w:ascii="Times New Roman" w:hAnsi="Times New Roman" w:eastAsia="Times New Roman" w:cs="Times New Roman"/>
        </w:rPr>
        <w:t xml:space="preserve"> </w:t>
      </w:r>
      <w:r>
        <w:rPr>
          <w:rFonts w:ascii="Times New Roman" w:hAnsi="Times New Roman" w:eastAsia="Times New Roman" w:cs="Times New Roman"/>
        </w:rPr>
        <w:t xml:space="preserve">per year (standard error 0.0056).</w:t>
      </w:r>
    </w:p>
    <w:p>
      <w:pPr>
        <w:pStyle w:val="BodyText"/>
        <w:spacing w:line="480" w:lineRule="auto" w:after="0" w:before="0"/>
        <w:ind w:firstLine="720"/>
        <w:jc w:val="left"/>
      </w:pPr>
      <w:r>
        <w:rPr>
          <w:rFonts w:ascii="Times New Roman" w:hAnsi="Times New Roman" w:eastAsia="Times New Roman" w:cs="Times New Roman"/>
        </w:rPr>
        <w:t xml:space="preserve">The coefficients before 2022 are positive. Because the outcome is the change in adverts relative to 2022, a positive coefficient means that exposed occupations had more adverts in those years than in 2022, that is, they were already declining relative to others before generative tools were released. The trend is weak (</w:t>
      </w:r>
      <m:oMath>
        <m:r>
          <m:rPr>
            <m:sty m:val="p"/>
          </m:rPr>
          <m:t>−</m:t>
        </m:r>
        <m:r>
          <m:t>0.007</m:t>
        </m:r>
      </m:oMath>
      <w:r>
        <w:rPr>
          <w:rFonts w:ascii="Times New Roman" w:hAnsi="Times New Roman" w:eastAsia="Times New Roman" w:cs="Times New Roman"/>
        </w:rPr>
        <w:t xml:space="preserve"> </w:t>
      </w:r>
      <w:r>
        <w:rPr>
          <w:rFonts w:ascii="Times New Roman" w:hAnsi="Times New Roman" w:eastAsia="Times New Roman" w:cs="Times New Roman"/>
        </w:rPr>
        <w:t xml:space="preserve">per year, standard error 0.006) and rests on four points, but it runs in the same direction as the post-2022 coefficients. Relative to its extrapolation, the 2023 and 2024 coefficients are</w:t>
      </w:r>
      <w:r>
        <w:rPr>
          <w:rFonts w:ascii="Times New Roman" w:hAnsi="Times New Roman" w:eastAsia="Times New Roman" w:cs="Times New Roman"/>
        </w:rPr>
        <w:t xml:space="preserve"> </w:t>
      </w:r>
      <m:oMath>
        <m:r>
          <m:rPr>
            <m:sty m:val="p"/>
          </m:rPr>
          <m:t>−</m:t>
        </m:r>
        <m:r>
          <m:t>0.017</m:t>
        </m:r>
      </m:oMath>
      <w:r>
        <w:rPr>
          <w:rFonts w:ascii="Times New Roman" w:hAnsi="Times New Roman" w:eastAsia="Times New Roman" w:cs="Times New Roman"/>
        </w:rPr>
        <w:t xml:space="preserve"> </w:t>
      </w:r>
      <w:r>
        <w:rPr>
          <w:rFonts w:ascii="Times New Roman" w:hAnsi="Times New Roman" w:eastAsia="Times New Roman" w:cs="Times New Roman"/>
        </w:rPr>
        <w:t xml:space="preserve">(0.012) and</w:t>
      </w:r>
      <w:r>
        <w:rPr>
          <w:rFonts w:ascii="Times New Roman" w:hAnsi="Times New Roman" w:eastAsia="Times New Roman" w:cs="Times New Roman"/>
        </w:rPr>
        <w:t xml:space="preserve"> </w:t>
      </w:r>
      <m:oMath>
        <m:r>
          <m:rPr>
            <m:sty m:val="p"/>
          </m:rPr>
          <m:t>−</m:t>
        </m:r>
        <m:r>
          <m:t>0.017</m:t>
        </m:r>
      </m:oMath>
      <w:r>
        <w:rPr>
          <w:rFonts w:ascii="Times New Roman" w:hAnsi="Times New Roman" w:eastAsia="Times New Roman" w:cs="Times New Roman"/>
        </w:rPr>
        <w:t xml:space="preserve"> </w:t>
      </w:r>
      <w:r>
        <w:rPr>
          <w:rFonts w:ascii="Times New Roman" w:hAnsi="Times New Roman" w:eastAsia="Times New Roman" w:cs="Times New Roman"/>
        </w:rPr>
        <w:t xml:space="preserve">(0.029). In Canada, across 312 unit groups with fixed effects for NOC two-digit groups, the coefficient is</w:t>
      </w:r>
      <w:r>
        <w:rPr>
          <w:rFonts w:ascii="Times New Roman" w:hAnsi="Times New Roman" w:eastAsia="Times New Roman" w:cs="Times New Roman"/>
        </w:rPr>
        <w:t xml:space="preserve"> </w:t>
      </w:r>
      <m:oMath>
        <m:r>
          <m:rPr>
            <m:sty m:val="p"/>
          </m:rPr>
          <m:t>−</m:t>
        </m:r>
        <m:r>
          <m:t>2.9</m:t>
        </m:r>
      </m:oMath>
      <w:r>
        <w:rPr>
          <w:rFonts w:ascii="Times New Roman" w:hAnsi="Times New Roman" w:eastAsia="Times New Roman" w:cs="Times New Roman"/>
        </w:rPr>
        <w:t xml:space="preserve"> </w:t>
      </w:r>
      <w:r>
        <w:rPr>
          <w:rFonts w:ascii="Times New Roman" w:hAnsi="Times New Roman" w:eastAsia="Times New Roman" w:cs="Times New Roman"/>
        </w:rPr>
        <w:t xml:space="preserve">percent in 2023 (standard error 1.3, randomization</w:t>
      </w:r>
      <w:r>
        <w:rPr>
          <w:rFonts w:ascii="Times New Roman" w:hAnsi="Times New Roman" w:eastAsia="Times New Roman" w:cs="Times New Roman"/>
        </w:rPr>
        <w:t xml:space="preserve"> </w:t>
      </w:r>
      <m:oMath>
        <m:r>
          <m:t>p</m:t>
        </m:r>
        <m:r>
          <m:rPr>
            <m:sty m:val="p"/>
          </m:rPr>
          <m:t>=</m:t>
        </m:r>
        <m:r>
          <m:t>0.13</m:t>
        </m:r>
      </m:oMath>
      <w:r>
        <w:rPr>
          <w:rFonts w:ascii="Times New Roman" w:hAnsi="Times New Roman" w:eastAsia="Times New Roman" w:cs="Times New Roman"/>
        </w:rPr>
        <w:t xml:space="preserve">) and indistinguishable from zero afterward, in a market where total vacancies fell 47 percent between 2022 and 2025–2026.</w:t>
      </w:r>
    </w:p>
    <w:bookmarkEnd w:id="33"/>
    <w:bookmarkStart w:id="34" w:name="applying-the-bound"/>
    <w:p>
      <w:pPr>
        <w:pStyle w:val="Heading3"/>
      </w:pPr>
      <w:r>
        <w:rPr>
          <w:rFonts w:ascii="Times New Roman" w:hAnsi="Times New Roman" w:eastAsia="Times New Roman" w:cs="Times New Roman"/>
        </w:rPr>
        <w:t xml:space="preserve">7.2 Applying the Bound</w:t>
      </w:r>
    </w:p>
    <w:p>
      <w:pPr>
        <w:pStyle w:val="FirstParagraph"/>
        <w:spacing w:line="480" w:lineRule="auto" w:after="0" w:before="0"/>
        <w:ind w:firstLine="720"/>
        <w:jc w:val="left"/>
      </w:pPr>
      <w:r>
        <w:rPr>
          <w:rFonts w:ascii="Times New Roman" w:hAnsi="Times New Roman" w:eastAsia="Times New Roman" w:cs="Times New Roman"/>
        </w:rPr>
        <w:t xml:space="preserve">The most exposed occupation lies</w:t>
      </w:r>
      <w:r>
        <w:rPr>
          <w:rFonts w:ascii="Times New Roman" w:hAnsi="Times New Roman" w:eastAsia="Times New Roman" w:cs="Times New Roman"/>
        </w:rPr>
        <w:t xml:space="preserve"> </w:t>
      </w:r>
      <m:oMath>
        <m:r>
          <m:t>k</m:t>
        </m:r>
        <m:r>
          <m:rPr>
            <m:sty m:val="p"/>
          </m:rPr>
          <m:t>=</m:t>
        </m:r>
        <m:r>
          <m:t>5.3</m:t>
        </m:r>
      </m:oMath>
      <w:r>
        <w:rPr>
          <w:rFonts w:ascii="Times New Roman" w:hAnsi="Times New Roman" w:eastAsia="Times New Roman" w:cs="Times New Roman"/>
        </w:rPr>
        <w:t xml:space="preserve"> </w:t>
      </w:r>
      <w:r>
        <w:rPr>
          <w:rFonts w:ascii="Times New Roman" w:hAnsi="Times New Roman" w:eastAsia="Times New Roman" w:cs="Times New Roman"/>
        </w:rPr>
        <w:t xml:space="preserve">standard deviations above the mean, the larger of the two values and therefore the one more favorable to detection. Table 5 reports the coefficient per standard deviation that complete assimilation would produce under equation (4) for a range of acquisition rates and substitution effects, alongside the minimum detectable effect and the observed coefficients.</w:t>
      </w:r>
    </w:p>
    <w:p>
      <w:pPr>
        <w:pStyle w:val="BodyText"/>
        <w:spacing w:line="240" w:lineRule="auto" w:after="120" w:before="0"/>
        <w:ind w:firstLine="0"/>
        <w:jc w:val="left"/>
      </w:pPr>
      <w:r>
        <w:rPr>
          <w:bCs/>
          <w:rFonts w:ascii="Times New Roman" w:hAnsi="Times New Roman" w:eastAsia="Times New Roman" w:cs="Times New Roman"/>
          <w:b/>
        </w:rPr>
        <w:t xml:space="preserve">Table 5. Coefficient per standard deviation implied by complete assimilation (</w:t>
      </w:r>
      <m:oMath>
        <m:sSup>
          <m:e>
            <m:r>
              <m:t>A</m:t>
            </m:r>
          </m:e>
          <m:sup>
            <m:r>
              <m:t>a</m:t>
            </m:r>
          </m:sup>
        </m:sSup>
        <m:r>
          <m:rPr>
            <m:sty m:val="p"/>
          </m:rPr>
          <m:t>=</m:t>
        </m:r>
        <m:sSup>
          <m:e>
            <m:r>
              <m:t>A</m:t>
            </m:r>
          </m:e>
          <m:sup>
            <m:r>
              <m:t>u</m:t>
            </m:r>
          </m:sup>
        </m:sSup>
      </m:oMath>
      <w:r>
        <w:rPr>
          <w:bCs/>
          <w:rFonts w:ascii="Times New Roman" w:hAnsi="Times New Roman" w:eastAsia="Times New Roman" w:cs="Times New Roman"/>
          <w:b/>
        </w:rPr>
        <w:t xml:space="preserve">), Europe,</w:t>
      </w:r>
      <w:r>
        <w:rPr>
          <w:bCs/>
          <w:rFonts w:ascii="Times New Roman" w:hAnsi="Times New Roman" w:eastAsia="Times New Roman" w:cs="Times New Roman"/>
          <w:b/>
        </w:rPr>
        <w:t xml:space="preserve"> </w:t>
      </w:r>
      <m:oMath>
        <m:r>
          <m:t>k</m:t>
        </m:r>
        <m:r>
          <m:rPr>
            <m:sty m:val="p"/>
          </m:rPr>
          <m:t>=</m:t>
        </m:r>
        <m:r>
          <m:t>5.3</m:t>
        </m:r>
      </m:oMath>
    </w:p>
    <w:p>
      <w:pPr>
        <w:pStyle w:val="BodyText"/>
        <w:spacing w:line="240" w:lineRule="auto" w:after="120" w:before="0"/>
        <w:ind w:firstLine="0"/>
        <w:jc w:val="left"/>
      </w:pPr>
      <w:r>
        <w:rPr>
          <w:iCs/>
          <w:rFonts w:ascii="Times New Roman" w:hAnsi="Times New Roman" w:eastAsia="Times New Roman" w:cs="Times New Roman"/>
          <w:i/>
        </w:rPr>
        <w:t xml:space="preserve">Panel A. Implied coefficients</w:t>
      </w:r>
    </w:p>
    <w:tbl>
      <w:tblPr>
        <w:tblStyle w:val="Table"/>
        <w:tblW w:type="pct" w:w="5000"/>
        <w:tblLook w:firstRow="1" w:lastRow="0" w:firstColumn="0" w:lastColumn="0" w:noHBand="0" w:noVBand="0" w:val="0020"/>
        <w:jc w:val="start"/>
        <w:tblBorders>
          <w:top w:val="single" w:sz="8" w:color="000000"/>
          <w:bottom w:val="single" w:sz="8" w:color="000000"/>
        </w:tblBorders>
      </w:tblPr>
      <w:tblGrid>
        <w:gridCol w:w="2640"/>
        <w:gridCol w:w="2640"/>
        <w:gridCol w:w="2640"/>
      </w:tblGrid>
      <w:tr>
        <w:trPr>
          <w:tblHeader w:val="true"/>
        </w:trPr>
        <w:tc>
          <w:tcPr>
            <w:tcBorders>
              <w:bottom w:val="single" w:sz="6" w:color="000000"/>
            </w:tcBorders>
          </w:tcPr>
          <w:p>
            <w:pPr>
              <w:pStyle w:val="Compact"/>
              <w:spacing w:line="240" w:lineRule="auto" w:after="40"/>
              <w:ind w:firstLine="0"/>
              <w:jc w:val="left"/>
            </w:pPr>
            <w:r>
              <w:rPr>
                <w:rFonts w:ascii="Times New Roman" w:hAnsi="Times New Roman"/>
                <w:b/>
                <w:sz w:val="19"/>
              </w:rPr>
              <w:t xml:space="preserve">Acquisition rate</w:t>
            </w:r>
            <w:r>
              <w:rPr>
                <w:rFonts w:ascii="Times New Roman" w:hAnsi="Times New Roman"/>
                <w:b/>
                <w:sz w:val="19"/>
              </w:rPr>
              <w:t xml:space="preserve"> </w:t>
            </w:r>
            <m:oMath>
              <m:sSup>
                <m:e>
                  <m:r>
                    <m:t>A</m:t>
                  </m:r>
                </m:e>
                <m:sup>
                  <m:r>
                    <m:t>u</m:t>
                  </m:r>
                </m:sup>
              </m:sSup>
            </m:oMath>
          </w:p>
        </w:tc>
        <w:tc>
          <w:tcPr>
            <w:tcBorders>
              <w:bottom w:val="single" w:sz="6" w:color="000000"/>
            </w:tcBorders>
          </w:tcPr>
          <w:p>
            <w:pPr>
              <w:pStyle w:val="Compact"/>
              <w:spacing w:line="240" w:lineRule="auto" w:after="40"/>
              <w:ind w:firstLine="0"/>
              <w:jc w:val="right"/>
            </w:pPr>
            <m:oMath>
              <m:r>
                <m:t>β</m:t>
              </m:r>
              <m:r>
                <m:rPr>
                  <m:sty m:val="p"/>
                </m:rPr>
                <m:t>=</m:t>
              </m:r>
              <m:r>
                <m:rPr>
                  <m:sty m:val="p"/>
                </m:rPr>
                <m:t>−</m:t>
              </m:r>
              <m:r>
                <m:t>0.19</m:t>
              </m:r>
            </m:oMath>
            <w:r>
              <w:rPr>
                <w:rFonts w:ascii="Times New Roman" w:hAnsi="Times New Roman"/>
                <w:b/>
                <w:sz w:val="19"/>
              </w:rPr>
              <w:t xml:space="preserve"> </w:t>
            </w:r>
            <w:r>
              <w:rPr>
                <w:rFonts w:ascii="Times New Roman" w:hAnsi="Times New Roman"/>
                <w:b/>
                <w:sz w:val="19"/>
              </w:rPr>
              <w:t xml:space="preserve">(platform)</w:t>
            </w:r>
          </w:p>
        </w:tc>
        <w:tc>
          <w:tcPr>
            <w:tcBorders>
              <w:bottom w:val="single" w:sz="6" w:color="000000"/>
            </w:tcBorders>
          </w:tcPr>
          <w:p>
            <w:pPr>
              <w:pStyle w:val="Compact"/>
              <w:spacing w:line="240" w:lineRule="auto" w:after="40"/>
              <w:ind w:firstLine="0"/>
              <w:jc w:val="right"/>
            </w:pPr>
            <m:oMath>
              <m:r>
                <m:t>β</m:t>
              </m:r>
              <m:r>
                <m:rPr>
                  <m:sty m:val="p"/>
                </m:rPr>
                <m:t>=</m:t>
              </m:r>
              <m:r>
                <m:rPr>
                  <m:sty m:val="p"/>
                </m:rPr>
                <m:t>−</m:t>
              </m:r>
              <m:r>
                <m:t>0.50</m:t>
              </m:r>
            </m:oMath>
            <w:r>
              <w:rPr>
                <w:rFonts w:ascii="Times New Roman" w:hAnsi="Times New Roman"/>
                <w:b/>
                <w:sz w:val="19"/>
              </w:rPr>
              <w:t xml:space="preserve"> </w:t>
            </w:r>
            <w:r>
              <w:rPr>
                <w:rFonts w:ascii="Times New Roman" w:hAnsi="Times New Roman"/>
                <w:b/>
                <w:sz w:val="19"/>
              </w:rPr>
              <w:t xml:space="preserve">(aggressive)</w:t>
            </w:r>
          </w:p>
        </w:tc>
      </w:tr>
      <w:tr>
        <w:tc>
          <w:tcPr/>
          <w:p>
            <w:pPr>
              <w:pStyle w:val="Compact"/>
              <w:spacing w:line="240" w:lineRule="auto" w:after="40"/>
              <w:ind w:firstLine="0"/>
              <w:jc w:val="left"/>
            </w:pPr>
            <w:r>
              <w:rPr>
                <w:rFonts w:ascii="Times New Roman" w:hAnsi="Times New Roman"/>
                <w:sz w:val="19"/>
              </w:rPr>
              <w:t xml:space="preserve">9.6% (EU, all firms)</w:t>
            </w:r>
          </w:p>
        </w:tc>
        <w:tc>
          <w:tcPr/>
          <w:p>
            <w:pPr>
              <w:pStyle w:val="Compact"/>
              <w:spacing w:line="240" w:lineRule="auto" w:after="40"/>
              <w:ind w:firstLine="0"/>
              <w:jc w:val="right"/>
            </w:pPr>
            <w:r>
              <w:rPr>
                <w:rFonts w:ascii="Times New Roman" w:hAnsi="Times New Roman"/>
                <w:sz w:val="19"/>
              </w:rPr>
              <w:t xml:space="preserve">−0.003</w:t>
            </w:r>
          </w:p>
        </w:tc>
        <w:tc>
          <w:tcPr/>
          <w:p>
            <w:pPr>
              <w:pStyle w:val="Compact"/>
              <w:spacing w:line="240" w:lineRule="auto" w:after="40"/>
              <w:ind w:firstLine="0"/>
              <w:jc w:val="right"/>
            </w:pPr>
            <w:r>
              <w:rPr>
                <w:rFonts w:ascii="Times New Roman" w:hAnsi="Times New Roman"/>
                <w:sz w:val="19"/>
              </w:rPr>
              <w:t xml:space="preserve">−0.009</w:t>
            </w:r>
          </w:p>
        </w:tc>
      </w:tr>
      <w:tr>
        <w:tc>
          <w:tcPr/>
          <w:p>
            <w:pPr>
              <w:pStyle w:val="Compact"/>
              <w:spacing w:line="240" w:lineRule="auto" w:after="40"/>
              <w:ind w:firstLine="0"/>
              <w:jc w:val="left"/>
            </w:pPr>
            <w:r>
              <w:rPr>
                <w:rFonts w:ascii="Times New Roman" w:hAnsi="Times New Roman"/>
                <w:sz w:val="19"/>
              </w:rPr>
              <w:t xml:space="preserve">36.2% (publishing, film, broadcasting)</w:t>
            </w:r>
          </w:p>
        </w:tc>
        <w:tc>
          <w:tcPr/>
          <w:p>
            <w:pPr>
              <w:pStyle w:val="Compact"/>
              <w:spacing w:line="240" w:lineRule="auto" w:after="40"/>
              <w:ind w:firstLine="0"/>
              <w:jc w:val="right"/>
            </w:pPr>
            <w:r>
              <w:rPr>
                <w:rFonts w:ascii="Times New Roman" w:hAnsi="Times New Roman"/>
                <w:sz w:val="19"/>
              </w:rPr>
              <w:t xml:space="preserve">−0.013</w:t>
            </w:r>
          </w:p>
        </w:tc>
        <w:tc>
          <w:tcPr/>
          <w:p>
            <w:pPr>
              <w:pStyle w:val="Compact"/>
              <w:spacing w:line="240" w:lineRule="auto" w:after="40"/>
              <w:ind w:firstLine="0"/>
              <w:jc w:val="right"/>
            </w:pPr>
            <w:r>
              <w:rPr>
                <w:rFonts w:ascii="Times New Roman" w:hAnsi="Times New Roman"/>
                <w:sz w:val="19"/>
              </w:rPr>
              <w:t xml:space="preserve">−0.034</w:t>
            </w:r>
          </w:p>
        </w:tc>
      </w:tr>
      <w:tr>
        <w:tc>
          <w:tcPr/>
          <w:p>
            <w:pPr>
              <w:pStyle w:val="Compact"/>
              <w:spacing w:line="240" w:lineRule="auto" w:after="40"/>
              <w:ind w:firstLine="0"/>
              <w:jc w:val="left"/>
            </w:pPr>
            <w:r>
              <w:rPr>
                <w:rFonts w:ascii="Times New Roman" w:hAnsi="Times New Roman"/>
                <w:sz w:val="19"/>
              </w:rPr>
              <w:t xml:space="preserve">2.1% (text generation 2023, proxy for early acquisition)</w:t>
            </w:r>
          </w:p>
        </w:tc>
        <w:tc>
          <w:tcPr/>
          <w:p>
            <w:pPr>
              <w:pStyle w:val="Compact"/>
              <w:spacing w:line="240" w:lineRule="auto" w:after="40"/>
              <w:ind w:firstLine="0"/>
              <w:jc w:val="right"/>
            </w:pPr>
            <w:r>
              <w:rPr>
                <w:rFonts w:ascii="Times New Roman" w:hAnsi="Times New Roman"/>
                <w:sz w:val="19"/>
              </w:rPr>
              <w:t xml:space="preserve">−0.001</w:t>
            </w:r>
          </w:p>
        </w:tc>
        <w:tc>
          <w:tcPr/>
          <w:p>
            <w:pPr>
              <w:pStyle w:val="Compact"/>
              <w:spacing w:line="240" w:lineRule="auto" w:after="40"/>
              <w:ind w:firstLine="0"/>
              <w:jc w:val="right"/>
            </w:pPr>
            <w:r>
              <w:rPr>
                <w:rFonts w:ascii="Times New Roman" w:hAnsi="Times New Roman"/>
                <w:sz w:val="19"/>
              </w:rPr>
              <w:t xml:space="preserve">−0.002</w:t>
            </w:r>
          </w:p>
        </w:tc>
      </w:tr>
    </w:tbl>
    <w:p>
      <w:pPr>
        <w:pStyle w:val="BodyText"/>
        <w:spacing w:line="240" w:lineRule="auto" w:after="120" w:before="0"/>
        <w:ind w:firstLine="0"/>
        <w:jc w:val="left"/>
      </w:pPr>
      <w:r>
        <w:rPr>
          <w:iCs/>
          <w:rFonts w:ascii="Times New Roman" w:hAnsi="Times New Roman" w:eastAsia="Times New Roman" w:cs="Times New Roman"/>
          <w:i/>
        </w:rPr>
        <w:t xml:space="preserve">Panel B. Observed coefficients and detectability</w:t>
      </w:r>
    </w:p>
    <w:tbl>
      <w:tblPr>
        <w:tblStyle w:val="Table"/>
        <w:tblW w:type="pct" w:w="5000"/>
        <w:tblLook w:firstRow="1" w:lastRow="0" w:firstColumn="0" w:lastColumn="0" w:noHBand="0" w:noVBand="0" w:val="0020"/>
        <w:jc w:val="start"/>
        <w:tblBorders>
          <w:top w:val="single" w:sz="8" w:color="000000"/>
          <w:bottom w:val="single" w:sz="8" w:color="000000"/>
        </w:tblBorders>
      </w:tblPr>
      <w:tblGrid>
        <w:gridCol w:w="1980"/>
        <w:gridCol w:w="1980"/>
        <w:gridCol w:w="1980"/>
        <w:gridCol w:w="1980"/>
      </w:tblGrid>
      <w:tr>
        <w:trPr>
          <w:tblHeader w:val="true"/>
        </w:trPr>
        <w:tc>
          <w:tcPr>
            <w:tcBorders>
              <w:bottom w:val="single" w:sz="6" w:color="000000"/>
            </w:tcBorders>
          </w:tcPr>
          <w:p>
            <w:pPr>
              <w:pStyle w:val="Compact"/>
              <w:spacing w:line="240" w:lineRule="auto" w:after="40"/>
              <w:ind w:firstLine="0"/>
              <w:jc w:val="left"/>
            </w:pPr>
            <w:r>
              <w:rPr>
                <w:rFonts w:ascii="Times New Roman" w:hAnsi="Times New Roman"/>
                <w:b/>
                <w:sz w:val="19"/>
              </w:rPr>
              <w:t xml:space="preserve">Year</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Observed, preferred (SE)</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Observed, no language control</w:t>
            </w:r>
          </w:p>
        </w:tc>
        <w:tc>
          <w:tcPr>
            <w:tcBorders>
              <w:bottom w:val="single" w:sz="6" w:color="000000"/>
            </w:tcBorders>
          </w:tcPr>
          <w:p>
            <w:pPr>
              <w:pStyle w:val="Compact"/>
              <w:spacing w:line="240" w:lineRule="auto" w:after="40"/>
              <w:ind w:firstLine="0"/>
              <w:jc w:val="right"/>
            </w:pPr>
            <w:r>
              <w:rPr>
                <w:rFonts w:ascii="Times New Roman" w:hAnsi="Times New Roman"/>
                <w:b/>
                <w:sz w:val="19"/>
              </w:rPr>
              <w:t xml:space="preserve">Minimum detectable effect</w:t>
            </w:r>
          </w:p>
        </w:tc>
      </w:tr>
      <w:tr>
        <w:tc>
          <w:tcPr/>
          <w:p>
            <w:pPr>
              <w:pStyle w:val="Compact"/>
              <w:spacing w:line="240" w:lineRule="auto" w:after="40"/>
              <w:ind w:firstLine="0"/>
              <w:jc w:val="left"/>
            </w:pPr>
            <w:r>
              <w:rPr>
                <w:rFonts w:ascii="Times New Roman" w:hAnsi="Times New Roman"/>
                <w:sz w:val="19"/>
              </w:rPr>
              <w:t xml:space="preserve">2023</w:t>
            </w:r>
          </w:p>
        </w:tc>
        <w:tc>
          <w:tcPr/>
          <w:p>
            <w:pPr>
              <w:pStyle w:val="Compact"/>
              <w:spacing w:line="240" w:lineRule="auto" w:after="40"/>
              <w:ind w:firstLine="0"/>
              <w:jc w:val="right"/>
            </w:pPr>
            <w:r>
              <w:rPr>
                <w:rFonts w:ascii="Times New Roman" w:hAnsi="Times New Roman"/>
                <w:sz w:val="19"/>
              </w:rPr>
              <w:t xml:space="preserve">−0.022 (0.007)</w:t>
            </w:r>
          </w:p>
        </w:tc>
        <w:tc>
          <w:tcPr/>
          <w:p>
            <w:pPr>
              <w:pStyle w:val="Compact"/>
              <w:spacing w:line="240" w:lineRule="auto" w:after="40"/>
              <w:ind w:firstLine="0"/>
              <w:jc w:val="right"/>
            </w:pPr>
            <w:r>
              <w:rPr>
                <w:rFonts w:ascii="Times New Roman" w:hAnsi="Times New Roman"/>
                <w:sz w:val="19"/>
              </w:rPr>
              <w:t xml:space="preserve">−0.034</w:t>
            </w:r>
          </w:p>
        </w:tc>
        <w:tc>
          <w:tcPr/>
          <w:p>
            <w:pPr>
              <w:pStyle w:val="Compact"/>
              <w:spacing w:line="240" w:lineRule="auto" w:after="40"/>
              <w:ind w:firstLine="0"/>
              <w:jc w:val="right"/>
            </w:pPr>
            <w:r>
              <w:rPr>
                <w:rFonts w:ascii="Times New Roman" w:hAnsi="Times New Roman"/>
                <w:sz w:val="19"/>
              </w:rPr>
              <w:t xml:space="preserve">0.019</w:t>
            </w:r>
          </w:p>
        </w:tc>
      </w:tr>
      <w:tr>
        <w:tc>
          <w:tcPr/>
          <w:p>
            <w:pPr>
              <w:pStyle w:val="Compact"/>
              <w:spacing w:line="240" w:lineRule="auto" w:after="40"/>
              <w:ind w:firstLine="0"/>
              <w:jc w:val="left"/>
            </w:pPr>
            <w:r>
              <w:rPr>
                <w:rFonts w:ascii="Times New Roman" w:hAnsi="Times New Roman"/>
                <w:sz w:val="19"/>
              </w:rPr>
              <w:t xml:space="preserve">2024</w:t>
            </w:r>
          </w:p>
        </w:tc>
        <w:tc>
          <w:tcPr/>
          <w:p>
            <w:pPr>
              <w:pStyle w:val="Compact"/>
              <w:spacing w:line="240" w:lineRule="auto" w:after="40"/>
              <w:ind w:firstLine="0"/>
              <w:jc w:val="right"/>
            </w:pPr>
            <w:r>
              <w:rPr>
                <w:rFonts w:ascii="Times New Roman" w:hAnsi="Times New Roman"/>
                <w:sz w:val="19"/>
              </w:rPr>
              <w:t xml:space="preserve">−0.029 (0.018)</w:t>
            </w:r>
          </w:p>
        </w:tc>
        <w:tc>
          <w:tcPr/>
          <w:p>
            <w:pPr>
              <w:pStyle w:val="Compact"/>
              <w:spacing w:line="240" w:lineRule="auto" w:after="40"/>
              <w:ind w:firstLine="0"/>
              <w:jc w:val="right"/>
            </w:pPr>
            <w:r>
              <w:rPr>
                <w:rFonts w:ascii="Times New Roman" w:hAnsi="Times New Roman"/>
                <w:sz w:val="19"/>
              </w:rPr>
              <w:t xml:space="preserve">−0.055</w:t>
            </w:r>
          </w:p>
        </w:tc>
        <w:tc>
          <w:tcPr/>
          <w:p>
            <w:pPr>
              <w:pStyle w:val="Compact"/>
              <w:spacing w:line="240" w:lineRule="auto" w:after="40"/>
              <w:ind w:firstLine="0"/>
              <w:jc w:val="right"/>
            </w:pPr>
            <w:r>
              <w:rPr>
                <w:rFonts w:ascii="Times New Roman" w:hAnsi="Times New Roman"/>
                <w:sz w:val="19"/>
              </w:rPr>
              <w:t xml:space="preserve">0.050</w:t>
            </w:r>
          </w:p>
        </w:tc>
      </w:tr>
    </w:tbl>
    <w:p>
      <w:pPr>
        <w:pStyle w:val="BodyText"/>
        <w:spacing w:line="240" w:lineRule="auto" w:after="120" w:before="0"/>
        <w:ind w:firstLine="0"/>
        <w:jc w:val="left"/>
      </w:pPr>
      <w:r>
        <w:rPr>
          <w:iCs/>
          <w:rFonts w:ascii="Times New Roman" w:hAnsi="Times New Roman" w:eastAsia="Times New Roman" w:cs="Times New Roman"/>
          <w:i/>
        </w:rPr>
        <w:t xml:space="preserve">Notes.</w:t>
      </w:r>
      <w:r>
        <w:rPr>
          <w:rFonts w:ascii="Times New Roman" w:hAnsi="Times New Roman" w:eastAsia="Times New Roman" w:cs="Times New Roman"/>
        </w:rPr>
        <w:t xml:space="preserve"> </w:t>
      </w:r>
      <m:oMath>
        <m:sSup>
          <m:e>
            <m:r>
              <m:t>γ</m:t>
            </m:r>
          </m:e>
          <m:sup>
            <m:r>
              <m:rPr>
                <m:sty m:val="p"/>
              </m:rPr>
              <m:t>*</m:t>
            </m:r>
          </m:sup>
        </m:sSup>
        <m:r>
          <m:rPr>
            <m:sty m:val="p"/>
          </m:rPr>
          <m:t>=</m:t>
        </m:r>
        <m:sSup>
          <m:e>
            <m:r>
              <m:t>A</m:t>
            </m:r>
          </m:e>
          <m:sup>
            <m:r>
              <m:t>u</m:t>
            </m:r>
          </m:sup>
        </m:sSup>
        <m:r>
          <m:rPr>
            <m:sty m:val="p"/>
          </m:rPr>
          <m:t>⋅</m:t>
        </m:r>
        <m:r>
          <m:t>β</m:t>
        </m:r>
        <m:r>
          <m:rPr>
            <m:sty m:val="p"/>
          </m:rPr>
          <m:t>/</m:t>
        </m:r>
        <m:r>
          <m:t>k</m:t>
        </m:r>
      </m:oMath>
      <w:r>
        <w:rPr>
          <w:rFonts w:ascii="Times New Roman" w:hAnsi="Times New Roman" w:eastAsia="Times New Roman" w:cs="Times New Roman"/>
        </w:rPr>
        <w:t xml:space="preserve">. The upper bound</w:t>
      </w:r>
      <w:r>
        <w:rPr>
          <w:rFonts w:ascii="Times New Roman" w:hAnsi="Times New Roman" w:eastAsia="Times New Roman" w:cs="Times New Roman"/>
        </w:rPr>
        <w:t xml:space="preserve"> </w:t>
      </w:r>
      <m:oMath>
        <m:sSup>
          <m:e>
            <m:r>
              <m:t>A</m:t>
            </m:r>
          </m:e>
          <m:sup>
            <m:r>
              <m:t>a</m:t>
            </m:r>
          </m:sup>
        </m:sSup>
        <m:r>
          <m:rPr>
            <m:sty m:val="p"/>
          </m:rPr>
          <m:t>=</m:t>
        </m:r>
        <m:sSup>
          <m:e>
            <m:r>
              <m:t>A</m:t>
            </m:r>
          </m:e>
          <m:sup>
            <m:r>
              <m:t>u</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maximizes the implied response; any assimilation gap makes it smaller. Acquisition rates: Eurostat 2025 and Eurostat 2023 text generation as a proxy for early acquisition.</w:t>
      </w:r>
    </w:p>
    <w:p>
      <w:pPr>
        <w:pStyle w:val="BodyText"/>
        <w:spacing w:line="480" w:lineRule="auto" w:after="0" w:before="0"/>
        <w:ind w:firstLine="720"/>
        <w:jc w:val="left"/>
      </w:pPr>
      <w:r>
        <w:rPr>
          <w:rFonts w:ascii="Times New Roman" w:hAnsi="Times New Roman" w:eastAsia="Times New Roman" w:cs="Times New Roman"/>
        </w:rPr>
        <w:t xml:space="preserve">Two results follow. First, every complete-assimilation scenario for 2024 implies a coefficient below the minimum detectable effect of 0.050. The largest,</w:t>
      </w:r>
      <w:r>
        <w:rPr>
          <w:rFonts w:ascii="Times New Roman" w:hAnsi="Times New Roman" w:eastAsia="Times New Roman" w:cs="Times New Roman"/>
        </w:rPr>
        <w:t xml:space="preserve"> </w:t>
      </w:r>
      <m:oMath>
        <m:r>
          <m:rPr>
            <m:sty m:val="p"/>
          </m:rPr>
          <m:t>−</m:t>
        </m:r>
        <m:r>
          <m:t>0.034</m:t>
        </m:r>
      </m:oMath>
      <w:r>
        <w:rPr>
          <w:rFonts w:ascii="Times New Roman" w:hAnsi="Times New Roman" w:eastAsia="Times New Roman" w:cs="Times New Roman"/>
        </w:rPr>
        <w:t xml:space="preserve">, requires a 39 percent fall among assimilating employers in a sector where 36 percent have acquired the tool, and assimilation by all of them. Under rule (i), the 2024 European estimate is uninformative about whether acquisition has been assimilated. The preferred estimate of</w:t>
      </w:r>
      <w:r>
        <w:rPr>
          <w:rFonts w:ascii="Times New Roman" w:hAnsi="Times New Roman" w:eastAsia="Times New Roman" w:cs="Times New Roman"/>
        </w:rPr>
        <w:t xml:space="preserve"> </w:t>
      </w:r>
      <m:oMath>
        <m:r>
          <m:rPr>
            <m:sty m:val="p"/>
          </m:rPr>
          <m:t>−</m:t>
        </m:r>
        <m:r>
          <m:t>0.029</m:t>
        </m:r>
      </m:oMath>
      <w:r>
        <w:rPr>
          <w:rFonts w:ascii="Times New Roman" w:hAnsi="Times New Roman" w:eastAsia="Times New Roman" w:cs="Times New Roman"/>
        </w:rPr>
        <w:t xml:space="preserve"> </w:t>
      </w:r>
      <w:r>
        <w:rPr>
          <w:rFonts w:ascii="Times New Roman" w:hAnsi="Times New Roman" w:eastAsia="Times New Roman" w:cs="Times New Roman"/>
        </w:rPr>
        <w:t xml:space="preserve">is larger in magnitude than the economy-wide scenarios, but its 95 percent confidence interval (</w:t>
      </w:r>
      <m:oMath>
        <m:r>
          <m:rPr>
            <m:sty m:val="p"/>
          </m:rPr>
          <m:t>−</m:t>
        </m:r>
        <m:r>
          <m:t>0.064</m:t>
        </m:r>
      </m:oMath>
      <w:r>
        <w:rPr>
          <w:rFonts w:ascii="Times New Roman" w:hAnsi="Times New Roman" w:eastAsia="Times New Roman" w:cs="Times New Roman"/>
        </w:rPr>
        <w:t xml:space="preserve"> </w:t>
      </w:r>
      <w:r>
        <w:rPr>
          <w:rFonts w:ascii="Times New Roman" w:hAnsi="Times New Roman" w:eastAsia="Times New Roman" w:cs="Times New Roman"/>
        </w:rPr>
        <w:t xml:space="preserve">to</w:t>
      </w:r>
      <w:r>
        <w:rPr>
          <w:rFonts w:ascii="Times New Roman" w:hAnsi="Times New Roman" w:eastAsia="Times New Roman" w:cs="Times New Roman"/>
        </w:rPr>
        <w:t xml:space="preserve"> </w:t>
      </w:r>
      <m:oMath>
        <m:r>
          <m:rPr>
            <m:sty m:val="p"/>
          </m:rPr>
          <m:t>+</m:t>
        </m:r>
        <m:r>
          <m:t>0.006</m:t>
        </m:r>
      </m:oMath>
      <w:r>
        <w:rPr>
          <w:rFonts w:ascii="Times New Roman" w:hAnsi="Times New Roman" w:eastAsia="Times New Roman" w:cs="Times New Roman"/>
        </w:rPr>
        <w:t xml:space="preserve">) contains zero and every scenario in Table 5, so it supports neither the gap nor substitution. The estimate without the language control (</w:t>
      </w:r>
      <m:oMath>
        <m:r>
          <m:rPr>
            <m:sty m:val="p"/>
          </m:rPr>
          <m:t>−</m:t>
        </m:r>
        <m:r>
          <m:t>0.055</m:t>
        </m:r>
      </m:oMath>
      <w:r>
        <w:rPr>
          <w:rFonts w:ascii="Times New Roman" w:hAnsi="Times New Roman" w:eastAsia="Times New Roman" w:cs="Times New Roman"/>
        </w:rPr>
        <w:t xml:space="preserve">) is larger than any scenario but is not significantly larger than</w:t>
      </w:r>
      <w:r>
        <w:rPr>
          <w:rFonts w:ascii="Times New Roman" w:hAnsi="Times New Roman" w:eastAsia="Times New Roman" w:cs="Times New Roman"/>
        </w:rPr>
        <w:t xml:space="preserve"> </w:t>
      </w:r>
      <m:oMath>
        <m:sSup>
          <m:e>
            <m:r>
              <m:t>γ</m:t>
            </m:r>
          </m:e>
          <m:sup>
            <m:r>
              <m:rPr>
                <m:sty m:val="p"/>
              </m:rPr>
              <m:t>*</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m:oMath>
        <m:r>
          <m:t>z</m:t>
        </m:r>
        <m:r>
          <m:rPr>
            <m:sty m:val="p"/>
          </m:rPr>
          <m:t>≈</m:t>
        </m:r>
        <m:r>
          <m:t>1.1</m:t>
        </m:r>
      </m:oMath>
      <w:r>
        <w:rPr>
          <w:rFonts w:ascii="Times New Roman" w:hAnsi="Times New Roman" w:eastAsia="Times New Roman" w:cs="Times New Roman"/>
        </w:rPr>
        <w:t xml:space="preserve">), and the difference between the specifications shows that it partly reflects exposure to language models.</w:t>
      </w:r>
    </w:p>
    <w:p>
      <w:pPr>
        <w:pStyle w:val="BodyText"/>
        <w:spacing w:line="480" w:lineRule="auto" w:after="0" w:before="0"/>
        <w:ind w:firstLine="720"/>
        <w:jc w:val="left"/>
      </w:pPr>
      <w:r>
        <w:rPr>
          <w:rFonts w:ascii="Times New Roman" w:hAnsi="Times New Roman" w:eastAsia="Times New Roman" w:cs="Times New Roman"/>
        </w:rPr>
        <w:t xml:space="preserve">Second, the 2023 estimate has more power (minimum detectable effect 0.019). If acquisition of visual generators in 2023 was as low as text generation (2.1 percent), complete assimilation with</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implies a coefficient of about</w:t>
      </w:r>
      <w:r>
        <w:rPr>
          <w:rFonts w:ascii="Times New Roman" w:hAnsi="Times New Roman" w:eastAsia="Times New Roman" w:cs="Times New Roman"/>
        </w:rPr>
        <w:t xml:space="preserve"> </w:t>
      </w:r>
      <m:oMath>
        <m:r>
          <m:rPr>
            <m:sty m:val="p"/>
          </m:rPr>
          <m:t>−</m:t>
        </m:r>
        <m:r>
          <m:t>0.002</m:t>
        </m:r>
      </m:oMath>
      <w:r>
        <w:rPr>
          <w:rFonts w:ascii="Times New Roman" w:hAnsi="Times New Roman" w:eastAsia="Times New Roman" w:cs="Times New Roman"/>
        </w:rPr>
        <w:t xml:space="preserve">, and the observed</w:t>
      </w:r>
      <w:r>
        <w:rPr>
          <w:rFonts w:ascii="Times New Roman" w:hAnsi="Times New Roman" w:eastAsia="Times New Roman" w:cs="Times New Roman"/>
        </w:rPr>
        <w:t xml:space="preserve"> </w:t>
      </w:r>
      <m:oMath>
        <m:r>
          <m:rPr>
            <m:sty m:val="p"/>
          </m:rPr>
          <m:t>−</m:t>
        </m:r>
        <m:r>
          <m:t>0.022</m:t>
        </m:r>
      </m:oMath>
      <w:r>
        <w:rPr>
          <w:rFonts w:ascii="Times New Roman" w:hAnsi="Times New Roman" w:eastAsia="Times New Roman" w:cs="Times New Roman"/>
        </w:rPr>
        <w:t xml:space="preserve"> </w:t>
      </w:r>
      <w:r>
        <w:rPr>
          <w:rFonts w:ascii="Times New Roman" w:hAnsi="Times New Roman" w:eastAsia="Times New Roman" w:cs="Times New Roman"/>
        </w:rPr>
        <w:t xml:space="preserve">differs from it significantly (</w:t>
      </w:r>
      <m:oMath>
        <m:r>
          <m:t>z</m:t>
        </m:r>
        <m:r>
          <m:rPr>
            <m:sty m:val="p"/>
          </m:rPr>
          <m:t>=</m:t>
        </m:r>
        <m:r>
          <m:t>2.9</m:t>
        </m:r>
      </m:oMath>
      <w:r>
        <w:rPr>
          <w:rFonts w:ascii="Times New Roman" w:hAnsi="Times New Roman" w:eastAsia="Times New Roman" w:cs="Times New Roman"/>
        </w:rPr>
        <w:t xml:space="preserve">). The 2023 gradient therefore cannot be dismissed as too small to matter, but neither can it be attributed to generative visual AI. Exposed occupations were already declining relative to others before 2022 (the 2019 coefficient is</w:t>
      </w:r>
      <w:r>
        <w:rPr>
          <w:rFonts w:ascii="Times New Roman" w:hAnsi="Times New Roman" w:eastAsia="Times New Roman" w:cs="Times New Roman"/>
        </w:rPr>
        <w:t xml:space="preserve"> </w:t>
      </w:r>
      <m:oMath>
        <m:r>
          <m:rPr>
            <m:sty m:val="p"/>
          </m:rPr>
          <m:t>+</m:t>
        </m:r>
        <m:r>
          <m:t>0.024</m:t>
        </m:r>
      </m:oMath>
      <w:r>
        <w:rPr>
          <w:rFonts w:ascii="Times New Roman" w:hAnsi="Times New Roman" w:eastAsia="Times New Roman" w:cs="Times New Roman"/>
        </w:rPr>
        <w:t xml:space="preserve">), and relative to the extrapolated trend the 2023 gradient is</w:t>
      </w:r>
      <w:r>
        <w:rPr>
          <w:rFonts w:ascii="Times New Roman" w:hAnsi="Times New Roman" w:eastAsia="Times New Roman" w:cs="Times New Roman"/>
        </w:rPr>
        <w:t xml:space="preserve"> </w:t>
      </w:r>
      <m:oMath>
        <m:r>
          <m:rPr>
            <m:sty m:val="p"/>
          </m:rPr>
          <m:t>−</m:t>
        </m:r>
        <m:r>
          <m:t>0.017</m:t>
        </m:r>
      </m:oMath>
      <w:r>
        <w:rPr>
          <w:rFonts w:ascii="Times New Roman" w:hAnsi="Times New Roman" w:eastAsia="Times New Roman" w:cs="Times New Roman"/>
        </w:rPr>
        <w:t xml:space="preserve"> </w:t>
      </w:r>
      <w:r>
        <w:rPr>
          <w:rFonts w:ascii="Times New Roman" w:hAnsi="Times New Roman" w:eastAsia="Times New Roman" w:cs="Times New Roman"/>
        </w:rPr>
        <w:t xml:space="preserve">(0.012), which we cannot distinguish from zero. Under rule (iii) we classify the gradient as not attributable to generative visual AI on these data. The Canadian series has standard errors of 0.013 to 0.043 per standard deviation after 2022, corresponding for the most exposed unit group (7.1 standard deviations above the mean) to a minimum detectable log change of about 0.25 to 0.85, and is uninformative at any plausible acquisition rate.</w:t>
      </w:r>
    </w:p>
    <w:bookmarkEnd w:id="34"/>
    <w:bookmarkStart w:id="35" w:name="further-designs"/>
    <w:p>
      <w:pPr>
        <w:pStyle w:val="Heading3"/>
      </w:pPr>
      <w:r>
        <w:rPr>
          <w:rFonts w:ascii="Times New Roman" w:hAnsi="Times New Roman" w:eastAsia="Times New Roman" w:cs="Times New Roman"/>
        </w:rPr>
        <w:t xml:space="preserve">7.3 Further Designs</w:t>
      </w:r>
    </w:p>
    <w:p>
      <w:pPr>
        <w:pStyle w:val="FirstParagraph"/>
        <w:spacing w:line="480" w:lineRule="auto" w:after="0" w:before="0"/>
        <w:ind w:firstLine="720"/>
        <w:jc w:val="left"/>
      </w:pPr>
      <w:r>
        <w:rPr>
          <w:rFonts w:ascii="Times New Roman" w:hAnsi="Times New Roman" w:eastAsia="Times New Roman" w:cs="Times New Roman"/>
        </w:rPr>
        <w:t xml:space="preserve">Three further designs add little power and are reported in full in the supplement. European employment in creative industries (film and video production, advertising, design and photography) rose by 0.09 log points more than in other industries between 2019–2021 and 2023–2025 (randomization</w:t>
      </w:r>
      <w:r>
        <w:rPr>
          <w:rFonts w:ascii="Times New Roman" w:hAnsi="Times New Roman" w:eastAsia="Times New Roman" w:cs="Times New Roman"/>
        </w:rPr>
        <w:t xml:space="preserve"> </w:t>
      </w:r>
      <m:oMath>
        <m:r>
          <m:t>p</m:t>
        </m:r>
        <m:r>
          <m:rPr>
            <m:sty m:val="p"/>
          </m:rPr>
          <m:t>=</m:t>
        </m:r>
        <m:r>
          <m:t>0.18</m:t>
        </m:r>
      </m:oMath>
      <w:r>
        <w:rPr>
          <w:rFonts w:ascii="Times New Roman" w:hAnsi="Times New Roman" w:eastAsia="Times New Roman" w:cs="Times New Roman"/>
        </w:rPr>
        <w:t xml:space="preserve">), while US postings in arts, media, and marketing fell less than in software development. A dose-response test interacting exposure with country-level acquisition gives</w:t>
      </w:r>
      <w:r>
        <w:rPr>
          <w:rFonts w:ascii="Times New Roman" w:hAnsi="Times New Roman" w:eastAsia="Times New Roman" w:cs="Times New Roman"/>
        </w:rPr>
        <w:t xml:space="preserve"> </w:t>
      </w:r>
      <m:oMath>
        <m:r>
          <m:rPr>
            <m:sty m:val="p"/>
          </m:rPr>
          <m:t>+</m:t>
        </m:r>
        <m:r>
          <m:t>0.002</m:t>
        </m:r>
      </m:oMath>
      <w:r>
        <w:rPr>
          <w:rFonts w:ascii="Times New Roman" w:hAnsi="Times New Roman" w:eastAsia="Times New Roman" w:cs="Times New Roman"/>
        </w:rPr>
        <w:t xml:space="preserve"> </w:t>
      </w:r>
      <w:r>
        <w:rPr>
          <w:rFonts w:ascii="Times New Roman" w:hAnsi="Times New Roman" w:eastAsia="Times New Roman" w:cs="Times New Roman"/>
        </w:rPr>
        <w:t xml:space="preserve">(standard error 0.006) in 2023 and</w:t>
      </w:r>
      <w:r>
        <w:rPr>
          <w:rFonts w:ascii="Times New Roman" w:hAnsi="Times New Roman" w:eastAsia="Times New Roman" w:cs="Times New Roman"/>
        </w:rPr>
        <w:t xml:space="preserve"> </w:t>
      </w:r>
      <m:oMath>
        <m:r>
          <m:rPr>
            <m:sty m:val="p"/>
          </m:rPr>
          <m:t>−</m:t>
        </m:r>
        <m:r>
          <m:t>0.021</m:t>
        </m:r>
      </m:oMath>
      <w:r>
        <w:rPr>
          <w:rFonts w:ascii="Times New Roman" w:hAnsi="Times New Roman" w:eastAsia="Times New Roman" w:cs="Times New Roman"/>
        </w:rPr>
        <w:t xml:space="preserve"> </w:t>
      </w:r>
      <w:r>
        <w:rPr>
          <w:rFonts w:ascii="Times New Roman" w:hAnsi="Times New Roman" w:eastAsia="Times New Roman" w:cs="Times New Roman"/>
        </w:rPr>
        <w:t xml:space="preserve">(0.018) in 2024, whereas complete assimilation at</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predicts only about</w:t>
      </w:r>
      <w:r>
        <w:rPr>
          <w:rFonts w:ascii="Times New Roman" w:hAnsi="Times New Roman" w:eastAsia="Times New Roman" w:cs="Times New Roman"/>
        </w:rPr>
        <w:t xml:space="preserve"> </w:t>
      </w:r>
      <m:oMath>
        <m:r>
          <m:rPr>
            <m:sty m:val="p"/>
          </m:rPr>
          <m:t>−</m:t>
        </m:r>
        <m:r>
          <m:t>0.005</m:t>
        </m:r>
      </m:oMath>
      <w:r>
        <w:rPr>
          <w:rFonts w:ascii="Times New Roman" w:hAnsi="Times New Roman" w:eastAsia="Times New Roman" w:cs="Times New Roman"/>
        </w:rPr>
        <w:t xml:space="preserve">, far below the standard error. And in 258 country-sector cells, sectors with higher acquisition had higher employment growth (0.051 log points per standard deviation, standard error 0.009), but the same relation holds before the technology (0.049, difference 0.002 with standard error 0.010). Acquisition marks growing, digitally intensive sectors rather than displacement, and none of the designs can reveal the assimilation margin.</w:t>
      </w:r>
    </w:p>
    <w:bookmarkEnd w:id="35"/>
    <w:bookmarkStart w:id="36" w:name="evidence-from-job-advert-text"/>
    <w:p>
      <w:pPr>
        <w:pStyle w:val="Heading3"/>
      </w:pPr>
      <w:r>
        <w:rPr>
          <w:rFonts w:ascii="Times New Roman" w:hAnsi="Times New Roman" w:eastAsia="Times New Roman" w:cs="Times New Roman"/>
        </w:rPr>
        <w:t xml:space="preserve">7.4 Evidence from Job-Advert Text</w:t>
      </w:r>
    </w:p>
    <w:p>
      <w:pPr>
        <w:pStyle w:val="FirstParagraph"/>
        <w:spacing w:line="480" w:lineRule="auto" w:after="0" w:before="0"/>
        <w:ind w:firstLine="720"/>
        <w:jc w:val="left"/>
      </w:pPr>
      <w:r>
        <w:rPr>
          <w:rFonts w:ascii="Times New Roman" w:hAnsi="Times New Roman" w:eastAsia="Times New Roman" w:cs="Times New Roman"/>
        </w:rPr>
        <w:t xml:space="preserve">Advert text can show what employers ask of the people they hire. We use the schema.org JobPosting markup that Common Crawl collected and Web Data Commons (2024) published for three crawls (December 2022, 2023, and 2024), which contain 4.8, 4.6, and 4.0 million postings. We identify visual-production roles with a multilingual title filter followed by language-model classification of unique titles, and grade postings by whether generative AI tools are absent, mentioned, or required. Visual-production postings number 30,728, 28,138, and 24,478 in the three crawls. Postings that mention generative AI tools rise from 11 in 2022 to 176 in 2023 and 721 in 2024, and postings that require them from none to 24 and 50. In 2024, then, about 3 percent of visual-production postings mention generative AI tools and about 0.2 percent require them, while 9.6 percent of EU enterprises report using generative visual AI. The populations and measures differ, because a posting reveals demanded skills, not reassigned tasks, but the contrast is consistent with the gap our theory describes.</w:t>
      </w:r>
    </w:p>
    <w:p>
      <w:pPr>
        <w:pStyle w:val="BodyText"/>
        <w:spacing w:line="480" w:lineRule="auto" w:after="0" w:before="0"/>
        <w:ind w:firstLine="720"/>
        <w:jc w:val="left"/>
      </w:pPr>
      <w:r>
        <w:rPr>
          <w:rFonts w:ascii="Times New Roman" w:hAnsi="Times New Roman" w:eastAsia="Times New Roman" w:cs="Times New Roman"/>
        </w:rPr>
        <w:t xml:space="preserve">We also tried to use the postings to test H3 and report the attempt because it fails instructively. We call an employer an acquirer if generative AI tools appear in any of its non-visual postings, and treat compliance, legal, privacy, and AI-governance roles as indicators of complementary assets. Among 3,388 employers that posted visual-production roles in 2022, the interaction of acquirer status and complements on the change in the share of visual postings is</w:t>
      </w:r>
      <w:r>
        <w:rPr>
          <w:rFonts w:ascii="Times New Roman" w:hAnsi="Times New Roman" w:eastAsia="Times New Roman" w:cs="Times New Roman"/>
        </w:rPr>
        <w:t xml:space="preserve"> </w:t>
      </w:r>
      <m:oMath>
        <m:r>
          <m:rPr>
            <m:sty m:val="p"/>
          </m:rPr>
          <m:t>−</m:t>
        </m:r>
        <m:r>
          <m:t>1.9</m:t>
        </m:r>
      </m:oMath>
      <w:r>
        <w:rPr>
          <w:rFonts w:ascii="Times New Roman" w:hAnsi="Times New Roman" w:eastAsia="Times New Roman" w:cs="Times New Roman"/>
        </w:rPr>
        <w:t xml:space="preserve"> </w:t>
      </w:r>
      <w:r>
        <w:rPr>
          <w:rFonts w:ascii="Times New Roman" w:hAnsi="Times New Roman" w:eastAsia="Times New Roman" w:cs="Times New Roman"/>
        </w:rPr>
        <w:t xml:space="preserve">percentage points (standard error 1.0) between 2022 and 2024, the sign H3 predicts. But the same interaction is</w:t>
      </w:r>
      <w:r>
        <w:rPr>
          <w:rFonts w:ascii="Times New Roman" w:hAnsi="Times New Roman" w:eastAsia="Times New Roman" w:cs="Times New Roman"/>
        </w:rPr>
        <w:t xml:space="preserve"> </w:t>
      </w:r>
      <m:oMath>
        <m:r>
          <m:rPr>
            <m:sty m:val="p"/>
          </m:rPr>
          <m:t>−</m:t>
        </m:r>
        <m:r>
          <m:t>2.4</m:t>
        </m:r>
      </m:oMath>
      <w:r>
        <w:rPr>
          <w:rFonts w:ascii="Times New Roman" w:hAnsi="Times New Roman" w:eastAsia="Times New Roman" w:cs="Times New Roman"/>
        </w:rPr>
        <w:t xml:space="preserve"> </w:t>
      </w:r>
      <w:r>
        <w:rPr>
          <w:rFonts w:ascii="Times New Roman" w:hAnsi="Times New Roman" w:eastAsia="Times New Roman" w:cs="Times New Roman"/>
        </w:rPr>
        <w:t xml:space="preserve">points (0.9) for 2022 to 2023, before generative tools were widely acquired, so it cannot be a consequence of acquisition. A crawl records the stock of live postings, not hires, employers are matched by name, and acquirer status and complements are inferred from keywords. The evidence supports the descriptive point and nothing stronger.</w:t>
      </w:r>
    </w:p>
    <w:bookmarkEnd w:id="36"/>
    <w:bookmarkEnd w:id="37"/>
    <w:bookmarkStart w:id="38" w:name="X2061958f846d060753ea4141165ee0cf5000e1a"/>
    <w:p>
      <w:pPr>
        <w:pStyle w:val="Heading2"/>
      </w:pPr>
      <w:r>
        <w:rPr>
          <w:rFonts w:ascii="Times New Roman" w:hAnsi="Times New Roman" w:eastAsia="Times New Roman" w:cs="Times New Roman"/>
        </w:rPr>
        <w:t xml:space="preserve">8 When Will Occupation-Level Data Become Informative?</w:t>
      </w:r>
    </w:p>
    <w:p>
      <w:pPr>
        <w:pStyle w:val="FirstParagraph"/>
        <w:spacing w:line="480" w:lineRule="auto" w:after="0" w:before="0"/>
        <w:ind w:firstLine="720"/>
        <w:jc w:val="left"/>
      </w:pPr>
      <w:r>
        <w:rPr>
          <w:rFonts w:ascii="Times New Roman" w:hAnsi="Times New Roman" w:eastAsia="Times New Roman" w:cs="Times New Roman"/>
        </w:rPr>
        <w:t xml:space="preserve">Equation (4) also tells us when the European design would gain the power to detect complete assimilation. Holding the 2024 standard error fixed, detection for an occupation at</w:t>
      </w:r>
      <w:r>
        <w:rPr>
          <w:rFonts w:ascii="Times New Roman" w:hAnsi="Times New Roman" w:eastAsia="Times New Roman" w:cs="Times New Roman"/>
        </w:rPr>
        <w:t xml:space="preserve"> </w:t>
      </w:r>
      <m:oMath>
        <m:r>
          <m:t>k</m:t>
        </m:r>
        <m:r>
          <m:rPr>
            <m:sty m:val="p"/>
          </m:rPr>
          <m:t>=</m:t>
        </m:r>
        <m:r>
          <m:t>5.3</m:t>
        </m:r>
      </m:oMath>
      <w:r>
        <w:rPr>
          <w:rFonts w:ascii="Times New Roman" w:hAnsi="Times New Roman" w:eastAsia="Times New Roman" w:cs="Times New Roman"/>
        </w:rPr>
        <w:t xml:space="preserve"> </w:t>
      </w:r>
      <w:r>
        <w:rPr>
          <w:rFonts w:ascii="Times New Roman" w:hAnsi="Times New Roman" w:eastAsia="Times New Roman" w:cs="Times New Roman"/>
        </w:rPr>
        <w:t xml:space="preserve">requires</w:t>
      </w:r>
      <w:r>
        <w:rPr>
          <w:rFonts w:ascii="Times New Roman" w:hAnsi="Times New Roman" w:eastAsia="Times New Roman" w:cs="Times New Roman"/>
        </w:rPr>
        <w:t xml:space="preserve"> </w:t>
      </w:r>
      <m:oMath>
        <m:d>
          <m:dPr>
            <m:begChr m:val="|"/>
            <m:endChr m:val="|"/>
            <m:sepChr m:val=""/>
            <m:grow/>
          </m:dPr>
          <m:e>
            <m:sSup>
              <m:e>
                <m:r>
                  <m:t>A</m:t>
                </m:r>
              </m:e>
              <m:sup>
                <m:r>
                  <m:t>a</m:t>
                </m:r>
              </m:sup>
            </m:sSup>
            <m:r>
              <m:rPr>
                <m:sty m:val="p"/>
              </m:rPr>
              <m:t>⋅</m:t>
            </m:r>
            <m:r>
              <m:t>β</m:t>
            </m:r>
          </m:e>
        </m:d>
        <m:r>
          <m:rPr>
            <m:sty m:val="p"/>
          </m:rPr>
          <m:t>≥</m:t>
        </m:r>
        <m:r>
          <m:t>0.27</m:t>
        </m:r>
      </m:oMath>
      <w:r>
        <w:rPr>
          <w:rFonts w:ascii="Times New Roman" w:hAnsi="Times New Roman" w:eastAsia="Times New Roman" w:cs="Times New Roman"/>
        </w:rPr>
        <w:t xml:space="preserve">. With</w:t>
      </w:r>
      <w:r>
        <w:rPr>
          <w:rFonts w:ascii="Times New Roman" w:hAnsi="Times New Roman" w:eastAsia="Times New Roman" w:cs="Times New Roman"/>
        </w:rPr>
        <w:t xml:space="preserve"> </w:t>
      </w:r>
      <m:oMath>
        <m:r>
          <m:t>β</m:t>
        </m:r>
        <m:r>
          <m:rPr>
            <m:sty m:val="p"/>
          </m:rPr>
          <m:t>=</m:t>
        </m:r>
        <m:r>
          <m:rPr>
            <m:sty m:val="p"/>
          </m:rPr>
          <m:t>−</m:t>
        </m:r>
        <m:r>
          <m:t>0.19</m:t>
        </m:r>
      </m:oMath>
      <w:r>
        <w:rPr>
          <w:rFonts w:ascii="Times New Roman" w:hAnsi="Times New Roman" w:eastAsia="Times New Roman" w:cs="Times New Roman"/>
        </w:rPr>
        <w:t xml:space="preserve"> </w:t>
      </w:r>
      <w:r>
        <w:rPr>
          <w:rFonts w:ascii="Times New Roman" w:hAnsi="Times New Roman" w:eastAsia="Times New Roman" w:cs="Times New Roman"/>
        </w:rPr>
        <w:t xml:space="preserve">this cannot occur even at full assimilation. With</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it requires</w:t>
      </w:r>
      <w:r>
        <w:rPr>
          <w:rFonts w:ascii="Times New Roman" w:hAnsi="Times New Roman" w:eastAsia="Times New Roman" w:cs="Times New Roman"/>
        </w:rPr>
        <w:t xml:space="preserve"> </w:t>
      </w:r>
      <m:oMath>
        <m:sSup>
          <m:e>
            <m:r>
              <m:t>A</m:t>
            </m:r>
          </m:e>
          <m:sup>
            <m:r>
              <m:t>a</m:t>
            </m:r>
          </m:sup>
        </m:sSup>
        <m:r>
          <m:rPr>
            <m:sty m:val="p"/>
          </m:rPr>
          <m:t>≥</m:t>
        </m:r>
        <m:r>
          <m:t>0.53</m:t>
        </m:r>
      </m:oMath>
      <w:r>
        <w:rPr>
          <w:rFonts w:ascii="Times New Roman" w:hAnsi="Times New Roman" w:eastAsia="Times New Roman" w:cs="Times New Roman"/>
        </w:rPr>
        <w:t xml:space="preserve">, and with</w:t>
      </w:r>
      <w:r>
        <w:rPr>
          <w:rFonts w:ascii="Times New Roman" w:hAnsi="Times New Roman" w:eastAsia="Times New Roman" w:cs="Times New Roman"/>
        </w:rPr>
        <w:t xml:space="preserve"> </w:t>
      </w:r>
      <m:oMath>
        <m:r>
          <m:t>β</m:t>
        </m:r>
        <m:r>
          <m:rPr>
            <m:sty m:val="p"/>
          </m:rPr>
          <m:t>=</m:t>
        </m:r>
        <m:r>
          <m:rPr>
            <m:sty m:val="p"/>
          </m:rPr>
          <m:t>−</m:t>
        </m:r>
        <m:r>
          <m:t>0.8</m:t>
        </m:r>
      </m:oMath>
      <w:r>
        <w:rPr>
          <w:rFonts w:ascii="Times New Roman" w:hAnsi="Times New Roman" w:eastAsia="Times New Roman" w:cs="Times New Roman"/>
        </w:rPr>
        <w:t xml:space="preserve"> </w:t>
      </w:r>
      <w:r>
        <w:rPr>
          <w:rFonts w:ascii="Times New Roman" w:hAnsi="Times New Roman" w:eastAsia="Times New Roman" w:cs="Times New Roman"/>
        </w:rPr>
        <w:t xml:space="preserve">(a 55 percent fall among assimilators),</w:t>
      </w:r>
      <w:r>
        <w:rPr>
          <w:rFonts w:ascii="Times New Roman" w:hAnsi="Times New Roman" w:eastAsia="Times New Roman" w:cs="Times New Roman"/>
        </w:rPr>
        <w:t xml:space="preserve"> </w:t>
      </w:r>
      <m:oMath>
        <m:sSup>
          <m:e>
            <m:r>
              <m:t>A</m:t>
            </m:r>
          </m:e>
          <m:sup>
            <m:r>
              <m:t>a</m:t>
            </m:r>
          </m:sup>
        </m:sSup>
        <m:r>
          <m:rPr>
            <m:sty m:val="p"/>
          </m:rPr>
          <m:t>≥</m:t>
        </m:r>
        <m:r>
          <m:t>0.33</m:t>
        </m:r>
      </m:oMath>
      <w:r>
        <w:rPr>
          <w:rFonts w:ascii="Times New Roman" w:hAnsi="Times New Roman" w:eastAsia="Times New Roman" w:cs="Times New Roman"/>
        </w:rPr>
        <w:t xml:space="preserve">. If the log-odds of acquisition continue to rise at the 2023–2025 pace of text generation (about 0.75 per year), the earliest year in which the required share is reached is 2029 for</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w:t>
      </w:r>
      <w:r>
        <w:rPr>
          <w:rFonts w:ascii="Times New Roman" w:hAnsi="Times New Roman" w:eastAsia="Times New Roman" w:cs="Times New Roman"/>
        </w:rPr>
        <w:t xml:space="preserve">and 2028 for</w:t>
      </w:r>
      <w:r>
        <w:rPr>
          <w:rFonts w:ascii="Times New Roman" w:hAnsi="Times New Roman" w:eastAsia="Times New Roman" w:cs="Times New Roman"/>
        </w:rPr>
        <w:t xml:space="preserve"> </w:t>
      </w:r>
      <m:oMath>
        <m:r>
          <m:t>β</m:t>
        </m:r>
        <m:r>
          <m:rPr>
            <m:sty m:val="p"/>
          </m:rPr>
          <m:t>=</m:t>
        </m:r>
        <m:r>
          <m:rPr>
            <m:sty m:val="p"/>
          </m:rPr>
          <m:t>−</m:t>
        </m:r>
        <m:r>
          <m:t>0.8</m:t>
        </m:r>
      </m:oMath>
      <w:r>
        <w:rPr>
          <w:rFonts w:ascii="Times New Roman" w:hAnsi="Times New Roman" w:eastAsia="Times New Roman" w:cs="Times New Roman"/>
        </w:rPr>
        <w:t xml:space="preserve"> </w:t>
      </w:r>
      <w:r>
        <w:rPr>
          <w:rFonts w:ascii="Times New Roman" w:hAnsi="Times New Roman" w:eastAsia="Times New Roman" w:cs="Times New Roman"/>
        </w:rPr>
        <w:t xml:space="preserve">in the average firm; at one-third of that pace the years are 2035 and 2032 (supplement, Table S1). In publishing, film, and broadcasting, where acquisition already stands at 36 percent, the corresponding dates are 2026 to 2028 for</w:t>
      </w:r>
      <w:r>
        <w:rPr>
          <w:rFonts w:ascii="Times New Roman" w:hAnsi="Times New Roman" w:eastAsia="Times New Roman" w:cs="Times New Roman"/>
        </w:rPr>
        <w:t xml:space="preserve"> </w:t>
      </w:r>
      <m:oMath>
        <m:r>
          <m:t>β</m:t>
        </m:r>
        <m:r>
          <m:rPr>
            <m:sty m:val="p"/>
          </m:rPr>
          <m:t>=</m:t>
        </m:r>
        <m:r>
          <m:rPr>
            <m:sty m:val="p"/>
          </m:rPr>
          <m:t>−</m:t>
        </m:r>
        <m:r>
          <m:t>0.5</m:t>
        </m:r>
      </m:oMath>
      <w:r>
        <w:rPr>
          <w:rFonts w:ascii="Times New Roman" w:hAnsi="Times New Roman" w:eastAsia="Times New Roman" w:cs="Times New Roman"/>
        </w:rPr>
        <w:t xml:space="preserve">, and the requirement for</w:t>
      </w:r>
      <w:r>
        <w:rPr>
          <w:rFonts w:ascii="Times New Roman" w:hAnsi="Times New Roman" w:eastAsia="Times New Roman" w:cs="Times New Roman"/>
        </w:rPr>
        <w:t xml:space="preserve"> </w:t>
      </w:r>
      <m:oMath>
        <m:r>
          <m:t>β</m:t>
        </m:r>
        <m:r>
          <m:rPr>
            <m:sty m:val="p"/>
          </m:rPr>
          <m:t>=</m:t>
        </m:r>
        <m:r>
          <m:rPr>
            <m:sty m:val="p"/>
          </m:rPr>
          <m:t>−</m:t>
        </m:r>
        <m:r>
          <m:t>0.8</m:t>
        </m:r>
      </m:oMath>
      <w:r>
        <w:rPr>
          <w:rFonts w:ascii="Times New Roman" w:hAnsi="Times New Roman" w:eastAsia="Times New Roman" w:cs="Times New Roman"/>
        </w:rPr>
        <w:t xml:space="preserve"> </w:t>
      </w:r>
      <w:r>
        <w:rPr>
          <w:rFonts w:ascii="Times New Roman" w:hAnsi="Times New Roman" w:eastAsia="Times New Roman" w:cs="Times New Roman"/>
        </w:rPr>
        <w:t xml:space="preserve">is already met. Because</w:t>
      </w:r>
      <w:r>
        <w:rPr>
          <w:rFonts w:ascii="Times New Roman" w:hAnsi="Times New Roman" w:eastAsia="Times New Roman" w:cs="Times New Roman"/>
        </w:rPr>
        <w:t xml:space="preserve"> </w:t>
      </w:r>
      <m:oMath>
        <m:sSup>
          <m:e>
            <m:r>
              <m:t>A</m:t>
            </m:r>
          </m:e>
          <m:sup>
            <m:r>
              <m:t>a</m:t>
            </m:r>
          </m:sup>
        </m:sSup>
        <m:r>
          <m:rPr>
            <m:sty m:val="p"/>
          </m:rPr>
          <m:t>≤</m:t>
        </m:r>
        <m:sSup>
          <m:e>
            <m:r>
              <m:t>A</m:t>
            </m:r>
          </m:e>
          <m:sup>
            <m:r>
              <m:t>u</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and the standard error will change as post-2022 years accumulate, these are the earliest possible dates under the current precision, not a forecast of displacement. Their message is that, for platform-sized effects, aggregate occupational data will remain uninformative for the foreseeable future, and that questions about assimilation in standing occupations will have to be answered with firm-level data.</w:t>
      </w:r>
    </w:p>
    <w:bookmarkEnd w:id="38"/>
    <w:bookmarkStart w:id="39" w:name="a-research-design-for-h3"/>
    <w:p>
      <w:pPr>
        <w:pStyle w:val="Heading2"/>
      </w:pPr>
      <w:r>
        <w:rPr>
          <w:rFonts w:ascii="Times New Roman" w:hAnsi="Times New Roman" w:eastAsia="Times New Roman" w:cs="Times New Roman"/>
        </w:rPr>
        <w:t xml:space="preserve">9 A Research Design for H3</w:t>
      </w:r>
    </w:p>
    <w:p>
      <w:pPr>
        <w:pStyle w:val="FirstParagraph"/>
        <w:spacing w:line="480" w:lineRule="auto" w:after="0" w:before="0"/>
        <w:ind w:firstLine="720"/>
        <w:jc w:val="left"/>
      </w:pPr>
      <w:r>
        <w:rPr>
          <w:rFonts w:ascii="Times New Roman" w:hAnsi="Times New Roman" w:eastAsia="Times New Roman" w:cs="Times New Roman"/>
        </w:rPr>
        <w:t xml:space="preserve">This section is a proposal. We do not have the firm-level data that H3 requires and do not claim to test it. Its purpose is to state the design precisely enough that the claims in Section 3.3 can be refuted.</w:t>
      </w:r>
    </w:p>
    <w:p>
      <w:pPr>
        <w:pStyle w:val="BodyText"/>
        <w:spacing w:line="480" w:lineRule="auto" w:after="0" w:before="0"/>
        <w:ind w:firstLine="720"/>
        <w:jc w:val="left"/>
      </w:pPr>
      <w:r>
        <w:rPr>
          <w:rFonts w:ascii="Times New Roman" w:hAnsi="Times New Roman" w:eastAsia="Times New Roman" w:cs="Times New Roman"/>
        </w:rPr>
        <w:t xml:space="preserve">The accounts in Table 1 differ in what they predict for firms that report use, so the design needs four linked firm-level measures: reported use of visual generators, the stock of complementary assets, task reassignment for visual production, and hiring for visual occupations. Several sources could supply them. Eurostat ICT-usage microdata can be linked to employer–employee registers in some member states. Online job advertisements that carry employer identifiers can record hiring and requests for generative-AI skills, though Section 7.4 shows that advert text alone does not identify the mechanism. And a purpose-built survey of acquiring firms can measure the three assets and the share of visual tasks reassigned. The closest existing evidence comes from Denmark, where Humlum and Vestergaard (2025) link surveys on chatbot use, employer policies, and time savings to administrative earnings and hours. Employer encouragement and training raise adoption, and adopters’ earnings and hours show precise zeros, with confidence intervals ruling out effects larger than 1 percent. Their design supplies complements and use, but its outcomes are earnings and hours, not task reassignment and visual hiring, and the data are not public.</w:t>
      </w:r>
    </w:p>
    <w:p>
      <w:pPr>
        <w:pStyle w:val="BodyText"/>
        <w:spacing w:line="480" w:lineRule="auto" w:after="0" w:before="0"/>
        <w:ind w:firstLine="720"/>
        <w:jc w:val="left"/>
      </w:pPr>
      <w:r>
        <w:rPr>
          <w:bCs/>
          <w:rFonts w:ascii="Times New Roman" w:hAnsi="Times New Roman" w:eastAsia="Times New Roman" w:cs="Times New Roman"/>
          <w:b/>
        </w:rPr>
        <w:t xml:space="preserve">Unit and sampling.</w:t>
      </w:r>
      <w:r>
        <w:rPr>
          <w:rFonts w:ascii="Times New Roman" w:hAnsi="Times New Roman" w:eastAsia="Times New Roman" w:cs="Times New Roman"/>
        </w:rPr>
        <w:t xml:space="preserve"> </w:t>
      </w:r>
      <w:r>
        <w:rPr>
          <w:rFonts w:ascii="Times New Roman" w:hAnsi="Times New Roman" w:eastAsia="Times New Roman" w:cs="Times New Roman"/>
        </w:rPr>
        <w:t xml:space="preserve">The unit is the task within the firm. A survey of firms that report using generative visual tools would list the visual tasks the firm performs (for example, advertising images, product photographs, video storyboards) and ask about each. Only about 10 percent of firms are acquirers overall, and 36 percent in publishing, film, and broadcasting, so the sample should be drawn from high-acquisition sectors and screened. Detecting a difference in reassignment rates of 10 versus 25 percent between firms with low and high review capacity needs about 96 firms per group at a 5 percent significance level and 80 percent power (195 per group for 10 versus 20 percent), before any adjustment for clustering of tasks within firms. Screening roughly 550 firms in a high-acquisition sector would yield about 200 acquirers.</w:t>
      </w:r>
    </w:p>
    <w:p>
      <w:pPr>
        <w:pStyle w:val="BodyText"/>
        <w:spacing w:line="480" w:lineRule="auto" w:after="0" w:before="0"/>
        <w:ind w:firstLine="720"/>
        <w:jc w:val="left"/>
      </w:pPr>
      <w:r>
        <w:rPr>
          <w:bCs/>
          <w:rFonts w:ascii="Times New Roman" w:hAnsi="Times New Roman" w:eastAsia="Times New Roman" w:cs="Times New Roman"/>
          <w:b/>
        </w:rPr>
        <w:t xml:space="preserve">Measures.</w:t>
      </w:r>
      <w:r>
        <w:rPr>
          <w:rFonts w:ascii="Times New Roman" w:hAnsi="Times New Roman" w:eastAsia="Times New Roman" w:cs="Times New Roman"/>
        </w:rPr>
        <w:t xml:space="preserve"> </w:t>
      </w:r>
      <w:r>
        <w:rPr>
          <w:rFonts w:ascii="Times New Roman" w:hAnsi="Times New Roman" w:eastAsia="Times New Roman" w:cs="Times New Roman"/>
        </w:rPr>
        <w:t xml:space="preserve">Complementary assets are measured as three separate stocks so that the account can be refuted if one of them matters and the others do not (Table 6).</w:t>
      </w:r>
    </w:p>
    <w:p>
      <w:pPr>
        <w:pStyle w:val="BodyText"/>
        <w:spacing w:line="240" w:lineRule="auto" w:after="120" w:before="0"/>
        <w:ind w:firstLine="0"/>
        <w:jc w:val="left"/>
      </w:pPr>
      <w:r>
        <w:rPr>
          <w:bCs/>
          <w:rFonts w:ascii="Times New Roman" w:hAnsi="Times New Roman" w:eastAsia="Times New Roman" w:cs="Times New Roman"/>
          <w:b/>
        </w:rPr>
        <w:t xml:space="preserve">Table 6. Constructs for the proposed firm-level test</w:t>
      </w:r>
    </w:p>
    <w:tbl>
      <w:tblPr>
        <w:tblStyle w:val="Table"/>
        <w:tblW w:type="pct" w:w="5000"/>
        <w:tblLook w:firstRow="1" w:lastRow="0" w:firstColumn="0" w:lastColumn="0" w:noHBand="0" w:noVBand="0" w:val="0020"/>
        <w:jc w:val="start"/>
        <w:tblBorders>
          <w:top w:val="single" w:sz="8" w:color="000000"/>
          <w:bottom w:val="single" w:sz="8" w:color="000000"/>
        </w:tblBorders>
      </w:tblPr>
      <w:tblGrid>
        <w:gridCol w:w="2640"/>
        <w:gridCol w:w="2640"/>
        <w:gridCol w:w="2640"/>
      </w:tblGrid>
      <w:tr>
        <w:trPr>
          <w:tblHeader w:val="true"/>
        </w:trPr>
        <w:tc>
          <w:tcPr>
            <w:tcBorders>
              <w:bottom w:val="single" w:sz="6" w:color="000000"/>
            </w:tcBorders>
          </w:tcPr>
          <w:p>
            <w:pPr>
              <w:pStyle w:val="Compact"/>
              <w:spacing w:line="240" w:lineRule="auto" w:after="40"/>
              <w:ind w:firstLine="0"/>
              <w:jc w:val="left"/>
            </w:pPr>
            <w:r>
              <w:rPr>
                <w:rFonts w:ascii="Times New Roman" w:hAnsi="Times New Roman"/>
                <w:b/>
                <w:sz w:val="19"/>
              </w:rPr>
              <w:t xml:space="preserve">Construct</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Item (illustrative)</w:t>
            </w:r>
          </w:p>
        </w:tc>
        <w:tc>
          <w:tcPr>
            <w:tcBorders>
              <w:bottom w:val="single" w:sz="6" w:color="000000"/>
            </w:tcBorders>
          </w:tcPr>
          <w:p>
            <w:pPr>
              <w:pStyle w:val="Compact"/>
              <w:spacing w:line="240" w:lineRule="auto" w:after="40"/>
              <w:ind w:firstLine="0"/>
              <w:jc w:val="left"/>
            </w:pPr>
            <w:r>
              <w:rPr>
                <w:rFonts w:ascii="Times New Roman" w:hAnsi="Times New Roman"/>
                <w:b/>
                <w:sz w:val="19"/>
              </w:rPr>
              <w:t xml:space="preserve">Scale</w:t>
            </w:r>
          </w:p>
        </w:tc>
      </w:tr>
      <w:tr>
        <w:tc>
          <w:tcPr/>
          <w:p>
            <w:pPr>
              <w:pStyle w:val="Compact"/>
              <w:spacing w:line="240" w:lineRule="auto" w:after="40"/>
              <w:ind w:firstLine="0"/>
              <w:jc w:val="left"/>
            </w:pPr>
            <w:r>
              <w:rPr>
                <w:rFonts w:ascii="Times New Roman" w:hAnsi="Times New Roman"/>
                <w:sz w:val="19"/>
              </w:rPr>
              <w:t xml:space="preserve">Acquisition</w:t>
            </w:r>
          </w:p>
        </w:tc>
        <w:tc>
          <w:tcPr/>
          <w:p>
            <w:pPr>
              <w:pStyle w:val="Compact"/>
              <w:spacing w:line="240" w:lineRule="auto" w:after="40"/>
              <w:ind w:firstLine="0"/>
              <w:jc w:val="left"/>
            </w:pPr>
            <w:r>
              <w:rPr>
                <w:rFonts w:ascii="Times New Roman" w:hAnsi="Times New Roman"/>
                <w:sz w:val="19"/>
              </w:rPr>
              <w:t xml:space="preserve">Has the firm used a tool that generates images, video, or audio in the past 12 months?</w:t>
            </w:r>
          </w:p>
        </w:tc>
        <w:tc>
          <w:tcPr/>
          <w:p>
            <w:pPr>
              <w:pStyle w:val="Compact"/>
              <w:spacing w:line="240" w:lineRule="auto" w:after="40"/>
              <w:ind w:firstLine="0"/>
              <w:jc w:val="left"/>
            </w:pPr>
            <w:r>
              <w:rPr>
                <w:rFonts w:ascii="Times New Roman" w:hAnsi="Times New Roman"/>
                <w:sz w:val="19"/>
              </w:rPr>
              <w:t xml:space="preserve">Yes/No</w:t>
            </w:r>
          </w:p>
        </w:tc>
      </w:tr>
      <w:tr>
        <w:tc>
          <w:tcPr/>
          <w:p>
            <w:pPr>
              <w:pStyle w:val="Compact"/>
              <w:spacing w:line="240" w:lineRule="auto" w:after="40"/>
              <w:ind w:firstLine="0"/>
              <w:jc w:val="left"/>
            </w:pPr>
            <w:r>
              <w:rPr>
                <w:rFonts w:ascii="Times New Roman" w:hAnsi="Times New Roman"/>
                <w:sz w:val="19"/>
              </w:rPr>
              <w:t xml:space="preserve">Task reassignment</w:t>
            </w:r>
          </w:p>
        </w:tc>
        <w:tc>
          <w:tcPr/>
          <w:p>
            <w:pPr>
              <w:pStyle w:val="Compact"/>
              <w:spacing w:line="240" w:lineRule="auto" w:after="40"/>
              <w:ind w:firstLine="0"/>
              <w:jc w:val="left"/>
            </w:pPr>
            <w:r>
              <w:rPr>
                <w:rFonts w:ascii="Times New Roman" w:hAnsi="Times New Roman"/>
                <w:sz w:val="19"/>
              </w:rPr>
              <w:t xml:space="preserve">For each listed visual task, what share of output in the past 12 months was generated by the tool and used after review, with no human production?</w:t>
            </w:r>
          </w:p>
        </w:tc>
        <w:tc>
          <w:tcPr/>
          <w:p>
            <w:pPr>
              <w:pStyle w:val="Compact"/>
              <w:spacing w:line="240" w:lineRule="auto" w:after="40"/>
              <w:ind w:firstLine="0"/>
              <w:jc w:val="left"/>
            </w:pPr>
            <w:r>
              <w:rPr>
                <w:rFonts w:ascii="Times New Roman" w:hAnsi="Times New Roman"/>
                <w:sz w:val="19"/>
              </w:rPr>
              <w:t xml:space="preserve">0–100% by task</w:t>
            </w:r>
          </w:p>
        </w:tc>
      </w:tr>
      <w:tr>
        <w:tc>
          <w:tcPr/>
          <w:p>
            <w:pPr>
              <w:pStyle w:val="Compact"/>
              <w:spacing w:line="240" w:lineRule="auto" w:after="40"/>
              <w:ind w:firstLine="0"/>
              <w:jc w:val="left"/>
            </w:pPr>
            <w:r>
              <w:rPr>
                <w:rFonts w:ascii="Times New Roman" w:hAnsi="Times New Roman"/>
                <w:sz w:val="19"/>
              </w:rPr>
              <w:t xml:space="preserve">Expertise</w:t>
            </w:r>
          </w:p>
        </w:tc>
        <w:tc>
          <w:tcPr/>
          <w:p>
            <w:pPr>
              <w:pStyle w:val="Compact"/>
              <w:spacing w:line="240" w:lineRule="auto" w:after="40"/>
              <w:ind w:firstLine="0"/>
              <w:jc w:val="left"/>
            </w:pPr>
            <w:r>
              <w:rPr>
                <w:rFonts w:ascii="Times New Roman" w:hAnsi="Times New Roman"/>
                <w:sz w:val="19"/>
              </w:rPr>
              <w:t xml:space="preserve">Does the firm employ staff able to judge whether generated visual output meets brand and quality standards? How many?</w:t>
            </w:r>
          </w:p>
        </w:tc>
        <w:tc>
          <w:tcPr/>
          <w:p>
            <w:pPr>
              <w:pStyle w:val="Compact"/>
              <w:spacing w:line="240" w:lineRule="auto" w:after="40"/>
              <w:ind w:firstLine="0"/>
              <w:jc w:val="left"/>
            </w:pPr>
            <w:r>
              <w:rPr>
                <w:rFonts w:ascii="Times New Roman" w:hAnsi="Times New Roman"/>
                <w:sz w:val="19"/>
              </w:rPr>
              <w:t xml:space="preserve">Count</w:t>
            </w:r>
          </w:p>
        </w:tc>
      </w:tr>
      <w:tr>
        <w:tc>
          <w:tcPr/>
          <w:p>
            <w:pPr>
              <w:pStyle w:val="Compact"/>
              <w:spacing w:line="240" w:lineRule="auto" w:after="40"/>
              <w:ind w:firstLine="0"/>
              <w:jc w:val="left"/>
            </w:pPr>
            <w:r>
              <w:rPr>
                <w:rFonts w:ascii="Times New Roman" w:hAnsi="Times New Roman"/>
                <w:sz w:val="19"/>
              </w:rPr>
              <w:t xml:space="preserve">Review capacity</w:t>
            </w:r>
          </w:p>
        </w:tc>
        <w:tc>
          <w:tcPr/>
          <w:p>
            <w:pPr>
              <w:pStyle w:val="Compact"/>
              <w:spacing w:line="240" w:lineRule="auto" w:after="40"/>
              <w:ind w:firstLine="0"/>
              <w:jc w:val="left"/>
            </w:pPr>
            <w:r>
              <w:rPr>
                <w:rFonts w:ascii="Times New Roman" w:hAnsi="Times New Roman"/>
                <w:sz w:val="19"/>
              </w:rPr>
              <w:t xml:space="preserve">Hours per week allocated to reviewing generated output; a defined review step before publication</w:t>
            </w:r>
          </w:p>
        </w:tc>
        <w:tc>
          <w:tcPr/>
          <w:p>
            <w:pPr>
              <w:pStyle w:val="Compact"/>
              <w:spacing w:line="240" w:lineRule="auto" w:after="40"/>
              <w:ind w:firstLine="0"/>
              <w:jc w:val="left"/>
            </w:pPr>
            <w:r>
              <w:rPr>
                <w:rFonts w:ascii="Times New Roman" w:hAnsi="Times New Roman"/>
                <w:sz w:val="19"/>
              </w:rPr>
              <w:t xml:space="preserve">Hours; Yes/No</w:t>
            </w:r>
          </w:p>
        </w:tc>
      </w:tr>
      <w:tr>
        <w:tc>
          <w:tcPr/>
          <w:p>
            <w:pPr>
              <w:pStyle w:val="Compact"/>
              <w:spacing w:line="240" w:lineRule="auto" w:after="40"/>
              <w:ind w:firstLine="0"/>
              <w:jc w:val="left"/>
            </w:pPr>
            <w:r>
              <w:rPr>
                <w:rFonts w:ascii="Times New Roman" w:hAnsi="Times New Roman"/>
                <w:sz w:val="19"/>
              </w:rPr>
              <w:t xml:space="preserve">Compliance procedures</w:t>
            </w:r>
          </w:p>
        </w:tc>
        <w:tc>
          <w:tcPr/>
          <w:p>
            <w:pPr>
              <w:pStyle w:val="Compact"/>
              <w:spacing w:line="240" w:lineRule="auto" w:after="40"/>
              <w:ind w:firstLine="0"/>
              <w:jc w:val="left"/>
            </w:pPr>
            <w:r>
              <w:rPr>
                <w:rFonts w:ascii="Times New Roman" w:hAnsi="Times New Roman"/>
                <w:sz w:val="19"/>
              </w:rPr>
              <w:t xml:space="preserve">Written policy on copyright, licensing, and personal data in generated content</w:t>
            </w:r>
          </w:p>
        </w:tc>
        <w:tc>
          <w:tcPr/>
          <w:p>
            <w:pPr>
              <w:pStyle w:val="Compact"/>
              <w:spacing w:line="240" w:lineRule="auto" w:after="40"/>
              <w:ind w:firstLine="0"/>
              <w:jc w:val="left"/>
            </w:pPr>
            <w:r>
              <w:rPr>
                <w:rFonts w:ascii="Times New Roman" w:hAnsi="Times New Roman"/>
                <w:sz w:val="19"/>
              </w:rPr>
              <w:t xml:space="preserve">Yes/No</w:t>
            </w:r>
          </w:p>
        </w:tc>
      </w:tr>
      <w:tr>
        <w:tc>
          <w:tcPr/>
          <w:p>
            <w:pPr>
              <w:pStyle w:val="Compact"/>
              <w:spacing w:line="240" w:lineRule="auto" w:after="40"/>
              <w:ind w:firstLine="0"/>
              <w:jc w:val="left"/>
            </w:pPr>
            <w:r>
              <w:rPr>
                <w:rFonts w:ascii="Times New Roman" w:hAnsi="Times New Roman"/>
                <w:sz w:val="19"/>
              </w:rPr>
              <w:t xml:space="preserve">Hiring</w:t>
            </w:r>
          </w:p>
        </w:tc>
        <w:tc>
          <w:tcPr/>
          <w:p>
            <w:pPr>
              <w:pStyle w:val="Compact"/>
              <w:spacing w:line="240" w:lineRule="auto" w:after="40"/>
              <w:ind w:firstLine="0"/>
              <w:jc w:val="left"/>
            </w:pPr>
            <w:r>
              <w:rPr>
                <w:rFonts w:ascii="Times New Roman" w:hAnsi="Times New Roman"/>
                <w:sz w:val="19"/>
              </w:rPr>
              <w:t xml:space="preserve">Postings and hires for visual occupations over 24 months, from linked administrative or advert data</w:t>
            </w:r>
          </w:p>
        </w:tc>
        <w:tc>
          <w:tcPr/>
          <w:p>
            <w:pPr>
              <w:pStyle w:val="Compact"/>
              <w:spacing w:line="240" w:lineRule="auto" w:after="40"/>
              <w:ind w:firstLine="0"/>
              <w:jc w:val="left"/>
            </w:pPr>
            <w:r>
              <w:rPr>
                <w:rFonts w:ascii="Times New Roman" w:hAnsi="Times New Roman"/>
                <w:sz w:val="19"/>
              </w:rPr>
              <w:t xml:space="preserve">Counts</w:t>
            </w:r>
          </w:p>
        </w:tc>
      </w:tr>
    </w:tbl>
    <w:p>
      <w:pPr>
        <w:pStyle w:val="BodyText"/>
        <w:spacing w:line="480" w:lineRule="auto" w:after="0" w:before="0"/>
        <w:ind w:firstLine="720"/>
        <w:jc w:val="left"/>
      </w:pPr>
      <w:r>
        <w:rPr>
          <w:bCs/>
          <w:rFonts w:ascii="Times New Roman" w:hAnsi="Times New Roman" w:eastAsia="Times New Roman" w:cs="Times New Roman"/>
          <w:b/>
        </w:rPr>
        <w:t xml:space="preserve">Identification.</w:t>
      </w:r>
      <w:r>
        <w:rPr>
          <w:rFonts w:ascii="Times New Roman" w:hAnsi="Times New Roman" w:eastAsia="Times New Roman" w:cs="Times New Roman"/>
        </w:rPr>
        <w:t xml:space="preserve"> </w:t>
      </w:r>
      <w:r>
        <w:rPr>
          <w:rFonts w:ascii="Times New Roman" w:hAnsi="Times New Roman" w:eastAsia="Times New Roman" w:cs="Times New Roman"/>
        </w:rPr>
        <w:t xml:space="preserve">Three features make the test one of mechanism and not of association. The task-level structure allows firm fixed effects: within a firm, reassignment should be higher for tasks with lower review cost, such as internal drafts, than for public-facing brand imagery. Asset stocks should be measured, or recalled, as of the date before acquisition where possible, since firms may build review routines after they begin to reassign tasks. And the key prediction is an interaction, in which hiring falls with reassignment only where assets are high. Threats include selection into responding, social-desirability bias in reported compliance, and reverse causation between assets and reassignment, each partly addressed by the within-firm design and by pre-registering the hypotheses.</w:t>
      </w:r>
    </w:p>
    <w:p>
      <w:pPr>
        <w:pStyle w:val="BodyText"/>
        <w:spacing w:line="480" w:lineRule="auto" w:after="0" w:before="0"/>
        <w:ind w:firstLine="720"/>
        <w:jc w:val="left"/>
      </w:pPr>
      <w:r>
        <w:rPr>
          <w:bCs/>
          <w:rFonts w:ascii="Times New Roman" w:hAnsi="Times New Roman" w:eastAsia="Times New Roman" w:cs="Times New Roman"/>
          <w:b/>
        </w:rPr>
        <w:t xml:space="preserve">Predictions and refutation.</w:t>
      </w:r>
      <w:r>
        <w:rPr>
          <w:rFonts w:ascii="Times New Roman" w:hAnsi="Times New Roman" w:eastAsia="Times New Roman" w:cs="Times New Roman"/>
        </w:rPr>
        <w:t xml:space="preserve"> </w:t>
      </w:r>
      <w:r>
        <w:rPr>
          <w:rFonts w:ascii="Times New Roman" w:hAnsi="Times New Roman" w:eastAsia="Times New Roman" w:cs="Times New Roman"/>
        </w:rPr>
        <w:t xml:space="preserve">Under the assimilation gap, reassignment among users is low on average and rises with expertise, review capacity, and compliance procedures, and visual hiring falls, if at all, only among users with high asset stocks. Under complete assimilation, users cut visual hiring relative to non-users regardless of asset stocks. Under offsetting scale effects, users reassign tasks but visual hiring does not fall and their adverts shift toward direction, selection, and review. Under capability failure, users do not reassign tasks even when assets are present. The gap account would be refuted by finding that reassignment among acquirers is high on average, that it does not rise with the three asset stocks, or that hiring falls equally among acquirers with low and high stocks. The conjecture in Section 3.3 would be refuted if the share of acquirers who have reassigned at least one task is no lower for generative visual tools than for comparable earlier technologies surveyed in the same way.</w:t>
      </w:r>
    </w:p>
    <w:bookmarkEnd w:id="39"/>
    <w:bookmarkStart w:id="43" w:name="discussion"/>
    <w:p>
      <w:pPr>
        <w:pStyle w:val="Heading2"/>
      </w:pPr>
      <w:r>
        <w:rPr>
          <w:rFonts w:ascii="Times New Roman" w:hAnsi="Times New Roman" w:eastAsia="Times New Roman" w:cs="Times New Roman"/>
        </w:rPr>
        <w:t xml:space="preserve">10 Discussion</w:t>
      </w:r>
    </w:p>
    <w:bookmarkStart w:id="40" w:name="X8b5d7cb2dd9a2ce0d7f424e3d7c91bdc66a3387"/>
    <w:p>
      <w:pPr>
        <w:pStyle w:val="Heading3"/>
      </w:pPr>
      <w:r>
        <w:rPr>
          <w:rFonts w:ascii="Times New Roman" w:hAnsi="Times New Roman" w:eastAsia="Times New Roman" w:cs="Times New Roman"/>
        </w:rPr>
        <w:t xml:space="preserve">10.1 Contributions to Information Systems Research</w:t>
      </w:r>
    </w:p>
    <w:p>
      <w:pPr>
        <w:pStyle w:val="FirstParagraph"/>
        <w:spacing w:line="480" w:lineRule="auto" w:after="0" w:before="0"/>
        <w:ind w:firstLine="720"/>
        <w:jc w:val="left"/>
      </w:pPr>
      <w:r>
        <w:rPr>
          <w:rFonts w:ascii="Times New Roman" w:hAnsi="Times New Roman" w:eastAsia="Times New Roman" w:cs="Times New Roman"/>
        </w:rPr>
        <w:t xml:space="preserve">Assimilation research was built on technologies that were hard to make work, and it located the gap between acquiring and using them in the knowledge needed to build competence (Attewell, 1992; Fichman and Kemerer, 1999). Generative AI removes much of that barrier, yet it leaves the gap in place, because the bottleneck moves from producing output to judging it. The account developed here gives the gap a precise location: review cost, which depends on expertise, review capacity, and compliance procedures rather than on the model. This adds a mechanism to IT-complementarity research for a class of technologies in which the complement is judgment. Model quality alone cannot substitute for the missing complements; improvements in the generator matter only after those complements have brought review cost below the cost of human production. The account also moves the unit of assimilation from the firm to the task, since two employers with the same tool can differ in which tasks they have reassigned. And it connects two literatures that rarely meet: IS studies of AI inside adopting organizations take use as given (for example, Fügener et al., 2022), and labor-market studies of exposure take the occupation as given. Placing the assimilation step between them clarifies what each can and cannot say.</w:t>
      </w:r>
    </w:p>
    <w:p>
      <w:pPr>
        <w:pStyle w:val="BodyText"/>
        <w:spacing w:line="480" w:lineRule="auto" w:after="0" w:before="0"/>
        <w:ind w:firstLine="720"/>
        <w:jc w:val="left"/>
      </w:pPr>
      <w:r>
        <w:rPr>
          <w:rFonts w:ascii="Times New Roman" w:hAnsi="Times New Roman" w:eastAsia="Times New Roman" w:cs="Times New Roman"/>
        </w:rPr>
        <w:t xml:space="preserve">The account travels beyond visual production through its boundary conditions. Wherever generated output must be judged by taste, brand fit, or legal exposure, as with marketing copy, legal drafting, or design, the model predicts that acquisition runs ahead of reassignment and that reassignment rises with judgment complements. Where output can be checked mechanically, or where the reviewer is the buyer, it predicts a small gap. These are testable differences across tasks and tools, not claims about all generative AI, and our own evidence is limited to the visual case.</w:t>
      </w:r>
    </w:p>
    <w:bookmarkEnd w:id="40"/>
    <w:bookmarkStart w:id="41" w:name="a-methodological-caution"/>
    <w:p>
      <w:pPr>
        <w:pStyle w:val="Heading3"/>
      </w:pPr>
      <w:r>
        <w:rPr>
          <w:rFonts w:ascii="Times New Roman" w:hAnsi="Times New Roman" w:eastAsia="Times New Roman" w:cs="Times New Roman"/>
        </w:rPr>
        <w:t xml:space="preserve">10.2 A Methodological Caution</w:t>
      </w:r>
    </w:p>
    <w:p>
      <w:pPr>
        <w:pStyle w:val="FirstParagraph"/>
        <w:spacing w:line="480" w:lineRule="auto" w:after="0" w:before="0"/>
        <w:ind w:firstLine="720"/>
        <w:jc w:val="left"/>
      </w:pPr>
      <w:r>
        <w:rPr>
          <w:rFonts w:ascii="Times New Roman" w:hAnsi="Times New Roman" w:eastAsia="Times New Roman" w:cs="Times New Roman"/>
        </w:rPr>
        <w:t xml:space="preserve">Exposure-based hiring designs are widely used to study generative AI, and their estimates are often read as early effects of the technology. The detectability bound shows that designs which relate occupation- or industry-level outcomes to exposure, with a limited number of units, cannot detect plausible assimilation effects of the size observed on platforms at current acquisition rates, and that the gradients they detect cannot be told apart from a trend that preceded the technology. Our European and Canadian estimates fall in this class, and so do the occupation-level estimates of Acemoglu et al. (2022), Albanesi et al. (2025) for 16 European countries, and Georgieff and Hyee (2022) for 23 OECD countries, whose standard errors imply minimum detectable effects of about 6 to 14 log points per standard deviation of exposure. The conclusion does not extend to every exposure design. Designs that use microdata, such as worker-level registers (Gathmann et al., 2024) or firm-by-occupation panels with observed AI use (Hampole et al., 2025), have minimum detectable effects of roughly one to three percent per standard deviation, and designs that observe adoption directly can rule out effects of the size seen on platforms (Humlum and Vestergaard, 2025). For the first class a null or small coefficient is uninformative about assimilation; for the second it is informative. The bound tells the two apart and is simple enough to be reported alongside any exposure estimate. The contribution is not a claim that generative visual AI has no labor-market effects, but a demonstration that occupation-level evidence of the kind currently available cannot yet reveal them.</w:t>
      </w:r>
    </w:p>
    <w:p>
      <w:pPr>
        <w:pStyle w:val="BodyText"/>
        <w:spacing w:line="480" w:lineRule="auto" w:after="0" w:before="0"/>
        <w:ind w:firstLine="720"/>
        <w:jc w:val="left"/>
      </w:pPr>
      <w:r>
        <w:rPr>
          <w:rFonts w:ascii="Times New Roman" w:hAnsi="Times New Roman" w:eastAsia="Times New Roman" w:cs="Times New Roman"/>
        </w:rPr>
        <w:t xml:space="preserve">A related reading is that falling demand for visual-production occupations reflects structural change in industries, which generative AI accelerates. Our evidence is compatible with this reading, since the European gradient was already moving in the same direction before 2022. Public data cannot show what happened to visual-production occupations within industries, so the within-industry reading is a hypothesis. In macroeconomic terms, general-purpose technologies take effect only after complementary investments, so adoption can run ahead of measured effects (Bresnahan and Trajtenberg, 1995; Brynjolfsson et al., 2021; David, 1990), and employers reduce workforces mainly through attrition. Our results are consistent with this reading but do not test it.</w:t>
      </w:r>
    </w:p>
    <w:bookmarkEnd w:id="41"/>
    <w:bookmarkStart w:id="42" w:name="implications-and-limitations"/>
    <w:p>
      <w:pPr>
        <w:pStyle w:val="Heading3"/>
      </w:pPr>
      <w:r>
        <w:rPr>
          <w:rFonts w:ascii="Times New Roman" w:hAnsi="Times New Roman" w:eastAsia="Times New Roman" w:cs="Times New Roman"/>
        </w:rPr>
        <w:t xml:space="preserve">10.3 Implications and Limitations</w:t>
      </w:r>
    </w:p>
    <w:p>
      <w:pPr>
        <w:pStyle w:val="FirstParagraph"/>
        <w:spacing w:line="480" w:lineRule="auto" w:after="0" w:before="0"/>
        <w:ind w:firstLine="720"/>
        <w:jc w:val="left"/>
      </w:pPr>
      <w:r>
        <w:rPr>
          <w:rFonts w:ascii="Times New Roman" w:hAnsi="Times New Roman" w:eastAsia="Times New Roman" w:cs="Times New Roman"/>
        </w:rPr>
        <w:t xml:space="preserve">For researchers, the implication is to report the acquisition rate and the reference effect size that an exposure estimate would require, and to treat estimates that exceed that requirement, or that predate the technology, as evidence about something else. For managers, the barrier evidence suggests that the constraints on using generative tools are organizational: review capacity and policies for copyright and personal data are complements to the tool, and waiting for better models will not build them. For statistical agencies, a rising use indicator should not be read as rising task reassignment, and adding questions on task reassignment and on review and compliance practices to enterprise surveys would make the gap directly measurable.</w:t>
      </w:r>
    </w:p>
    <w:p>
      <w:pPr>
        <w:pStyle w:val="BodyText"/>
        <w:spacing w:line="480" w:lineRule="auto" w:after="0" w:before="0"/>
        <w:ind w:firstLine="720"/>
        <w:jc w:val="left"/>
      </w:pPr>
      <w:r>
        <w:rPr>
          <w:rFonts w:ascii="Times New Roman" w:hAnsi="Times New Roman" w:eastAsia="Times New Roman" w:cs="Times New Roman"/>
        </w:rPr>
        <w:t xml:space="preserve">The limits are substantial. We do not observe assimilation, and the barrier items refer to AI in general and to firms that considered it, so they speak to the acquisition margin only. The hiring series are experimental and measure adverts rather than employment, so they would miss substitution through hours, outsourcing, or freelancing. Exposure is measured with language-model scores that agree with two human coders only weakly (weighted</w:t>
      </w:r>
      <w:r>
        <w:rPr>
          <w:rFonts w:ascii="Times New Roman" w:hAnsi="Times New Roman" w:eastAsia="Times New Roman" w:cs="Times New Roman"/>
        </w:rPr>
        <w:t xml:space="preserve"> </w:t>
      </w:r>
      <m:oMath>
        <m:r>
          <m:t>κ</m:t>
        </m:r>
      </m:oMath>
      <w:r>
        <w:rPr>
          <w:rFonts w:ascii="Times New Roman" w:hAnsi="Times New Roman" w:eastAsia="Times New Roman" w:cs="Times New Roman"/>
        </w:rPr>
        <w:t xml:space="preserve"> </w:t>
      </w:r>
      <w:r>
        <w:rPr>
          <w:rFonts w:ascii="Times New Roman" w:hAnsi="Times New Roman" w:eastAsia="Times New Roman" w:cs="Times New Roman"/>
        </w:rPr>
        <w:t xml:space="preserve">of 0.11 to 0.20, against 0.42 between the coders), and they capture a minority of the visual content that humans identify. The control for language-model exposure is our own construction, and the 2024 estimate depends on it. Acquisition rates are sector averages and do not identify the employers of particular occupations. The review floor rests on the assumption that review hours do not fall with model quality; where better models reduce visible defects, review may become cheaper without any change in complements, which would weaken Implication 1 for those tasks. The advert-text evidence covers a stock of postings rather than hires. And the detectability bound rests on a linear mapping from exposure to the visual share of work and on reference effect sizes from platforms; plausible changes alter the numbers in Tables 5 and S1 without changing the conclusion.</w:t>
      </w:r>
    </w:p>
    <w:bookmarkEnd w:id="42"/>
    <w:bookmarkEnd w:id="43"/>
    <w:bookmarkStart w:id="44" w:name="conclusion"/>
    <w:p>
      <w:pPr>
        <w:pStyle w:val="Heading2"/>
      </w:pPr>
      <w:r>
        <w:rPr>
          <w:rFonts w:ascii="Times New Roman" w:hAnsi="Times New Roman" w:eastAsia="Times New Roman" w:cs="Times New Roman"/>
        </w:rPr>
        <w:t xml:space="preserve">11 Conclusion</w:t>
      </w:r>
    </w:p>
    <w:p>
      <w:pPr>
        <w:pStyle w:val="FirstParagraph"/>
        <w:spacing w:line="480" w:lineRule="auto" w:after="0" w:before="0"/>
        <w:ind w:firstLine="720"/>
        <w:jc w:val="left"/>
      </w:pPr>
      <w:r>
        <w:rPr>
          <w:rFonts w:ascii="Times New Roman" w:hAnsi="Times New Roman" w:eastAsia="Times New Roman" w:cs="Times New Roman"/>
        </w:rPr>
        <w:t xml:space="preserve">Generative visual AI has been widely acquired: about one in ten European firms used it in 2025, and about one in three in publishing, film, and broadcasting. Firms that considered AI and did not adopt it point to missing expertise, legal uncertainty, and data protection rather than to a tool that is not useful. The theory developed here explains why such judgment complements govern assimilation and why reported use can run ahead of any change in work. So far, occupation-level hiring data show no labor-market effect that can be attributed to generative visual AI, but that is not evidence of no effect, because these designs could not have detected complete assimilation at platform-sized effects. Answering the question requires linking firms’ use, their complementary assets, their task reassignment, and their hiring, and this paper specifies what that evidence would have to show.</w:t>
      </w:r>
    </w:p>
    <w:bookmarkEnd w:id="44"/>
    <w:bookmarkStart w:id="45" w:name="data-and-use-of-generative-ai"/>
    <w:p>
      <w:pPr>
        <w:pStyle w:val="Heading2"/>
      </w:pPr>
      <w:r>
        <w:rPr>
          <w:rFonts w:ascii="Times New Roman" w:hAnsi="Times New Roman" w:eastAsia="Times New Roman" w:cs="Times New Roman"/>
        </w:rPr>
        <w:t xml:space="preserve">Data and Use of Generative AI</w:t>
      </w:r>
    </w:p>
    <w:p>
      <w:pPr>
        <w:pStyle w:val="FirstParagraph"/>
        <w:spacing w:line="480" w:lineRule="auto" w:after="0" w:before="0"/>
        <w:ind w:firstLine="720"/>
        <w:jc w:val="left"/>
      </w:pPr>
      <w:r>
        <w:rPr>
          <w:rFonts w:ascii="Times New Roman" w:hAnsi="Times New Roman" w:eastAsia="Times New Roman" w:cs="Times New Roman"/>
        </w:rPr>
        <w:t xml:space="preserve">All data are public (Eurostat, Statistics Canada, O*NET, Indeed Hiring Lab, Web Data Commons). Code, prompts, and the language-model task scores required to reproduce Tables 4 and 5 and the analyses in Sections 7.1 and 7.3 are available in an anonymized replication repository. The human coding sheets and agreement code are included. Large language models (Claude Haiku 5.5, with GPT-5.6 Luna as a second scorer) were used as measurement instruments to code O*NET task statements and NOC main-duty statements, and Claude Haiku 5.5 to classify job-posting titles and the treatment of generative AI in posting text. A generative AI assistant was used to help write analysis code and to draft and edit the manuscript. The author reviewed all results, text, and code and takes responsibility for the content.</w:t>
      </w:r>
    </w:p>
    <w:bookmarkEnd w:id="45"/>
    <w:bookmarkStart w:id="46" w:name="references"/>
    <w:p>
      <w:pPr>
        <w:pStyle w:val="Heading2"/>
      </w:pPr>
      <w:r>
        <w:rPr>
          <w:rFonts w:ascii="Times New Roman" w:hAnsi="Times New Roman" w:eastAsia="Times New Roman" w:cs="Times New Roman"/>
        </w:rPr>
        <w:t xml:space="preserve">References</w:t>
      </w:r>
    </w:p>
    <w:p>
      <w:pPr>
        <w:pStyle w:val="FirstParagraph"/>
        <w:spacing w:line="480" w:lineRule="auto" w:after="0" w:before="0"/>
        <w:ind w:firstLine="720"/>
        <w:jc w:val="left"/>
      </w:pPr>
      <w:r>
        <w:rPr>
          <w:rFonts w:ascii="Times New Roman" w:hAnsi="Times New Roman" w:eastAsia="Times New Roman" w:cs="Times New Roman"/>
        </w:rPr>
        <w:t xml:space="preserve">Acemoglu D and Restrepo P (2018) The race between man and machine: Implications of technology for growth, factor shares, and employment.</w:t>
      </w:r>
      <w:r>
        <w:rPr>
          <w:rFonts w:ascii="Times New Roman" w:hAnsi="Times New Roman" w:eastAsia="Times New Roman" w:cs="Times New Roman"/>
        </w:rPr>
        <w:t xml:space="preserve"> </w:t>
      </w:r>
      <w:r>
        <w:rPr>
          <w:iCs/>
          <w:rFonts w:ascii="Times New Roman" w:hAnsi="Times New Roman" w:eastAsia="Times New Roman" w:cs="Times New Roman"/>
          <w:i/>
        </w:rPr>
        <w:t xml:space="preserve">American Economic Review</w:t>
      </w:r>
      <w:r>
        <w:rPr>
          <w:rFonts w:ascii="Times New Roman" w:hAnsi="Times New Roman" w:eastAsia="Times New Roman" w:cs="Times New Roman"/>
        </w:rPr>
        <w:t xml:space="preserve"> </w:t>
      </w:r>
      <w:r>
        <w:rPr>
          <w:rFonts w:ascii="Times New Roman" w:hAnsi="Times New Roman" w:eastAsia="Times New Roman" w:cs="Times New Roman"/>
        </w:rPr>
        <w:t xml:space="preserve">108(6): 1488–1542.</w:t>
      </w:r>
    </w:p>
    <w:p>
      <w:pPr>
        <w:pStyle w:val="BodyText"/>
        <w:spacing w:line="480" w:lineRule="auto" w:after="0" w:before="0"/>
        <w:ind w:firstLine="720"/>
        <w:jc w:val="left"/>
      </w:pPr>
      <w:r>
        <w:rPr>
          <w:rFonts w:ascii="Times New Roman" w:hAnsi="Times New Roman" w:eastAsia="Times New Roman" w:cs="Times New Roman"/>
        </w:rPr>
        <w:t xml:space="preserve">Acemoglu D and Restrepo P (2019) Automation and new tasks: How technology displaces and reinstates labor.</w:t>
      </w:r>
      <w:r>
        <w:rPr>
          <w:rFonts w:ascii="Times New Roman" w:hAnsi="Times New Roman" w:eastAsia="Times New Roman" w:cs="Times New Roman"/>
        </w:rPr>
        <w:t xml:space="preserve"> </w:t>
      </w:r>
      <w:r>
        <w:rPr>
          <w:iCs/>
          <w:rFonts w:ascii="Times New Roman" w:hAnsi="Times New Roman" w:eastAsia="Times New Roman" w:cs="Times New Roman"/>
          <w:i/>
        </w:rPr>
        <w:t xml:space="preserve">Journal of Economic Perspectives</w:t>
      </w:r>
      <w:r>
        <w:rPr>
          <w:rFonts w:ascii="Times New Roman" w:hAnsi="Times New Roman" w:eastAsia="Times New Roman" w:cs="Times New Roman"/>
        </w:rPr>
        <w:t xml:space="preserve"> </w:t>
      </w:r>
      <w:r>
        <w:rPr>
          <w:rFonts w:ascii="Times New Roman" w:hAnsi="Times New Roman" w:eastAsia="Times New Roman" w:cs="Times New Roman"/>
        </w:rPr>
        <w:t xml:space="preserve">33(2): 3–30.</w:t>
      </w:r>
    </w:p>
    <w:p>
      <w:pPr>
        <w:pStyle w:val="BodyText"/>
        <w:spacing w:line="480" w:lineRule="auto" w:after="0" w:before="0"/>
        <w:ind w:firstLine="720"/>
        <w:jc w:val="left"/>
      </w:pPr>
      <w:r>
        <w:rPr>
          <w:rFonts w:ascii="Times New Roman" w:hAnsi="Times New Roman" w:eastAsia="Times New Roman" w:cs="Times New Roman"/>
        </w:rPr>
        <w:t xml:space="preserve">Acemoglu D, Autor D, Hazell J and Restrepo P (2022) Artificial intelligence and jobs: Evidence from online vacancies.</w:t>
      </w:r>
      <w:r>
        <w:rPr>
          <w:rFonts w:ascii="Times New Roman" w:hAnsi="Times New Roman" w:eastAsia="Times New Roman" w:cs="Times New Roman"/>
        </w:rPr>
        <w:t xml:space="preserve"> </w:t>
      </w:r>
      <w:r>
        <w:rPr>
          <w:iCs/>
          <w:rFonts w:ascii="Times New Roman" w:hAnsi="Times New Roman" w:eastAsia="Times New Roman" w:cs="Times New Roman"/>
          <w:i/>
        </w:rPr>
        <w:t xml:space="preserve">Journal of Labor Economics</w:t>
      </w:r>
      <w:r>
        <w:rPr>
          <w:rFonts w:ascii="Times New Roman" w:hAnsi="Times New Roman" w:eastAsia="Times New Roman" w:cs="Times New Roman"/>
        </w:rPr>
        <w:t xml:space="preserve"> </w:t>
      </w:r>
      <w:r>
        <w:rPr>
          <w:rFonts w:ascii="Times New Roman" w:hAnsi="Times New Roman" w:eastAsia="Times New Roman" w:cs="Times New Roman"/>
        </w:rPr>
        <w:t xml:space="preserve">40(S1): S293–S340.</w:t>
      </w:r>
    </w:p>
    <w:p>
      <w:pPr>
        <w:pStyle w:val="BodyText"/>
        <w:spacing w:line="480" w:lineRule="auto" w:after="0" w:before="0"/>
        <w:ind w:firstLine="720"/>
        <w:jc w:val="left"/>
      </w:pPr>
      <w:r>
        <w:rPr>
          <w:rFonts w:ascii="Times New Roman" w:hAnsi="Times New Roman" w:eastAsia="Times New Roman" w:cs="Times New Roman"/>
        </w:rPr>
        <w:t xml:space="preserve">Aghion P, Jones BF and Jones CI (2019) Artificial intelligence and economic growth. In: Agrawal A, Gans J and Goldfarb A (eds)</w:t>
      </w:r>
      <w:r>
        <w:rPr>
          <w:rFonts w:ascii="Times New Roman" w:hAnsi="Times New Roman" w:eastAsia="Times New Roman" w:cs="Times New Roman"/>
        </w:rPr>
        <w:t xml:space="preserve"> </w:t>
      </w:r>
      <w:r>
        <w:rPr>
          <w:iCs/>
          <w:rFonts w:ascii="Times New Roman" w:hAnsi="Times New Roman" w:eastAsia="Times New Roman" w:cs="Times New Roman"/>
          <w:i/>
        </w:rPr>
        <w:t xml:space="preserve">The Economics of Artificial Intelligence: An Agenda</w:t>
      </w:r>
      <w:r>
        <w:rPr>
          <w:rFonts w:ascii="Times New Roman" w:hAnsi="Times New Roman" w:eastAsia="Times New Roman" w:cs="Times New Roman"/>
        </w:rPr>
        <w:t xml:space="preserve">. Chicago, IL: University of Chicago Press.</w:t>
      </w:r>
    </w:p>
    <w:p>
      <w:pPr>
        <w:pStyle w:val="BodyText"/>
        <w:spacing w:line="480" w:lineRule="auto" w:after="0" w:before="0"/>
        <w:ind w:firstLine="720"/>
        <w:jc w:val="left"/>
      </w:pPr>
      <w:r>
        <w:rPr>
          <w:rFonts w:ascii="Times New Roman" w:hAnsi="Times New Roman" w:eastAsia="Times New Roman" w:cs="Times New Roman"/>
        </w:rPr>
        <w:t xml:space="preserve">Agrawal A, Gans J and Goldfarb A (2018)</w:t>
      </w:r>
      <w:r>
        <w:rPr>
          <w:rFonts w:ascii="Times New Roman" w:hAnsi="Times New Roman" w:eastAsia="Times New Roman" w:cs="Times New Roman"/>
        </w:rPr>
        <w:t xml:space="preserve"> </w:t>
      </w:r>
      <w:r>
        <w:rPr>
          <w:iCs/>
          <w:rFonts w:ascii="Times New Roman" w:hAnsi="Times New Roman" w:eastAsia="Times New Roman" w:cs="Times New Roman"/>
          <w:i/>
        </w:rPr>
        <w:t xml:space="preserve">Prediction Machines: The Simple Economics of Artificial Intelligence</w:t>
      </w:r>
      <w:r>
        <w:rPr>
          <w:rFonts w:ascii="Times New Roman" w:hAnsi="Times New Roman" w:eastAsia="Times New Roman" w:cs="Times New Roman"/>
        </w:rPr>
        <w:t xml:space="preserve">. Boston, MA: Harvard Business Review Press.</w:t>
      </w:r>
    </w:p>
    <w:p>
      <w:pPr>
        <w:pStyle w:val="BodyText"/>
        <w:spacing w:line="480" w:lineRule="auto" w:after="0" w:before="0"/>
        <w:ind w:firstLine="720"/>
        <w:jc w:val="left"/>
      </w:pPr>
      <w:r>
        <w:rPr>
          <w:rFonts w:ascii="Times New Roman" w:hAnsi="Times New Roman" w:eastAsia="Times New Roman" w:cs="Times New Roman"/>
        </w:rPr>
        <w:t xml:space="preserve">Albanesi S, Dias da Silva A, Jimeno JF, Lamo A and Wabitsch A (2025) New technologies and jobs in Europe.</w:t>
      </w:r>
      <w:r>
        <w:rPr>
          <w:rFonts w:ascii="Times New Roman" w:hAnsi="Times New Roman" w:eastAsia="Times New Roman" w:cs="Times New Roman"/>
        </w:rPr>
        <w:t xml:space="preserve"> </w:t>
      </w:r>
      <w:r>
        <w:rPr>
          <w:iCs/>
          <w:rFonts w:ascii="Times New Roman" w:hAnsi="Times New Roman" w:eastAsia="Times New Roman" w:cs="Times New Roman"/>
          <w:i/>
        </w:rPr>
        <w:t xml:space="preserve">Economic Policy</w:t>
      </w:r>
      <w:r>
        <w:rPr>
          <w:rFonts w:ascii="Times New Roman" w:hAnsi="Times New Roman" w:eastAsia="Times New Roman" w:cs="Times New Roman"/>
        </w:rPr>
        <w:t xml:space="preserve"> </w:t>
      </w:r>
      <w:r>
        <w:rPr>
          <w:rFonts w:ascii="Times New Roman" w:hAnsi="Times New Roman" w:eastAsia="Times New Roman" w:cs="Times New Roman"/>
        </w:rPr>
        <w:t xml:space="preserve">40(121): 71–139.</w:t>
      </w:r>
    </w:p>
    <w:p>
      <w:pPr>
        <w:pStyle w:val="BodyText"/>
        <w:spacing w:line="480" w:lineRule="auto" w:after="0" w:before="0"/>
        <w:ind w:firstLine="720"/>
        <w:jc w:val="left"/>
      </w:pPr>
      <w:r>
        <w:rPr>
          <w:rFonts w:ascii="Times New Roman" w:hAnsi="Times New Roman" w:eastAsia="Times New Roman" w:cs="Times New Roman"/>
        </w:rPr>
        <w:t xml:space="preserve">Aral S and Weill P (2007) IT assets, organizational capabilities, and firm performance: How resource allocations and organizational differences explain performance variation.</w:t>
      </w:r>
      <w:r>
        <w:rPr>
          <w:rFonts w:ascii="Times New Roman" w:hAnsi="Times New Roman" w:eastAsia="Times New Roman" w:cs="Times New Roman"/>
        </w:rPr>
        <w:t xml:space="preserve"> </w:t>
      </w:r>
      <w:r>
        <w:rPr>
          <w:iCs/>
          <w:rFonts w:ascii="Times New Roman" w:hAnsi="Times New Roman" w:eastAsia="Times New Roman" w:cs="Times New Roman"/>
          <w:i/>
        </w:rPr>
        <w:t xml:space="preserve">Organization Science</w:t>
      </w:r>
      <w:r>
        <w:rPr>
          <w:rFonts w:ascii="Times New Roman" w:hAnsi="Times New Roman" w:eastAsia="Times New Roman" w:cs="Times New Roman"/>
        </w:rPr>
        <w:t xml:space="preserve"> </w:t>
      </w:r>
      <w:r>
        <w:rPr>
          <w:rFonts w:ascii="Times New Roman" w:hAnsi="Times New Roman" w:eastAsia="Times New Roman" w:cs="Times New Roman"/>
        </w:rPr>
        <w:t xml:space="preserve">18(5): 763–780.</w:t>
      </w:r>
    </w:p>
    <w:p>
      <w:pPr>
        <w:pStyle w:val="BodyText"/>
        <w:spacing w:line="480" w:lineRule="auto" w:after="0" w:before="0"/>
        <w:ind w:firstLine="720"/>
        <w:jc w:val="left"/>
      </w:pPr>
      <w:r>
        <w:rPr>
          <w:rFonts w:ascii="Times New Roman" w:hAnsi="Times New Roman" w:eastAsia="Times New Roman" w:cs="Times New Roman"/>
        </w:rPr>
        <w:t xml:space="preserve">Attewell P (1992) Technology diffusion and organizational learning: The case of business computing.</w:t>
      </w:r>
      <w:r>
        <w:rPr>
          <w:rFonts w:ascii="Times New Roman" w:hAnsi="Times New Roman" w:eastAsia="Times New Roman" w:cs="Times New Roman"/>
        </w:rPr>
        <w:t xml:space="preserve"> </w:t>
      </w:r>
      <w:r>
        <w:rPr>
          <w:iCs/>
          <w:rFonts w:ascii="Times New Roman" w:hAnsi="Times New Roman" w:eastAsia="Times New Roman" w:cs="Times New Roman"/>
          <w:i/>
        </w:rPr>
        <w:t xml:space="preserve">Organization Science</w:t>
      </w:r>
      <w:r>
        <w:rPr>
          <w:rFonts w:ascii="Times New Roman" w:hAnsi="Times New Roman" w:eastAsia="Times New Roman" w:cs="Times New Roman"/>
        </w:rPr>
        <w:t xml:space="preserve"> </w:t>
      </w:r>
      <w:r>
        <w:rPr>
          <w:rFonts w:ascii="Times New Roman" w:hAnsi="Times New Roman" w:eastAsia="Times New Roman" w:cs="Times New Roman"/>
        </w:rPr>
        <w:t xml:space="preserve">3(1): 1–19.</w:t>
      </w:r>
    </w:p>
    <w:p>
      <w:pPr>
        <w:pStyle w:val="BodyText"/>
        <w:spacing w:line="480" w:lineRule="auto" w:after="0" w:before="0"/>
        <w:ind w:firstLine="720"/>
        <w:jc w:val="left"/>
      </w:pPr>
      <w:r>
        <w:rPr>
          <w:rFonts w:ascii="Times New Roman" w:hAnsi="Times New Roman" w:eastAsia="Times New Roman" w:cs="Times New Roman"/>
        </w:rPr>
        <w:t xml:space="preserve">Babina T, Fedyk A, He A and Hodson J (2024) Artificial intelligence, firm growth, and product innovation.</w:t>
      </w:r>
      <w:r>
        <w:rPr>
          <w:rFonts w:ascii="Times New Roman" w:hAnsi="Times New Roman" w:eastAsia="Times New Roman" w:cs="Times New Roman"/>
        </w:rPr>
        <w:t xml:space="preserve"> </w:t>
      </w:r>
      <w:r>
        <w:rPr>
          <w:iCs/>
          <w:rFonts w:ascii="Times New Roman" w:hAnsi="Times New Roman" w:eastAsia="Times New Roman" w:cs="Times New Roman"/>
          <w:i/>
        </w:rPr>
        <w:t xml:space="preserve">Journal of Financial Economics</w:t>
      </w:r>
      <w:r>
        <w:rPr>
          <w:rFonts w:ascii="Times New Roman" w:hAnsi="Times New Roman" w:eastAsia="Times New Roman" w:cs="Times New Roman"/>
        </w:rPr>
        <w:t xml:space="preserve"> </w:t>
      </w:r>
      <w:r>
        <w:rPr>
          <w:rFonts w:ascii="Times New Roman" w:hAnsi="Times New Roman" w:eastAsia="Times New Roman" w:cs="Times New Roman"/>
        </w:rPr>
        <w:t xml:space="preserve">151: 103745.</w:t>
      </w:r>
    </w:p>
    <w:p>
      <w:pPr>
        <w:pStyle w:val="BodyText"/>
        <w:spacing w:line="480" w:lineRule="auto" w:after="0" w:before="0"/>
        <w:ind w:firstLine="720"/>
        <w:jc w:val="left"/>
      </w:pPr>
      <w:r>
        <w:rPr>
          <w:rFonts w:ascii="Times New Roman" w:hAnsi="Times New Roman" w:eastAsia="Times New Roman" w:cs="Times New Roman"/>
        </w:rPr>
        <w:t xml:space="preserve">Baumol WJ (1967) Macroeconomics of unbalanced growth: The anatomy of urban crisis.</w:t>
      </w:r>
      <w:r>
        <w:rPr>
          <w:rFonts w:ascii="Times New Roman" w:hAnsi="Times New Roman" w:eastAsia="Times New Roman" w:cs="Times New Roman"/>
        </w:rPr>
        <w:t xml:space="preserve"> </w:t>
      </w:r>
      <w:r>
        <w:rPr>
          <w:iCs/>
          <w:rFonts w:ascii="Times New Roman" w:hAnsi="Times New Roman" w:eastAsia="Times New Roman" w:cs="Times New Roman"/>
          <w:i/>
        </w:rPr>
        <w:t xml:space="preserve">American Economic Review</w:t>
      </w:r>
      <w:r>
        <w:rPr>
          <w:rFonts w:ascii="Times New Roman" w:hAnsi="Times New Roman" w:eastAsia="Times New Roman" w:cs="Times New Roman"/>
        </w:rPr>
        <w:t xml:space="preserve"> </w:t>
      </w:r>
      <w:r>
        <w:rPr>
          <w:rFonts w:ascii="Times New Roman" w:hAnsi="Times New Roman" w:eastAsia="Times New Roman" w:cs="Times New Roman"/>
        </w:rPr>
        <w:t xml:space="preserve">57(3): 415–426.</w:t>
      </w:r>
    </w:p>
    <w:p>
      <w:pPr>
        <w:pStyle w:val="BodyText"/>
        <w:spacing w:line="480" w:lineRule="auto" w:after="0" w:before="0"/>
        <w:ind w:firstLine="720"/>
        <w:jc w:val="left"/>
      </w:pPr>
      <w:r>
        <w:rPr>
          <w:rFonts w:ascii="Times New Roman" w:hAnsi="Times New Roman" w:eastAsia="Times New Roman" w:cs="Times New Roman"/>
        </w:rPr>
        <w:t xml:space="preserve">Berente N, Gu B, Recker J and Santhanam R (2021) Managing artificial intelligence.</w:t>
      </w:r>
      <w:r>
        <w:rPr>
          <w:rFonts w:ascii="Times New Roman" w:hAnsi="Times New Roman" w:eastAsia="Times New Roman" w:cs="Times New Roman"/>
        </w:rPr>
        <w:t xml:space="preserve"> </w:t>
      </w:r>
      <w:r>
        <w:rPr>
          <w:iCs/>
          <w:rFonts w:ascii="Times New Roman" w:hAnsi="Times New Roman" w:eastAsia="Times New Roman" w:cs="Times New Roman"/>
          <w:i/>
        </w:rPr>
        <w:t xml:space="preserve">MIS Quarterly</w:t>
      </w:r>
      <w:r>
        <w:rPr>
          <w:rFonts w:ascii="Times New Roman" w:hAnsi="Times New Roman" w:eastAsia="Times New Roman" w:cs="Times New Roman"/>
        </w:rPr>
        <w:t xml:space="preserve"> </w:t>
      </w:r>
      <w:r>
        <w:rPr>
          <w:rFonts w:ascii="Times New Roman" w:hAnsi="Times New Roman" w:eastAsia="Times New Roman" w:cs="Times New Roman"/>
        </w:rPr>
        <w:t xml:space="preserve">45(3): 1433–1450.</w:t>
      </w:r>
    </w:p>
    <w:p>
      <w:pPr>
        <w:pStyle w:val="BodyText"/>
        <w:spacing w:line="480" w:lineRule="auto" w:after="0" w:before="0"/>
        <w:ind w:firstLine="720"/>
        <w:jc w:val="left"/>
      </w:pPr>
      <w:r>
        <w:rPr>
          <w:rFonts w:ascii="Times New Roman" w:hAnsi="Times New Roman" w:eastAsia="Times New Roman" w:cs="Times New Roman"/>
        </w:rPr>
        <w:t xml:space="preserve">Bick A, Blandin A and Deming DJ (2024) The rapid adoption of generative AI. NBER Working Paper 32966. Cambridge, MA: National Bureau of Economic Research.</w:t>
      </w:r>
    </w:p>
    <w:p>
      <w:pPr>
        <w:pStyle w:val="BodyText"/>
        <w:spacing w:line="480" w:lineRule="auto" w:after="0" w:before="0"/>
        <w:ind w:firstLine="720"/>
        <w:jc w:val="left"/>
      </w:pPr>
      <w:r>
        <w:rPr>
          <w:rFonts w:ascii="Times New Roman" w:hAnsi="Times New Roman" w:eastAsia="Times New Roman" w:cs="Times New Roman"/>
        </w:rPr>
        <w:t xml:space="preserve">Bresnahan TF and Trajtenberg M (1995) General purpose technologies:</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Engines of growth</w:t>
      </w:r>
      <w:r>
        <w:rPr>
          <w:rFonts w:ascii="Times New Roman" w:hAnsi="Times New Roman" w:eastAsia="Times New Roman" w:cs="Times New Roman"/>
        </w:rPr>
        <w:t xml:space="preserve">”</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iCs/>
          <w:rFonts w:ascii="Times New Roman" w:hAnsi="Times New Roman" w:eastAsia="Times New Roman" w:cs="Times New Roman"/>
          <w:i/>
        </w:rPr>
        <w:t xml:space="preserve">Journal of Econometrics</w:t>
      </w:r>
      <w:r>
        <w:rPr>
          <w:rFonts w:ascii="Times New Roman" w:hAnsi="Times New Roman" w:eastAsia="Times New Roman" w:cs="Times New Roman"/>
        </w:rPr>
        <w:t xml:space="preserve"> </w:t>
      </w:r>
      <w:r>
        <w:rPr>
          <w:rFonts w:ascii="Times New Roman" w:hAnsi="Times New Roman" w:eastAsia="Times New Roman" w:cs="Times New Roman"/>
        </w:rPr>
        <w:t xml:space="preserve">65(1): 83–108.</w:t>
      </w:r>
    </w:p>
    <w:p>
      <w:pPr>
        <w:pStyle w:val="BodyText"/>
        <w:spacing w:line="480" w:lineRule="auto" w:after="0" w:before="0"/>
        <w:ind w:firstLine="720"/>
        <w:jc w:val="left"/>
      </w:pPr>
      <w:r>
        <w:rPr>
          <w:rFonts w:ascii="Times New Roman" w:hAnsi="Times New Roman" w:eastAsia="Times New Roman" w:cs="Times New Roman"/>
        </w:rPr>
        <w:t xml:space="preserve">Brynjolfsson E and Hitt LM (2000) Beyond computation: Information technology, organizational transformation and business performance.</w:t>
      </w:r>
      <w:r>
        <w:rPr>
          <w:rFonts w:ascii="Times New Roman" w:hAnsi="Times New Roman" w:eastAsia="Times New Roman" w:cs="Times New Roman"/>
        </w:rPr>
        <w:t xml:space="preserve"> </w:t>
      </w:r>
      <w:r>
        <w:rPr>
          <w:iCs/>
          <w:rFonts w:ascii="Times New Roman" w:hAnsi="Times New Roman" w:eastAsia="Times New Roman" w:cs="Times New Roman"/>
          <w:i/>
        </w:rPr>
        <w:t xml:space="preserve">Journal of Economic Perspectives</w:t>
      </w:r>
      <w:r>
        <w:rPr>
          <w:rFonts w:ascii="Times New Roman" w:hAnsi="Times New Roman" w:eastAsia="Times New Roman" w:cs="Times New Roman"/>
        </w:rPr>
        <w:t xml:space="preserve"> </w:t>
      </w:r>
      <w:r>
        <w:rPr>
          <w:rFonts w:ascii="Times New Roman" w:hAnsi="Times New Roman" w:eastAsia="Times New Roman" w:cs="Times New Roman"/>
        </w:rPr>
        <w:t xml:space="preserve">14(4): 23–48.</w:t>
      </w:r>
    </w:p>
    <w:p>
      <w:pPr>
        <w:pStyle w:val="BodyText"/>
        <w:spacing w:line="480" w:lineRule="auto" w:after="0" w:before="0"/>
        <w:ind w:firstLine="720"/>
        <w:jc w:val="left"/>
      </w:pPr>
      <w:r>
        <w:rPr>
          <w:rFonts w:ascii="Times New Roman" w:hAnsi="Times New Roman" w:eastAsia="Times New Roman" w:cs="Times New Roman"/>
        </w:rPr>
        <w:t xml:space="preserve">Brynjolfsson E, Rock D and Syverson C (2021) The productivity J-curve: How intangibles complement general purpose technologies.</w:t>
      </w:r>
      <w:r>
        <w:rPr>
          <w:rFonts w:ascii="Times New Roman" w:hAnsi="Times New Roman" w:eastAsia="Times New Roman" w:cs="Times New Roman"/>
        </w:rPr>
        <w:t xml:space="preserve"> </w:t>
      </w:r>
      <w:r>
        <w:rPr>
          <w:iCs/>
          <w:rFonts w:ascii="Times New Roman" w:hAnsi="Times New Roman" w:eastAsia="Times New Roman" w:cs="Times New Roman"/>
          <w:i/>
        </w:rPr>
        <w:t xml:space="preserve">American Economic Journal: Macroeconomics</w:t>
      </w:r>
      <w:r>
        <w:rPr>
          <w:rFonts w:ascii="Times New Roman" w:hAnsi="Times New Roman" w:eastAsia="Times New Roman" w:cs="Times New Roman"/>
        </w:rPr>
        <w:t xml:space="preserve"> </w:t>
      </w:r>
      <w:r>
        <w:rPr>
          <w:rFonts w:ascii="Times New Roman" w:hAnsi="Times New Roman" w:eastAsia="Times New Roman" w:cs="Times New Roman"/>
        </w:rPr>
        <w:t xml:space="preserve">13(1): 333–372.</w:t>
      </w:r>
    </w:p>
    <w:p>
      <w:pPr>
        <w:pStyle w:val="BodyText"/>
        <w:spacing w:line="480" w:lineRule="auto" w:after="0" w:before="0"/>
        <w:ind w:firstLine="720"/>
        <w:jc w:val="left"/>
      </w:pPr>
      <w:r>
        <w:rPr>
          <w:rFonts w:ascii="Times New Roman" w:hAnsi="Times New Roman" w:eastAsia="Times New Roman" w:cs="Times New Roman"/>
        </w:rPr>
        <w:t xml:space="preserve">Cohen WM and Levinthal DA (1990) Absorptive capacity: A new perspective on learning and innovation.</w:t>
      </w:r>
      <w:r>
        <w:rPr>
          <w:rFonts w:ascii="Times New Roman" w:hAnsi="Times New Roman" w:eastAsia="Times New Roman" w:cs="Times New Roman"/>
        </w:rPr>
        <w:t xml:space="preserve"> </w:t>
      </w:r>
      <w:r>
        <w:rPr>
          <w:iCs/>
          <w:rFonts w:ascii="Times New Roman" w:hAnsi="Times New Roman" w:eastAsia="Times New Roman" w:cs="Times New Roman"/>
          <w:i/>
        </w:rPr>
        <w:t xml:space="preserve">Administrative Science Quarterly</w:t>
      </w:r>
      <w:r>
        <w:rPr>
          <w:rFonts w:ascii="Times New Roman" w:hAnsi="Times New Roman" w:eastAsia="Times New Roman" w:cs="Times New Roman"/>
        </w:rPr>
        <w:t xml:space="preserve"> </w:t>
      </w:r>
      <w:r>
        <w:rPr>
          <w:rFonts w:ascii="Times New Roman" w:hAnsi="Times New Roman" w:eastAsia="Times New Roman" w:cs="Times New Roman"/>
        </w:rPr>
        <w:t xml:space="preserve">35(1): 128–152.</w:t>
      </w:r>
    </w:p>
    <w:p>
      <w:pPr>
        <w:pStyle w:val="BodyText"/>
        <w:spacing w:line="480" w:lineRule="auto" w:after="0" w:before="0"/>
        <w:ind w:firstLine="720"/>
        <w:jc w:val="left"/>
      </w:pPr>
      <w:r>
        <w:rPr>
          <w:rFonts w:ascii="Times New Roman" w:hAnsi="Times New Roman" w:eastAsia="Times New Roman" w:cs="Times New Roman"/>
        </w:rPr>
        <w:t xml:space="preserve">Cooper RB and Zmud RW (1990) Information technology implementation research: A technological diffusion approach.</w:t>
      </w:r>
      <w:r>
        <w:rPr>
          <w:rFonts w:ascii="Times New Roman" w:hAnsi="Times New Roman" w:eastAsia="Times New Roman" w:cs="Times New Roman"/>
        </w:rPr>
        <w:t xml:space="preserve"> </w:t>
      </w:r>
      <w:r>
        <w:rPr>
          <w:iCs/>
          <w:rFonts w:ascii="Times New Roman" w:hAnsi="Times New Roman" w:eastAsia="Times New Roman" w:cs="Times New Roman"/>
          <w:i/>
        </w:rPr>
        <w:t xml:space="preserve">Management Science</w:t>
      </w:r>
      <w:r>
        <w:rPr>
          <w:rFonts w:ascii="Times New Roman" w:hAnsi="Times New Roman" w:eastAsia="Times New Roman" w:cs="Times New Roman"/>
        </w:rPr>
        <w:t xml:space="preserve"> </w:t>
      </w:r>
      <w:r>
        <w:rPr>
          <w:rFonts w:ascii="Times New Roman" w:hAnsi="Times New Roman" w:eastAsia="Times New Roman" w:cs="Times New Roman"/>
        </w:rPr>
        <w:t xml:space="preserve">36(2): 123–139.</w:t>
      </w:r>
    </w:p>
    <w:p>
      <w:pPr>
        <w:pStyle w:val="BodyText"/>
        <w:spacing w:line="480" w:lineRule="auto" w:after="0" w:before="0"/>
        <w:ind w:firstLine="720"/>
        <w:jc w:val="left"/>
      </w:pPr>
      <w:r>
        <w:rPr>
          <w:rFonts w:ascii="Times New Roman" w:hAnsi="Times New Roman" w:eastAsia="Times New Roman" w:cs="Times New Roman"/>
        </w:rPr>
        <w:t xml:space="preserve">David PA (1990) The dynamo and the computer: An historical perspective on the modern productivity paradox.</w:t>
      </w:r>
      <w:r>
        <w:rPr>
          <w:rFonts w:ascii="Times New Roman" w:hAnsi="Times New Roman" w:eastAsia="Times New Roman" w:cs="Times New Roman"/>
        </w:rPr>
        <w:t xml:space="preserve"> </w:t>
      </w:r>
      <w:r>
        <w:rPr>
          <w:iCs/>
          <w:rFonts w:ascii="Times New Roman" w:hAnsi="Times New Roman" w:eastAsia="Times New Roman" w:cs="Times New Roman"/>
          <w:i/>
        </w:rPr>
        <w:t xml:space="preserve">American Economic Review</w:t>
      </w:r>
      <w:r>
        <w:rPr>
          <w:rFonts w:ascii="Times New Roman" w:hAnsi="Times New Roman" w:eastAsia="Times New Roman" w:cs="Times New Roman"/>
        </w:rPr>
        <w:t xml:space="preserve"> </w:t>
      </w:r>
      <w:r>
        <w:rPr>
          <w:rFonts w:ascii="Times New Roman" w:hAnsi="Times New Roman" w:eastAsia="Times New Roman" w:cs="Times New Roman"/>
        </w:rPr>
        <w:t xml:space="preserve">80(2): 355–361.</w:t>
      </w:r>
    </w:p>
    <w:p>
      <w:pPr>
        <w:pStyle w:val="BodyText"/>
        <w:spacing w:line="480" w:lineRule="auto" w:after="0" w:before="0"/>
        <w:ind w:firstLine="720"/>
        <w:jc w:val="left"/>
      </w:pPr>
      <w:r>
        <w:rPr>
          <w:rFonts w:ascii="Times New Roman" w:hAnsi="Times New Roman" w:eastAsia="Times New Roman" w:cs="Times New Roman"/>
        </w:rPr>
        <w:t xml:space="preserve">Demirci O, Hannane J and Zhu X (2025) Who is AI replacing? The impact of generative AI on online freelancing platforms.</w:t>
      </w:r>
      <w:r>
        <w:rPr>
          <w:rFonts w:ascii="Times New Roman" w:hAnsi="Times New Roman" w:eastAsia="Times New Roman" w:cs="Times New Roman"/>
        </w:rPr>
        <w:t xml:space="preserve"> </w:t>
      </w:r>
      <w:r>
        <w:rPr>
          <w:iCs/>
          <w:rFonts w:ascii="Times New Roman" w:hAnsi="Times New Roman" w:eastAsia="Times New Roman" w:cs="Times New Roman"/>
          <w:i/>
        </w:rPr>
        <w:t xml:space="preserve">Management Science</w:t>
      </w:r>
      <w:r>
        <w:rPr>
          <w:rFonts w:ascii="Times New Roman" w:hAnsi="Times New Roman" w:eastAsia="Times New Roman" w:cs="Times New Roman"/>
        </w:rPr>
        <w:t xml:space="preserve"> </w:t>
      </w:r>
      <w:r>
        <w:rPr>
          <w:rFonts w:ascii="Times New Roman" w:hAnsi="Times New Roman" w:eastAsia="Times New Roman" w:cs="Times New Roman"/>
        </w:rPr>
        <w:t xml:space="preserve">71(10): 8097–8108.</w:t>
      </w:r>
    </w:p>
    <w:p>
      <w:pPr>
        <w:pStyle w:val="BodyText"/>
        <w:spacing w:line="480" w:lineRule="auto" w:after="0" w:before="0"/>
        <w:ind w:firstLine="720"/>
        <w:jc w:val="left"/>
      </w:pPr>
      <w:r>
        <w:rPr>
          <w:rFonts w:ascii="Times New Roman" w:hAnsi="Times New Roman" w:eastAsia="Times New Roman" w:cs="Times New Roman"/>
        </w:rPr>
        <w:t xml:space="preserve">Eloundou T, Manning S, Mishkin P and Rock D (2023) GPTs are GPTs: An early look at the labor market impact potential of large language models. arXiv:2303.10130.</w:t>
      </w:r>
    </w:p>
    <w:p>
      <w:pPr>
        <w:pStyle w:val="BodyText"/>
        <w:spacing w:line="480" w:lineRule="auto" w:after="0" w:before="0"/>
        <w:ind w:firstLine="720"/>
        <w:jc w:val="left"/>
      </w:pPr>
      <w:r>
        <w:rPr>
          <w:rFonts w:ascii="Times New Roman" w:hAnsi="Times New Roman" w:eastAsia="Times New Roman" w:cs="Times New Roman"/>
        </w:rPr>
        <w:t xml:space="preserve">Eurostat (2026) ICT usage in enterprises; online job advertisements by occupation (experimental); Labour force survey [data sets]. Available at: Eurostat dissemination database (accessed 4 October 2026).</w:t>
      </w:r>
    </w:p>
    <w:p>
      <w:pPr>
        <w:pStyle w:val="BodyText"/>
        <w:spacing w:line="480" w:lineRule="auto" w:after="0" w:before="0"/>
        <w:ind w:firstLine="720"/>
        <w:jc w:val="left"/>
      </w:pPr>
      <w:r>
        <w:rPr>
          <w:rFonts w:ascii="Times New Roman" w:hAnsi="Times New Roman" w:eastAsia="Times New Roman" w:cs="Times New Roman"/>
        </w:rPr>
        <w:t xml:space="preserve">Felten E, Raj M and Seamans R (2021) Occupational, industry, and geographic exposure to artificial intelligence.</w:t>
      </w:r>
      <w:r>
        <w:rPr>
          <w:rFonts w:ascii="Times New Roman" w:hAnsi="Times New Roman" w:eastAsia="Times New Roman" w:cs="Times New Roman"/>
        </w:rPr>
        <w:t xml:space="preserve"> </w:t>
      </w:r>
      <w:r>
        <w:rPr>
          <w:iCs/>
          <w:rFonts w:ascii="Times New Roman" w:hAnsi="Times New Roman" w:eastAsia="Times New Roman" w:cs="Times New Roman"/>
          <w:i/>
        </w:rPr>
        <w:t xml:space="preserve">Strategic Management Journal</w:t>
      </w:r>
      <w:r>
        <w:rPr>
          <w:rFonts w:ascii="Times New Roman" w:hAnsi="Times New Roman" w:eastAsia="Times New Roman" w:cs="Times New Roman"/>
        </w:rPr>
        <w:t xml:space="preserve"> </w:t>
      </w:r>
      <w:r>
        <w:rPr>
          <w:rFonts w:ascii="Times New Roman" w:hAnsi="Times New Roman" w:eastAsia="Times New Roman" w:cs="Times New Roman"/>
        </w:rPr>
        <w:t xml:space="preserve">42(12): 2195–2217.</w:t>
      </w:r>
    </w:p>
    <w:p>
      <w:pPr>
        <w:pStyle w:val="BodyText"/>
        <w:spacing w:line="480" w:lineRule="auto" w:after="0" w:before="0"/>
        <w:ind w:firstLine="720"/>
        <w:jc w:val="left"/>
      </w:pPr>
      <w:r>
        <w:rPr>
          <w:rFonts w:ascii="Times New Roman" w:hAnsi="Times New Roman" w:eastAsia="Times New Roman" w:cs="Times New Roman"/>
        </w:rPr>
        <w:t xml:space="preserve">Fichman RG and Kemerer CF (1999) The illusory diffusion of innovation: An examination of assimilation gaps.</w:t>
      </w:r>
      <w:r>
        <w:rPr>
          <w:rFonts w:ascii="Times New Roman" w:hAnsi="Times New Roman" w:eastAsia="Times New Roman" w:cs="Times New Roman"/>
        </w:rPr>
        <w:t xml:space="preserve"> </w:t>
      </w:r>
      <w:r>
        <w:rPr>
          <w:iCs/>
          <w:rFonts w:ascii="Times New Roman" w:hAnsi="Times New Roman" w:eastAsia="Times New Roman" w:cs="Times New Roman"/>
          <w:i/>
        </w:rPr>
        <w:t xml:space="preserve">Information Systems Research</w:t>
      </w:r>
      <w:r>
        <w:rPr>
          <w:rFonts w:ascii="Times New Roman" w:hAnsi="Times New Roman" w:eastAsia="Times New Roman" w:cs="Times New Roman"/>
        </w:rPr>
        <w:t xml:space="preserve"> </w:t>
      </w:r>
      <w:r>
        <w:rPr>
          <w:rFonts w:ascii="Times New Roman" w:hAnsi="Times New Roman" w:eastAsia="Times New Roman" w:cs="Times New Roman"/>
        </w:rPr>
        <w:t xml:space="preserve">10(3): 255–275.</w:t>
      </w:r>
    </w:p>
    <w:p>
      <w:pPr>
        <w:pStyle w:val="BodyText"/>
        <w:spacing w:line="480" w:lineRule="auto" w:after="0" w:before="0"/>
        <w:ind w:firstLine="720"/>
        <w:jc w:val="left"/>
      </w:pPr>
      <w:r>
        <w:rPr>
          <w:rFonts w:ascii="Times New Roman" w:hAnsi="Times New Roman" w:eastAsia="Times New Roman" w:cs="Times New Roman"/>
        </w:rPr>
        <w:t xml:space="preserve">Fügener A, Grahl J, Gupta A and Ketter W (2022) Cognitive challenges in human–artificial intelligence collaboration: Investigating the path toward productive delegation.</w:t>
      </w:r>
      <w:r>
        <w:rPr>
          <w:rFonts w:ascii="Times New Roman" w:hAnsi="Times New Roman" w:eastAsia="Times New Roman" w:cs="Times New Roman"/>
        </w:rPr>
        <w:t xml:space="preserve"> </w:t>
      </w:r>
      <w:r>
        <w:rPr>
          <w:iCs/>
          <w:rFonts w:ascii="Times New Roman" w:hAnsi="Times New Roman" w:eastAsia="Times New Roman" w:cs="Times New Roman"/>
          <w:i/>
        </w:rPr>
        <w:t xml:space="preserve">Information Systems Research</w:t>
      </w:r>
      <w:r>
        <w:rPr>
          <w:rFonts w:ascii="Times New Roman" w:hAnsi="Times New Roman" w:eastAsia="Times New Roman" w:cs="Times New Roman"/>
        </w:rPr>
        <w:t xml:space="preserve"> </w:t>
      </w:r>
      <w:r>
        <w:rPr>
          <w:rFonts w:ascii="Times New Roman" w:hAnsi="Times New Roman" w:eastAsia="Times New Roman" w:cs="Times New Roman"/>
        </w:rPr>
        <w:t xml:space="preserve">33(2): 678–696.</w:t>
      </w:r>
    </w:p>
    <w:p>
      <w:pPr>
        <w:pStyle w:val="BodyText"/>
        <w:spacing w:line="480" w:lineRule="auto" w:after="0" w:before="0"/>
        <w:ind w:firstLine="720"/>
        <w:jc w:val="left"/>
      </w:pPr>
      <w:r>
        <w:rPr>
          <w:rFonts w:ascii="Times New Roman" w:hAnsi="Times New Roman" w:eastAsia="Times New Roman" w:cs="Times New Roman"/>
        </w:rPr>
        <w:t xml:space="preserve">Gathmann C, Grimm F and Winkler E (2024) AI, task changes in jobs, and worker reallocation. IZA Discussion Paper 17554. Bonn: IZA Institute of Labor Economics.</w:t>
      </w:r>
    </w:p>
    <w:p>
      <w:pPr>
        <w:pStyle w:val="BodyText"/>
        <w:spacing w:line="480" w:lineRule="auto" w:after="0" w:before="0"/>
        <w:ind w:firstLine="720"/>
        <w:jc w:val="left"/>
      </w:pPr>
      <w:r>
        <w:rPr>
          <w:rFonts w:ascii="Times New Roman" w:hAnsi="Times New Roman" w:eastAsia="Times New Roman" w:cs="Times New Roman"/>
        </w:rPr>
        <w:t xml:space="preserve">Georgieff A and Hyee R (2022) Artificial intelligence and employment: New cross-country evidence.</w:t>
      </w:r>
      <w:r>
        <w:rPr>
          <w:rFonts w:ascii="Times New Roman" w:hAnsi="Times New Roman" w:eastAsia="Times New Roman" w:cs="Times New Roman"/>
        </w:rPr>
        <w:t xml:space="preserve"> </w:t>
      </w:r>
      <w:r>
        <w:rPr>
          <w:iCs/>
          <w:rFonts w:ascii="Times New Roman" w:hAnsi="Times New Roman" w:eastAsia="Times New Roman" w:cs="Times New Roman"/>
          <w:i/>
        </w:rPr>
        <w:t xml:space="preserve">Frontiers in Artificial Intelligence</w:t>
      </w:r>
      <w:r>
        <w:rPr>
          <w:rFonts w:ascii="Times New Roman" w:hAnsi="Times New Roman" w:eastAsia="Times New Roman" w:cs="Times New Roman"/>
        </w:rPr>
        <w:t xml:space="preserve"> </w:t>
      </w:r>
      <w:r>
        <w:rPr>
          <w:rFonts w:ascii="Times New Roman" w:hAnsi="Times New Roman" w:eastAsia="Times New Roman" w:cs="Times New Roman"/>
        </w:rPr>
        <w:t xml:space="preserve">5: Article 832736.</w:t>
      </w:r>
    </w:p>
    <w:p>
      <w:pPr>
        <w:pStyle w:val="BodyText"/>
        <w:spacing w:line="480" w:lineRule="auto" w:after="0" w:before="0"/>
        <w:ind w:firstLine="720"/>
        <w:jc w:val="left"/>
      </w:pPr>
      <w:r>
        <w:rPr>
          <w:rFonts w:ascii="Times New Roman" w:hAnsi="Times New Roman" w:eastAsia="Times New Roman" w:cs="Times New Roman"/>
        </w:rPr>
        <w:t xml:space="preserve">Hampole M, Papanikolaou D, Schmidt LDW and Seegmiller B (2025) Artificial intelligence and the labor market. NBER Working Paper 33509. Cambridge, MA: National Bureau of Economic Research.</w:t>
      </w:r>
    </w:p>
    <w:p>
      <w:pPr>
        <w:pStyle w:val="BodyText"/>
        <w:spacing w:line="480" w:lineRule="auto" w:after="0" w:before="0"/>
        <w:ind w:firstLine="720"/>
        <w:jc w:val="left"/>
      </w:pPr>
      <w:r>
        <w:rPr>
          <w:rFonts w:ascii="Times New Roman" w:hAnsi="Times New Roman" w:eastAsia="Times New Roman" w:cs="Times New Roman"/>
        </w:rPr>
        <w:t xml:space="preserve">Hui X, Reshef O and Zhou L (2024) The short-term effects of generative artificial intelligence on employment: Evidence from an online labor market.</w:t>
      </w:r>
      <w:r>
        <w:rPr>
          <w:rFonts w:ascii="Times New Roman" w:hAnsi="Times New Roman" w:eastAsia="Times New Roman" w:cs="Times New Roman"/>
        </w:rPr>
        <w:t xml:space="preserve"> </w:t>
      </w:r>
      <w:r>
        <w:rPr>
          <w:iCs/>
          <w:rFonts w:ascii="Times New Roman" w:hAnsi="Times New Roman" w:eastAsia="Times New Roman" w:cs="Times New Roman"/>
          <w:i/>
        </w:rPr>
        <w:t xml:space="preserve">Organization Science</w:t>
      </w:r>
      <w:r>
        <w:rPr>
          <w:rFonts w:ascii="Times New Roman" w:hAnsi="Times New Roman" w:eastAsia="Times New Roman" w:cs="Times New Roman"/>
        </w:rPr>
        <w:t xml:space="preserve"> </w:t>
      </w:r>
      <w:r>
        <w:rPr>
          <w:rFonts w:ascii="Times New Roman" w:hAnsi="Times New Roman" w:eastAsia="Times New Roman" w:cs="Times New Roman"/>
        </w:rPr>
        <w:t xml:space="preserve">35(6): 1977–1989.</w:t>
      </w:r>
    </w:p>
    <w:p>
      <w:pPr>
        <w:pStyle w:val="BodyText"/>
        <w:spacing w:line="480" w:lineRule="auto" w:after="0" w:before="0"/>
        <w:ind w:firstLine="720"/>
        <w:jc w:val="left"/>
      </w:pPr>
      <w:r>
        <w:rPr>
          <w:rFonts w:ascii="Times New Roman" w:hAnsi="Times New Roman" w:eastAsia="Times New Roman" w:cs="Times New Roman"/>
        </w:rPr>
        <w:t xml:space="preserve">Humlum A and Vestergaard E (2025) Large language models, small labor market effects. BFI Working Paper 2025-56; NBER Working Paper 33777.</w:t>
      </w:r>
    </w:p>
    <w:p>
      <w:pPr>
        <w:pStyle w:val="BodyText"/>
        <w:spacing w:line="480" w:lineRule="auto" w:after="0" w:before="0"/>
        <w:ind w:firstLine="720"/>
        <w:jc w:val="left"/>
      </w:pPr>
      <w:r>
        <w:rPr>
          <w:rFonts w:ascii="Times New Roman" w:hAnsi="Times New Roman" w:eastAsia="Times New Roman" w:cs="Times New Roman"/>
        </w:rPr>
        <w:t xml:space="preserve">Indeed Hiring Lab (2026) Job postings index, by sector, United States [data set]. Available at: Indeed Hiring Lab (accessed 4 October 2026).</w:t>
      </w:r>
    </w:p>
    <w:p>
      <w:pPr>
        <w:pStyle w:val="BodyText"/>
        <w:spacing w:line="480" w:lineRule="auto" w:after="0" w:before="0"/>
        <w:ind w:firstLine="720"/>
        <w:jc w:val="left"/>
      </w:pPr>
      <w:r>
        <w:rPr>
          <w:rFonts w:ascii="Times New Roman" w:hAnsi="Times New Roman" w:eastAsia="Times New Roman" w:cs="Times New Roman"/>
        </w:rPr>
        <w:t xml:space="preserve">Jasperson JS, Carter PE and Zmud RW (2005) A comprehensive conceptualization of post-adoptive behaviors associated with information technology enabled work systems.</w:t>
      </w:r>
      <w:r>
        <w:rPr>
          <w:rFonts w:ascii="Times New Roman" w:hAnsi="Times New Roman" w:eastAsia="Times New Roman" w:cs="Times New Roman"/>
        </w:rPr>
        <w:t xml:space="preserve"> </w:t>
      </w:r>
      <w:r>
        <w:rPr>
          <w:iCs/>
          <w:rFonts w:ascii="Times New Roman" w:hAnsi="Times New Roman" w:eastAsia="Times New Roman" w:cs="Times New Roman"/>
          <w:i/>
        </w:rPr>
        <w:t xml:space="preserve">MIS Quarterly</w:t>
      </w:r>
      <w:r>
        <w:rPr>
          <w:rFonts w:ascii="Times New Roman" w:hAnsi="Times New Roman" w:eastAsia="Times New Roman" w:cs="Times New Roman"/>
        </w:rPr>
        <w:t xml:space="preserve"> </w:t>
      </w:r>
      <w:r>
        <w:rPr>
          <w:rFonts w:ascii="Times New Roman" w:hAnsi="Times New Roman" w:eastAsia="Times New Roman" w:cs="Times New Roman"/>
        </w:rPr>
        <w:t xml:space="preserve">29(3): 525–557.</w:t>
      </w:r>
    </w:p>
    <w:p>
      <w:pPr>
        <w:pStyle w:val="BodyText"/>
        <w:spacing w:line="480" w:lineRule="auto" w:after="0" w:before="0"/>
        <w:ind w:firstLine="720"/>
        <w:jc w:val="left"/>
      </w:pPr>
      <w:r>
        <w:rPr>
          <w:rFonts w:ascii="Times New Roman" w:hAnsi="Times New Roman" w:eastAsia="Times New Roman" w:cs="Times New Roman"/>
        </w:rPr>
        <w:t xml:space="preserve">Leonardi PM (2011) When flexible routines meet flexible technologies: Affordance, constraint, and the imbrication of human and material agencies.</w:t>
      </w:r>
      <w:r>
        <w:rPr>
          <w:rFonts w:ascii="Times New Roman" w:hAnsi="Times New Roman" w:eastAsia="Times New Roman" w:cs="Times New Roman"/>
        </w:rPr>
        <w:t xml:space="preserve"> </w:t>
      </w:r>
      <w:r>
        <w:rPr>
          <w:iCs/>
          <w:rFonts w:ascii="Times New Roman" w:hAnsi="Times New Roman" w:eastAsia="Times New Roman" w:cs="Times New Roman"/>
          <w:i/>
        </w:rPr>
        <w:t xml:space="preserve">MIS Quarterly</w:t>
      </w:r>
      <w:r>
        <w:rPr>
          <w:rFonts w:ascii="Times New Roman" w:hAnsi="Times New Roman" w:eastAsia="Times New Roman" w:cs="Times New Roman"/>
        </w:rPr>
        <w:t xml:space="preserve"> </w:t>
      </w:r>
      <w:r>
        <w:rPr>
          <w:rFonts w:ascii="Times New Roman" w:hAnsi="Times New Roman" w:eastAsia="Times New Roman" w:cs="Times New Roman"/>
        </w:rPr>
        <w:t xml:space="preserve">35(1): 147–167.</w:t>
      </w:r>
    </w:p>
    <w:p>
      <w:pPr>
        <w:pStyle w:val="BodyText"/>
        <w:spacing w:line="480" w:lineRule="auto" w:after="0" w:before="0"/>
        <w:ind w:firstLine="720"/>
        <w:jc w:val="left"/>
      </w:pPr>
      <w:r>
        <w:rPr>
          <w:rFonts w:ascii="Times New Roman" w:hAnsi="Times New Roman" w:eastAsia="Times New Roman" w:cs="Times New Roman"/>
        </w:rPr>
        <w:t xml:space="preserve">Liang H, Saraf N, Hu Q and Xue Y (2007) Assimilation of enterprise systems: The effect of institutional pressures and the mediating role of top management.</w:t>
      </w:r>
      <w:r>
        <w:rPr>
          <w:rFonts w:ascii="Times New Roman" w:hAnsi="Times New Roman" w:eastAsia="Times New Roman" w:cs="Times New Roman"/>
        </w:rPr>
        <w:t xml:space="preserve"> </w:t>
      </w:r>
      <w:r>
        <w:rPr>
          <w:iCs/>
          <w:rFonts w:ascii="Times New Roman" w:hAnsi="Times New Roman" w:eastAsia="Times New Roman" w:cs="Times New Roman"/>
          <w:i/>
        </w:rPr>
        <w:t xml:space="preserve">MIS Quarterly</w:t>
      </w:r>
      <w:r>
        <w:rPr>
          <w:rFonts w:ascii="Times New Roman" w:hAnsi="Times New Roman" w:eastAsia="Times New Roman" w:cs="Times New Roman"/>
        </w:rPr>
        <w:t xml:space="preserve"> </w:t>
      </w:r>
      <w:r>
        <w:rPr>
          <w:rFonts w:ascii="Times New Roman" w:hAnsi="Times New Roman" w:eastAsia="Times New Roman" w:cs="Times New Roman"/>
        </w:rPr>
        <w:t xml:space="preserve">31(1): 59–87.</w:t>
      </w:r>
    </w:p>
    <w:p>
      <w:pPr>
        <w:pStyle w:val="BodyText"/>
        <w:spacing w:line="480" w:lineRule="auto" w:after="0" w:before="0"/>
        <w:ind w:firstLine="720"/>
        <w:jc w:val="left"/>
      </w:pPr>
      <w:r>
        <w:rPr>
          <w:rFonts w:ascii="Times New Roman" w:hAnsi="Times New Roman" w:eastAsia="Times New Roman" w:cs="Times New Roman"/>
        </w:rPr>
        <w:t xml:space="preserve">Melville N, Kraemer K and Gurbaxani V (2004) Information technology and organizational performance: An integrative model of IT business value.</w:t>
      </w:r>
      <w:r>
        <w:rPr>
          <w:rFonts w:ascii="Times New Roman" w:hAnsi="Times New Roman" w:eastAsia="Times New Roman" w:cs="Times New Roman"/>
        </w:rPr>
        <w:t xml:space="preserve"> </w:t>
      </w:r>
      <w:r>
        <w:rPr>
          <w:iCs/>
          <w:rFonts w:ascii="Times New Roman" w:hAnsi="Times New Roman" w:eastAsia="Times New Roman" w:cs="Times New Roman"/>
          <w:i/>
        </w:rPr>
        <w:t xml:space="preserve">MIS Quarterly</w:t>
      </w:r>
      <w:r>
        <w:rPr>
          <w:rFonts w:ascii="Times New Roman" w:hAnsi="Times New Roman" w:eastAsia="Times New Roman" w:cs="Times New Roman"/>
        </w:rPr>
        <w:t xml:space="preserve"> </w:t>
      </w:r>
      <w:r>
        <w:rPr>
          <w:rFonts w:ascii="Times New Roman" w:hAnsi="Times New Roman" w:eastAsia="Times New Roman" w:cs="Times New Roman"/>
        </w:rPr>
        <w:t xml:space="preserve">28(2): 283–322.</w:t>
      </w:r>
    </w:p>
    <w:p>
      <w:pPr>
        <w:pStyle w:val="BodyText"/>
        <w:spacing w:line="480" w:lineRule="auto" w:after="0" w:before="0"/>
        <w:ind w:firstLine="720"/>
        <w:jc w:val="left"/>
      </w:pPr>
      <w:r>
        <w:rPr>
          <w:rFonts w:ascii="Times New Roman" w:hAnsi="Times New Roman" w:eastAsia="Times New Roman" w:cs="Times New Roman"/>
        </w:rPr>
        <w:t xml:space="preserve">National Center for O*NET Development (2026) O*NET database, version 29.1 [data set]; ESCO crosswalk. Available at: O*NET Resource Center (accessed 4 October 2026).</w:t>
      </w:r>
    </w:p>
    <w:p>
      <w:pPr>
        <w:pStyle w:val="BodyText"/>
        <w:spacing w:line="480" w:lineRule="auto" w:after="0" w:before="0"/>
        <w:ind w:firstLine="720"/>
        <w:jc w:val="left"/>
      </w:pPr>
      <w:r>
        <w:rPr>
          <w:rFonts w:ascii="Times New Roman" w:hAnsi="Times New Roman" w:eastAsia="Times New Roman" w:cs="Times New Roman"/>
        </w:rPr>
        <w:t xml:space="preserve">Orlikowski WJ (2000) Using technology and constituting structures: A practice lens for studying technology in organizations.</w:t>
      </w:r>
      <w:r>
        <w:rPr>
          <w:rFonts w:ascii="Times New Roman" w:hAnsi="Times New Roman" w:eastAsia="Times New Roman" w:cs="Times New Roman"/>
        </w:rPr>
        <w:t xml:space="preserve"> </w:t>
      </w:r>
      <w:r>
        <w:rPr>
          <w:iCs/>
          <w:rFonts w:ascii="Times New Roman" w:hAnsi="Times New Roman" w:eastAsia="Times New Roman" w:cs="Times New Roman"/>
          <w:i/>
        </w:rPr>
        <w:t xml:space="preserve">Organization Science</w:t>
      </w:r>
      <w:r>
        <w:rPr>
          <w:rFonts w:ascii="Times New Roman" w:hAnsi="Times New Roman" w:eastAsia="Times New Roman" w:cs="Times New Roman"/>
        </w:rPr>
        <w:t xml:space="preserve"> </w:t>
      </w:r>
      <w:r>
        <w:rPr>
          <w:rFonts w:ascii="Times New Roman" w:hAnsi="Times New Roman" w:eastAsia="Times New Roman" w:cs="Times New Roman"/>
        </w:rPr>
        <w:t xml:space="preserve">11(4): 404–428.</w:t>
      </w:r>
    </w:p>
    <w:p>
      <w:pPr>
        <w:pStyle w:val="BodyText"/>
        <w:spacing w:line="480" w:lineRule="auto" w:after="0" w:before="0"/>
        <w:ind w:firstLine="720"/>
        <w:jc w:val="left"/>
      </w:pPr>
      <w:r>
        <w:rPr>
          <w:rFonts w:ascii="Times New Roman" w:hAnsi="Times New Roman" w:eastAsia="Times New Roman" w:cs="Times New Roman"/>
        </w:rPr>
        <w:t xml:space="preserve">Rai A, Constantinides P and Sarker S (2019) Next-generation digital platforms: Toward human–AI hybrids.</w:t>
      </w:r>
      <w:r>
        <w:rPr>
          <w:rFonts w:ascii="Times New Roman" w:hAnsi="Times New Roman" w:eastAsia="Times New Roman" w:cs="Times New Roman"/>
        </w:rPr>
        <w:t xml:space="preserve"> </w:t>
      </w:r>
      <w:r>
        <w:rPr>
          <w:iCs/>
          <w:rFonts w:ascii="Times New Roman" w:hAnsi="Times New Roman" w:eastAsia="Times New Roman" w:cs="Times New Roman"/>
          <w:i/>
        </w:rPr>
        <w:t xml:space="preserve">MIS Quarterly</w:t>
      </w:r>
      <w:r>
        <w:rPr>
          <w:rFonts w:ascii="Times New Roman" w:hAnsi="Times New Roman" w:eastAsia="Times New Roman" w:cs="Times New Roman"/>
        </w:rPr>
        <w:t xml:space="preserve"> </w:t>
      </w:r>
      <w:r>
        <w:rPr>
          <w:rFonts w:ascii="Times New Roman" w:hAnsi="Times New Roman" w:eastAsia="Times New Roman" w:cs="Times New Roman"/>
        </w:rPr>
        <w:t xml:space="preserve">43(1): iii–ix.</w:t>
      </w:r>
    </w:p>
    <w:p>
      <w:pPr>
        <w:pStyle w:val="BodyText"/>
        <w:spacing w:line="480" w:lineRule="auto" w:after="0" w:before="0"/>
        <w:ind w:firstLine="720"/>
        <w:jc w:val="left"/>
      </w:pPr>
      <w:r>
        <w:rPr>
          <w:rFonts w:ascii="Times New Roman" w:hAnsi="Times New Roman" w:eastAsia="Times New Roman" w:cs="Times New Roman"/>
        </w:rPr>
        <w:t xml:space="preserve">Statistics Canada (2026) Job vacancies by occupation, Table 14-10-0444, NOC 2021 [data set]. Ottawa: Statistics Canada (accessed 4 October 2026).</w:t>
      </w:r>
    </w:p>
    <w:p>
      <w:pPr>
        <w:pStyle w:val="BodyText"/>
        <w:spacing w:line="480" w:lineRule="auto" w:after="0" w:before="0"/>
        <w:ind w:firstLine="720"/>
        <w:jc w:val="left"/>
      </w:pPr>
      <w:r>
        <w:rPr>
          <w:rFonts w:ascii="Times New Roman" w:hAnsi="Times New Roman" w:eastAsia="Times New Roman" w:cs="Times New Roman"/>
        </w:rPr>
        <w:t xml:space="preserve">Susarla A, Gopal R, Thatcher JB and Sarker S (2023) The Janus effect of generative AI: Charting the path for responsible conduct of scholarly activities in information systems.</w:t>
      </w:r>
      <w:r>
        <w:rPr>
          <w:rFonts w:ascii="Times New Roman" w:hAnsi="Times New Roman" w:eastAsia="Times New Roman" w:cs="Times New Roman"/>
        </w:rPr>
        <w:t xml:space="preserve"> </w:t>
      </w:r>
      <w:r>
        <w:rPr>
          <w:iCs/>
          <w:rFonts w:ascii="Times New Roman" w:hAnsi="Times New Roman" w:eastAsia="Times New Roman" w:cs="Times New Roman"/>
          <w:i/>
        </w:rPr>
        <w:t xml:space="preserve">Information Systems Research</w:t>
      </w:r>
      <w:r>
        <w:rPr>
          <w:rFonts w:ascii="Times New Roman" w:hAnsi="Times New Roman" w:eastAsia="Times New Roman" w:cs="Times New Roman"/>
        </w:rPr>
        <w:t xml:space="preserve"> </w:t>
      </w:r>
      <w:r>
        <w:rPr>
          <w:rFonts w:ascii="Times New Roman" w:hAnsi="Times New Roman" w:eastAsia="Times New Roman" w:cs="Times New Roman"/>
        </w:rPr>
        <w:t xml:space="preserve">34(2): 399–408.</w:t>
      </w:r>
    </w:p>
    <w:p>
      <w:pPr>
        <w:pStyle w:val="BodyText"/>
        <w:spacing w:line="480" w:lineRule="auto" w:after="0" w:before="0"/>
        <w:ind w:firstLine="720"/>
        <w:jc w:val="left"/>
      </w:pPr>
      <w:r>
        <w:rPr>
          <w:rFonts w:ascii="Times New Roman" w:hAnsi="Times New Roman" w:eastAsia="Times New Roman" w:cs="Times New Roman"/>
        </w:rPr>
        <w:t xml:space="preserve">Tambe P and Hitt LM (2012) The productivity of information technology investments: New evidence from IT labor data.</w:t>
      </w:r>
      <w:r>
        <w:rPr>
          <w:rFonts w:ascii="Times New Roman" w:hAnsi="Times New Roman" w:eastAsia="Times New Roman" w:cs="Times New Roman"/>
        </w:rPr>
        <w:t xml:space="preserve"> </w:t>
      </w:r>
      <w:r>
        <w:rPr>
          <w:iCs/>
          <w:rFonts w:ascii="Times New Roman" w:hAnsi="Times New Roman" w:eastAsia="Times New Roman" w:cs="Times New Roman"/>
          <w:i/>
        </w:rPr>
        <w:t xml:space="preserve">Information Systems Research</w:t>
      </w:r>
      <w:r>
        <w:rPr>
          <w:rFonts w:ascii="Times New Roman" w:hAnsi="Times New Roman" w:eastAsia="Times New Roman" w:cs="Times New Roman"/>
        </w:rPr>
        <w:t xml:space="preserve"> </w:t>
      </w:r>
      <w:r>
        <w:rPr>
          <w:rFonts w:ascii="Times New Roman" w:hAnsi="Times New Roman" w:eastAsia="Times New Roman" w:cs="Times New Roman"/>
        </w:rPr>
        <w:t xml:space="preserve">23(3-part-1): 599–617.</w:t>
      </w:r>
    </w:p>
    <w:p>
      <w:pPr>
        <w:pStyle w:val="BodyText"/>
        <w:spacing w:line="480" w:lineRule="auto" w:after="0" w:before="0"/>
        <w:ind w:firstLine="720"/>
        <w:jc w:val="left"/>
      </w:pPr>
      <w:r>
        <w:rPr>
          <w:rFonts w:ascii="Times New Roman" w:hAnsi="Times New Roman" w:eastAsia="Times New Roman" w:cs="Times New Roman"/>
        </w:rPr>
        <w:t xml:space="preserve">Teece DJ (1986) Profiting from technological innovation: Implications for integration, collaboration, licensing and public policy.</w:t>
      </w:r>
      <w:r>
        <w:rPr>
          <w:rFonts w:ascii="Times New Roman" w:hAnsi="Times New Roman" w:eastAsia="Times New Roman" w:cs="Times New Roman"/>
        </w:rPr>
        <w:t xml:space="preserve"> </w:t>
      </w:r>
      <w:r>
        <w:rPr>
          <w:iCs/>
          <w:rFonts w:ascii="Times New Roman" w:hAnsi="Times New Roman" w:eastAsia="Times New Roman" w:cs="Times New Roman"/>
          <w:i/>
        </w:rPr>
        <w:t xml:space="preserve">Research Policy</w:t>
      </w:r>
      <w:r>
        <w:rPr>
          <w:rFonts w:ascii="Times New Roman" w:hAnsi="Times New Roman" w:eastAsia="Times New Roman" w:cs="Times New Roman"/>
        </w:rPr>
        <w:t xml:space="preserve"> </w:t>
      </w:r>
      <w:r>
        <w:rPr>
          <w:rFonts w:ascii="Times New Roman" w:hAnsi="Times New Roman" w:eastAsia="Times New Roman" w:cs="Times New Roman"/>
        </w:rPr>
        <w:t xml:space="preserve">15(6): 285–305.</w:t>
      </w:r>
    </w:p>
    <w:p>
      <w:pPr>
        <w:pStyle w:val="BodyText"/>
        <w:spacing w:line="480" w:lineRule="auto" w:after="0" w:before="0"/>
        <w:ind w:firstLine="720"/>
        <w:jc w:val="left"/>
      </w:pPr>
      <w:r>
        <w:rPr>
          <w:rFonts w:ascii="Times New Roman" w:hAnsi="Times New Roman" w:eastAsia="Times New Roman" w:cs="Times New Roman"/>
        </w:rPr>
        <w:t xml:space="preserve">Wade M and Hulland J (2004) The resource-based view and information systems research: Review, extension, and suggestions for future research.</w:t>
      </w:r>
      <w:r>
        <w:rPr>
          <w:rFonts w:ascii="Times New Roman" w:hAnsi="Times New Roman" w:eastAsia="Times New Roman" w:cs="Times New Roman"/>
        </w:rPr>
        <w:t xml:space="preserve"> </w:t>
      </w:r>
      <w:r>
        <w:rPr>
          <w:iCs/>
          <w:rFonts w:ascii="Times New Roman" w:hAnsi="Times New Roman" w:eastAsia="Times New Roman" w:cs="Times New Roman"/>
          <w:i/>
        </w:rPr>
        <w:t xml:space="preserve">MIS Quarterly</w:t>
      </w:r>
      <w:r>
        <w:rPr>
          <w:rFonts w:ascii="Times New Roman" w:hAnsi="Times New Roman" w:eastAsia="Times New Roman" w:cs="Times New Roman"/>
        </w:rPr>
        <w:t xml:space="preserve"> </w:t>
      </w:r>
      <w:r>
        <w:rPr>
          <w:rFonts w:ascii="Times New Roman" w:hAnsi="Times New Roman" w:eastAsia="Times New Roman" w:cs="Times New Roman"/>
        </w:rPr>
        <w:t xml:space="preserve">28(1): 107–142.</w:t>
      </w:r>
    </w:p>
    <w:p>
      <w:pPr>
        <w:pStyle w:val="BodyText"/>
        <w:spacing w:line="480" w:lineRule="auto" w:after="0" w:before="0"/>
        <w:ind w:firstLine="720"/>
        <w:jc w:val="left"/>
      </w:pPr>
      <w:r>
        <w:rPr>
          <w:rFonts w:ascii="Times New Roman" w:hAnsi="Times New Roman" w:eastAsia="Times New Roman" w:cs="Times New Roman"/>
        </w:rPr>
        <w:t xml:space="preserve">Web Data Commons (2024) Schema.org JobPosting class-specific subsets, crawls 2022-12, 2023-12 and 2024-12 [data sets]. Mannheim: University of Mannheim. Available at: https://webdatacommons.org/structureddata/</w:t>
      </w:r>
    </w:p>
    <w:p>
      <w:pPr>
        <w:pStyle w:val="BodyText"/>
        <w:spacing w:line="480" w:lineRule="auto" w:after="0" w:before="0"/>
        <w:ind w:firstLine="720"/>
        <w:jc w:val="left"/>
      </w:pPr>
      <w:r>
        <w:rPr>
          <w:rFonts w:ascii="Times New Roman" w:hAnsi="Times New Roman" w:eastAsia="Times New Roman" w:cs="Times New Roman"/>
        </w:rPr>
        <w:t xml:space="preserve">Webb M (2020) The impact of artificial intelligence on the labor market. Working paper, SSRN. Available at: https://ssrn.com/abstract=3482150</w:t>
      </w:r>
    </w:p>
    <w:p>
      <w:pPr>
        <w:pStyle w:val="BodyText"/>
        <w:spacing w:line="480" w:lineRule="auto" w:after="0" w:before="0"/>
        <w:ind w:firstLine="720"/>
        <w:jc w:val="left"/>
      </w:pPr>
      <w:r>
        <w:rPr>
          <w:rFonts w:ascii="Times New Roman" w:hAnsi="Times New Roman" w:eastAsia="Times New Roman" w:cs="Times New Roman"/>
        </w:rPr>
        <w:t xml:space="preserve">Zhu K and Kraemer KL (2005) Post-adoption variations in usage and value of e-business by organizations: Cross-country evidence from the retail industry.</w:t>
      </w:r>
      <w:r>
        <w:rPr>
          <w:rFonts w:ascii="Times New Roman" w:hAnsi="Times New Roman" w:eastAsia="Times New Roman" w:cs="Times New Roman"/>
        </w:rPr>
        <w:t xml:space="preserve"> </w:t>
      </w:r>
      <w:r>
        <w:rPr>
          <w:iCs/>
          <w:rFonts w:ascii="Times New Roman" w:hAnsi="Times New Roman" w:eastAsia="Times New Roman" w:cs="Times New Roman"/>
          <w:i/>
        </w:rPr>
        <w:t xml:space="preserve">Information Systems Research</w:t>
      </w:r>
      <w:r>
        <w:rPr>
          <w:rFonts w:ascii="Times New Roman" w:hAnsi="Times New Roman" w:eastAsia="Times New Roman" w:cs="Times New Roman"/>
        </w:rPr>
        <w:t xml:space="preserve"> </w:t>
      </w:r>
      <w:r>
        <w:rPr>
          <w:rFonts w:ascii="Times New Roman" w:hAnsi="Times New Roman" w:eastAsia="Times New Roman" w:cs="Times New Roman"/>
        </w:rPr>
        <w:t xml:space="preserve">16(1): 61–84.</w:t>
      </w:r>
    </w:p>
    <w:bookmarkEnd w:id="46"/>
    <w:sectPr>
      <w:footerReference w:type="default" r:id="rId9"/>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sz w:val="24"/>
    </w:rPr>
  </w:style>
  <w:style w:styleId="BodyText" w:type="paragraph">
    <w:name w:val="Body Text"/>
    <w:basedOn w:val="Normal"/>
    <w:link w:val="BodyTextChar"/>
    <w:pPr>
      <w:spacing w:after="180" w:before="180"/>
    </w:pPr>
    <w:qFormat/>
    <w:rPr>
      <w:rFonts w:ascii="Times New Roman" w:hAnsi="Times New Roman" w:eastAsia="Times New Roman" w:cs="Times New Roman"/>
      <w:sz w:val="24"/>
    </w:rPr>
  </w:style>
  <w:style w:customStyle="1" w:styleId="FirstParagraph" w:type="paragraph">
    <w:name w:val="First Paragraph"/>
    <w:basedOn w:val="BodyText"/>
    <w:next w:val="BodyText"/>
    <w:qFormat/>
    <w:rPr>
      <w:rFonts w:ascii="Times New Roman" w:hAnsi="Times New Roman" w:eastAsia="Times New Roman" w:cs="Times New Roman"/>
      <w:sz w:val="24"/>
    </w:rPr>
  </w:style>
  <w:style w:customStyle="1" w:styleId="Compact" w:type="paragraph">
    <w:name w:val="Compact"/>
    <w:basedOn w:val="BodyText"/>
    <w:qFormat/>
    <w:pPr>
      <w:spacing w:after="36" w:before="36"/>
    </w:pPr>
    <w:rPr>
      <w:rFonts w:ascii="Times New Roman" w:hAnsi="Times New Roman" w:eastAsia="Times New Roman" w:cs="Times New Roman"/>
      <w:sz w:val="24"/>
    </w:rPr>
  </w:style>
  <w:style w:styleId="Title" w:type="paragraph">
    <w:name w:val="Title"/>
    <w:basedOn w:val="Normal"/>
    <w:next w:val="BodyText"/>
    <w:qFormat/>
    <w:pPr>
      <w:keepNext/>
      <w:keepLines/>
      <w:spacing w:after="120" w:before="240"/>
      <w:jc w:val="center"/>
    </w:pPr>
    <w:rPr>
      <w:rFonts w:ascii="Times New Roman" w:hAnsi="Times New Roman" w:eastAsia="Times New Roman" w:cs="Times New Roman"/>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sz w:val="24"/>
    </w:rPr>
  </w:style>
  <w:style w:styleId="Date" w:type="paragraph">
    <w:name w:val="Date"/>
    <w:next w:val="BodyText"/>
    <w:qFormat/>
    <w:pPr>
      <w:keepNext/>
      <w:keepLines/>
      <w:jc w:val="center"/>
    </w:pPr>
    <w:rPr>
      <w:rFonts w:ascii="Times New Roman" w:hAnsi="Times New Roman" w:eastAsia="Times New Roman" w:cs="Times New Roman"/>
      <w:sz w:val="24"/>
    </w:rPr>
  </w:style>
  <w:style w:customStyle="1" w:styleId="AbstractTitle" w:type="paragraph">
    <w:name w:val="Abstract Title"/>
    <w:basedOn w:val="Normal"/>
    <w:next w:val="Abstract"/>
    <w:qFormat/>
    <w:pPr>
      <w:keepNext/>
      <w:keepLines/>
      <w:jc w:val="center"/>
      <w:spacing w:after="0" w:before="300"/>
    </w:pPr>
    <w:rPr>
      <w:sz w:val="24"/>
      <w:szCs w:val="20"/>
      <w:rFonts w:ascii="Times New Roman" w:hAnsi="Times New Roman" w:eastAsia="Times New Roman" w:cs="Times New Roman"/>
      <w:b/>
      <w:color w:val="345A8A"/>
      &gt;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sz w:val="24"/>
      <w:szCs w:val="20"/>
    </w:rPr>
  </w:style>
  <w:style w:styleId="Bibliography" w:type="paragraph">
    <w:name w:val="Bibliography"/>
    <w:basedOn w:val="Normal"/>
    <w:next w:val="Bibliography"/>
    <w:qFormat/>
    <w:pPr/>
    <w:rPr>
      <w:rFonts w:ascii="Times New Roman" w:hAnsi="Times New Roman" w:eastAsia="Times New Roman" w:cs="Times New Roman"/>
      <w:sz w:val="24"/>
    </w:rPr>
  </w:style>
  <w:style w:styleId="Heading1" w:type="paragraph">
    <w:name w:val="Heading 1"/>
    <w:basedOn w:val="Normal"/>
    <w:next w:val="BodyText"/>
    <w:uiPriority w:val="9"/>
    <w:qFormat/>
    <w:pPr>
      <w:keepNext/>
      <w:keepLines/>
      <w:spacing w:after="0" w:before="480"/>
      <w:outlineLvl w:val="0"/>
    </w:pPr>
    <w:rPr>
      <w:rFonts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120" w:before="240"/>
      <w:jc w:val="center"/>
      <w:outlineLvl w:val="1"/>
    </w:pPr>
    <w:rPr>
      <w:rFonts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120" w:before="240"/>
      <w:jc w:val="left"/>
      <w:outlineLvl w:val="2"/>
    </w:pPr>
    <w:rPr>
      <w:rFonts w:ascii="Times New Roman" w:hAnsi="Times New Roman" w:eastAsia="Times New Roman" w:cs="Times New Roman"/>
      <w:b/>
      <w:bCs/>
      <w:i w:val="0"/>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eastAsia="Times New Roman" w:cs="Times New Roman"/>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eastAsia="Times New Roman" w:cs="Times New Roman"/>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eastAsia="Times New Roman" w:cs="Times New Roman"/>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eastAsia="Times New Roman" w:cs="Times New Roman"/>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eastAsia="Times New Roman" w:cs="Times New Roman"/>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eastAsia="Times New Roman" w:cs="Times New Roman"/>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sz w:val="24"/>
    </w:rPr>
  </w:style>
  <w:style w:styleId="FootnoteText" w:type="paragraph">
    <w:name w:val="Footnote Text"/>
    <w:basedOn w:val="Normal"/>
    <w:next w:val="FootnoteText"/>
    <w:uiPriority w:val="9"/>
    <w:unhideWhenUsed/>
    <w:qFormat/>
    <w:rPr>
      <w:rFonts w:ascii="Times New Roman" w:hAnsi="Times New Roman" w:eastAsia="Times New Roman" w:cs="Times New Roman"/>
      <w:sz w:val="24"/>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sz w:val="24"/>
    </w:rPr>
  </w:style>
  <w:style w:customStyle="1" w:styleId="Definition" w:type="paragraph">
    <w:name w:val="Definition"/>
    <w:basedOn w:val="Normal"/>
    <w:rPr>
      <w:rFonts w:ascii="Times New Roman" w:hAnsi="Times New Roman" w:eastAsia="Times New Roman" w:cs="Times New Roman"/>
      <w:sz w:val="24"/>
    </w:rPr>
  </w:style>
  <w:style w:styleId="Caption" w:type="paragraph">
    <w:name w:val="Caption"/>
    <w:basedOn w:val="Normal"/>
    <w:link w:val="BodyTextChar"/>
    <w:pPr>
      <w:spacing w:after="120" w:before="0"/>
    </w:pPr>
    <w:rPr>
      <w:rFonts w:ascii="Times New Roman" w:hAnsi="Times New Roman" w:eastAsia="Times New Roman" w:cs="Times New Roman"/>
      <w:i/>
      <w:sz w:val="24"/>
    </w:rPr>
  </w:style>
  <w:style w:customStyle="1" w:styleId="TableCaption" w:type="paragraph">
    <w:name w:val="Table Caption"/>
    <w:basedOn w:val="Caption"/>
    <w:pPr>
      <w:keepNext/>
    </w:pPr>
    <w:rPr>
      <w:rFonts w:ascii="Times New Roman" w:hAnsi="Times New Roman" w:eastAsia="Times New Roman" w:cs="Times New Roman"/>
      <w:sz w:val="24"/>
    </w:rPr>
  </w:style>
  <w:style w:customStyle="1" w:styleId="ImageCaption" w:type="paragraph">
    <w:name w:val="Image Caption"/>
    <w:basedOn w:val="Caption"/>
    <w:rPr>
      <w:rFonts w:ascii="Times New Roman" w:hAnsi="Times New Roman" w:eastAsia="Times New Roman" w:cs="Times New Roman"/>
      <w:sz w:val="24"/>
    </w:rPr>
  </w:style>
  <w:style w:customStyle="1" w:styleId="Figure" w:type="paragraph">
    <w:name w:val="Figure"/>
    <w:basedOn w:val="Normal"/>
    <w:rPr>
      <w:rFonts w:ascii="Times New Roman" w:hAnsi="Times New Roman" w:eastAsia="Times New Roman" w:cs="Times New Roman"/>
      <w:sz w:val="24"/>
    </w:rPr>
  </w:style>
  <w:style w:customStyle="1" w:styleId="CaptionedFigure" w:type="paragraph">
    <w:name w:val="Captioned Figure"/>
    <w:basedOn w:val="Figure"/>
    <w:pPr>
      <w:keepNext/>
    </w:pPr>
    <w:rPr>
      <w:rFonts w:ascii="Times New Roman" w:hAnsi="Times New Roman" w:eastAsia="Times New Roman" w:cs="Times New Roman"/>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Times New Roman" w:cs="Times New Roman"/>
      <w:b w:val="0"/>
      <w:bCs w:val="0"/>
      <w:color w:themeColor="accent1" w:themeShade="BF" w:val="365F91"/>
      <w:sz w:val="24"/>
    </w:rPr>
  </w:style>
  <w:style w:type="paragraph" w:customStyle="1" w:styleId="SourceCode">
    <w:name w:val="Source Code"/>
    <w:basedOn w:val="Normal"/>
    <w:link w:val="VerbatimChar"/>
    <w:pPr>
      <w:wordWrap w:val="off"/>
    </w:pPr>
    <w:rPr>
      <w:rFonts w:ascii="Times New Roman" w:hAnsi="Times New Roman" w:eastAsia="Times New Roman" w:cs="Times New Roman"/>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2026-10-28T08:18:10Z</dcterms:created>
  <dcterms:modified xsi:type="dcterms:W3CDTF">2026-10-28T08:18:10Z</dcterms:modified>
  <cp:lastModifiedBy/>
</cp:coreProperties>
</file>

<file path=docProps/custom.xml><?xml version="1.0" encoding="utf-8"?>
<Properties xmlns="http://schemas.openxmlformats.org/officeDocument/2006/custom-properties" xmlns:vt="http://schemas.openxmlformats.org/officeDocument/2006/docPropsVTypes"/>
</file>