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eastAsia="Times New Roman" w:cs="Times New Roman"/>
        </w:rPr>
        <w:t xml:space="preserve">Online</w:t>
      </w:r>
      <w:r>
        <w:rPr>
          <w:rFonts w:ascii="Times New Roman" w:hAnsi="Times New Roman" w:eastAsia="Times New Roman" w:cs="Times New Roman"/>
        </w:rPr>
        <w:t xml:space="preserve"> </w:t>
      </w:r>
      <w:r>
        <w:rPr>
          <w:rFonts w:ascii="Times New Roman" w:hAnsi="Times New Roman" w:eastAsia="Times New Roman" w:cs="Times New Roman"/>
        </w:rPr>
        <w:t xml:space="preserve">Supplement:</w:t>
      </w:r>
      <w:r>
        <w:rPr>
          <w:rFonts w:ascii="Times New Roman" w:hAnsi="Times New Roman" w:eastAsia="Times New Roman" w:cs="Times New Roman"/>
        </w:rPr>
        <w:t xml:space="preserve"> </w:t>
      </w:r>
      <w:r>
        <w:rPr>
          <w:rFonts w:ascii="Times New Roman" w:hAnsi="Times New Roman" w:eastAsia="Times New Roman" w:cs="Times New Roman"/>
        </w:rPr>
        <w:t xml:space="preserve">Acquired,</w:t>
      </w:r>
      <w:r>
        <w:rPr>
          <w:rFonts w:ascii="Times New Roman" w:hAnsi="Times New Roman" w:eastAsia="Times New Roman" w:cs="Times New Roman"/>
        </w:rPr>
        <w:t xml:space="preserve"> </w:t>
      </w:r>
      <w:r>
        <w:rPr>
          <w:rFonts w:ascii="Times New Roman" w:hAnsi="Times New Roman" w:eastAsia="Times New Roman" w:cs="Times New Roman"/>
        </w:rPr>
        <w:t xml:space="preserve">Not</w:t>
      </w:r>
      <w:r>
        <w:rPr>
          <w:rFonts w:ascii="Times New Roman" w:hAnsi="Times New Roman" w:eastAsia="Times New Roman" w:cs="Times New Roman"/>
        </w:rPr>
        <w:t xml:space="preserve"> </w:t>
      </w:r>
      <w:r>
        <w:rPr>
          <w:rFonts w:ascii="Times New Roman" w:hAnsi="Times New Roman" w:eastAsia="Times New Roman" w:cs="Times New Roman"/>
        </w:rPr>
        <w:t xml:space="preserve">Yet</w:t>
      </w:r>
      <w:r>
        <w:rPr>
          <w:rFonts w:ascii="Times New Roman" w:hAnsi="Times New Roman" w:eastAsia="Times New Roman" w:cs="Times New Roman"/>
        </w:rPr>
        <w:t xml:space="preserve"> </w:t>
      </w:r>
      <w:r>
        <w:rPr>
          <w:rFonts w:ascii="Times New Roman" w:hAnsi="Times New Roman" w:eastAsia="Times New Roman" w:cs="Times New Roman"/>
        </w:rPr>
        <w:t xml:space="preserve">Assimilated?</w:t>
      </w:r>
    </w:p>
    <w:p>
      <w:pPr>
        <w:pStyle w:val="FirstParagraph"/>
      </w:pPr>
      <w:r>
        <w:rPr>
          <w:rFonts w:ascii="Times New Roman" w:hAnsi="Times New Roman" w:eastAsia="Times New Roman" w:cs="Times New Roman"/>
        </w:rPr>
        <w:t xml:space="preserve">This supplement accompanies the manuscript. Equation numbers refer to the main text.</w:t>
      </w:r>
    </w:p>
    <w:bookmarkStart w:id="20" w:name="s1-earliest-detection-years"/>
    <w:p>
      <w:pPr>
        <w:pStyle w:val="Heading2"/>
      </w:pPr>
      <w:r>
        <w:rPr>
          <w:rFonts w:ascii="Times New Roman" w:hAnsi="Times New Roman" w:eastAsia="Times New Roman" w:cs="Times New Roman"/>
        </w:rPr>
        <w:t xml:space="preserve">S1 Earliest detection years</w:t>
      </w:r>
    </w:p>
    <w:p>
      <w:pPr>
        <w:pStyle w:val="FirstParagraph"/>
        <w:spacing w:line="240" w:lineRule="auto" w:after="120" w:before="0"/>
        <w:ind w:firstLine="0"/>
        <w:jc w:val="left"/>
      </w:pPr>
      <w:r>
        <w:rPr>
          <w:bCs/>
          <w:rFonts w:ascii="Times New Roman" w:hAnsi="Times New Roman" w:eastAsia="Times New Roman" w:cs="Times New Roman"/>
          <w:b/>
        </w:rPr>
        <w:t xml:space="preserve">Table S1. Earliest year in which complete assimilation would become detectable, European design</w:t>
      </w:r>
    </w:p>
    <w:tbl>
      <w:tblPr>
        <w:tblStyle w:val="Table"/>
        <w:tblW w:type="pct" w:w="5000"/>
        <w:tblLook w:firstRow="1" w:lastRow="0" w:firstColumn="0" w:lastColumn="0" w:noHBand="0" w:noVBand="0" w:val="0020"/>
        <w:jc w:val="start"/>
        <w:tblBorders>
          <w:top w:val="single" w:sz="8" w:color="000000"/>
          <w:bottom w:val="single" w:sz="8" w:color="000000"/>
        </w:tblBorders>
      </w:tblPr>
      <w:tblGrid>
        <w:gridCol w:w="1584"/>
        <w:gridCol w:w="1584"/>
        <w:gridCol w:w="1584"/>
        <w:gridCol w:w="1584"/>
        <w:gridCol w:w="1584"/>
      </w:tblGrid>
      <w:tr>
        <w:trPr>
          <w:tblHeader w:val="true"/>
        </w:trPr>
        <w:tc>
          <w:tcPr>
            <w:tcBorders>
              <w:bottom w:val="single" w:sz="6" w:color="000000"/>
            </w:tcBorders>
          </w:tcPr>
          <w:p>
            <w:pPr>
              <w:pStyle w:val="Compact"/>
              <w:spacing w:line="240" w:lineRule="auto" w:after="40"/>
              <w:ind w:firstLine="0"/>
              <w:jc w:val="left"/>
            </w:pPr>
            <m:oMath>
              <m:r>
                <m:t>β</m:t>
              </m:r>
            </m:oMath>
            <w:r>
              <w:rPr>
                <w:rFonts w:ascii="Times New Roman" w:hAnsi="Times New Roman"/>
                <w:b/>
                <w:sz w:val="19"/>
              </w:rPr>
              <w:t xml:space="preserve"> </w:t>
            </w:r>
            <w:r>
              <w:rPr>
                <w:rFonts w:ascii="Times New Roman" w:hAnsi="Times New Roman"/>
                <w:b/>
                <w:sz w:val="19"/>
              </w:rPr>
              <w:t xml:space="preserve">among assimilators</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Required</w:t>
            </w:r>
            <w:r>
              <w:rPr>
                <w:rFonts w:ascii="Times New Roman" w:hAnsi="Times New Roman"/>
                <w:b/>
                <w:sz w:val="19"/>
              </w:rPr>
              <w:t xml:space="preserve"> </w:t>
            </w:r>
            <m:oMath>
              <m:sSup>
                <m:e>
                  <m:r>
                    <m:t>A</m:t>
                  </m:r>
                </m:e>
                <m:sup>
                  <m:r>
                    <m:t>a</m:t>
                  </m:r>
                </m:sup>
              </m:sSup>
            </m:oMath>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Fast (all / media)</w:t>
            </w:r>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Medium (all / media)</w:t>
            </w:r>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Slow (all / media)</w:t>
            </w:r>
          </w:p>
        </w:tc>
      </w:tr>
      <w:tr>
        <w:tc>
          <w:tcPr/>
          <w:p>
            <w:pPr>
              <w:pStyle w:val="Compact"/>
              <w:spacing w:line="240" w:lineRule="auto" w:after="40"/>
              <w:ind w:firstLine="0"/>
              <w:jc w:val="left"/>
            </w:pPr>
            <w:r>
              <w:rPr>
                <w:rFonts w:ascii="Times New Roman" w:hAnsi="Times New Roman"/>
                <w:sz w:val="19"/>
              </w:rPr>
              <w:t xml:space="preserve">−0.19 (−17%)</w:t>
            </w:r>
          </w:p>
        </w:tc>
        <w:tc>
          <w:tcPr/>
          <w:p>
            <w:pPr>
              <w:pStyle w:val="Compact"/>
              <w:spacing w:line="240" w:lineRule="auto" w:after="40"/>
              <w:ind w:firstLine="0"/>
              <w:jc w:val="right"/>
            </w:pPr>
            <w:r>
              <w:rPr>
                <w:rFonts w:ascii="Times New Roman" w:hAnsi="Times New Roman"/>
                <w:sz w:val="19"/>
              </w:rPr>
              <w:t xml:space="preserve">above 100%</w:t>
            </w:r>
          </w:p>
        </w:tc>
        <w:tc>
          <w:tcPr/>
          <w:p>
            <w:pPr>
              <w:pStyle w:val="Compact"/>
              <w:spacing w:line="240" w:lineRule="auto" w:after="40"/>
              <w:ind w:firstLine="0"/>
              <w:jc w:val="left"/>
            </w:pPr>
            <w:r>
              <w:rPr>
                <w:rFonts w:ascii="Times New Roman" w:hAnsi="Times New Roman"/>
                <w:sz w:val="19"/>
              </w:rPr>
              <w:t xml:space="preserve">never</w:t>
            </w:r>
          </w:p>
        </w:tc>
        <w:tc>
          <w:tcPr/>
          <w:p>
            <w:pPr>
              <w:pStyle w:val="Compact"/>
              <w:spacing w:line="240" w:lineRule="auto" w:after="40"/>
              <w:ind w:firstLine="0"/>
              <w:jc w:val="left"/>
            </w:pPr>
            <w:r>
              <w:rPr>
                <w:rFonts w:ascii="Times New Roman" w:hAnsi="Times New Roman"/>
                <w:sz w:val="19"/>
              </w:rPr>
              <w:t xml:space="preserve">never</w:t>
            </w:r>
          </w:p>
        </w:tc>
        <w:tc>
          <w:tcPr/>
          <w:p>
            <w:pPr>
              <w:pStyle w:val="Compact"/>
              <w:spacing w:line="240" w:lineRule="auto" w:after="40"/>
              <w:ind w:firstLine="0"/>
              <w:jc w:val="left"/>
            </w:pPr>
            <w:r>
              <w:rPr>
                <w:rFonts w:ascii="Times New Roman" w:hAnsi="Times New Roman"/>
                <w:sz w:val="19"/>
              </w:rPr>
              <w:t xml:space="preserve">never</w:t>
            </w:r>
          </w:p>
        </w:tc>
      </w:tr>
      <w:tr>
        <w:tc>
          <w:tcPr/>
          <w:p>
            <w:pPr>
              <w:pStyle w:val="Compact"/>
              <w:spacing w:line="240" w:lineRule="auto" w:after="40"/>
              <w:ind w:firstLine="0"/>
              <w:jc w:val="left"/>
            </w:pPr>
            <w:r>
              <w:rPr>
                <w:rFonts w:ascii="Times New Roman" w:hAnsi="Times New Roman"/>
                <w:sz w:val="19"/>
              </w:rPr>
              <w:t xml:space="preserve">−0.50 (−39%)</w:t>
            </w:r>
          </w:p>
        </w:tc>
        <w:tc>
          <w:tcPr/>
          <w:p>
            <w:pPr>
              <w:pStyle w:val="Compact"/>
              <w:spacing w:line="240" w:lineRule="auto" w:after="40"/>
              <w:ind w:firstLine="0"/>
              <w:jc w:val="right"/>
            </w:pPr>
            <w:r>
              <w:rPr>
                <w:rFonts w:ascii="Times New Roman" w:hAnsi="Times New Roman"/>
                <w:sz w:val="19"/>
              </w:rPr>
              <w:t xml:space="preserve">53%</w:t>
            </w:r>
          </w:p>
        </w:tc>
        <w:tc>
          <w:tcPr/>
          <w:p>
            <w:pPr>
              <w:pStyle w:val="Compact"/>
              <w:spacing w:line="240" w:lineRule="auto" w:after="40"/>
              <w:ind w:firstLine="0"/>
              <w:jc w:val="left"/>
            </w:pPr>
            <w:r>
              <w:rPr>
                <w:rFonts w:ascii="Times New Roman" w:hAnsi="Times New Roman"/>
                <w:sz w:val="19"/>
              </w:rPr>
              <w:t xml:space="preserve">2029 / 2026</w:t>
            </w:r>
          </w:p>
        </w:tc>
        <w:tc>
          <w:tcPr/>
          <w:p>
            <w:pPr>
              <w:pStyle w:val="Compact"/>
              <w:spacing w:line="240" w:lineRule="auto" w:after="40"/>
              <w:ind w:firstLine="0"/>
              <w:jc w:val="left"/>
            </w:pPr>
            <w:r>
              <w:rPr>
                <w:rFonts w:ascii="Times New Roman" w:hAnsi="Times New Roman"/>
                <w:sz w:val="19"/>
              </w:rPr>
              <w:t xml:space="preserve">2030 / 2027</w:t>
            </w:r>
          </w:p>
        </w:tc>
        <w:tc>
          <w:tcPr/>
          <w:p>
            <w:pPr>
              <w:pStyle w:val="Compact"/>
              <w:spacing w:line="240" w:lineRule="auto" w:after="40"/>
              <w:ind w:firstLine="0"/>
              <w:jc w:val="left"/>
            </w:pPr>
            <w:r>
              <w:rPr>
                <w:rFonts w:ascii="Times New Roman" w:hAnsi="Times New Roman"/>
                <w:sz w:val="19"/>
              </w:rPr>
              <w:t xml:space="preserve">2035 / 2028</w:t>
            </w:r>
          </w:p>
        </w:tc>
      </w:tr>
      <w:tr>
        <w:tc>
          <w:tcPr/>
          <w:p>
            <w:pPr>
              <w:pStyle w:val="Compact"/>
              <w:spacing w:line="240" w:lineRule="auto" w:after="40"/>
              <w:ind w:firstLine="0"/>
              <w:jc w:val="left"/>
            </w:pPr>
            <w:r>
              <w:rPr>
                <w:rFonts w:ascii="Times New Roman" w:hAnsi="Times New Roman"/>
                <w:sz w:val="19"/>
              </w:rPr>
              <w:t xml:space="preserve">−0.80 (−55%)</w:t>
            </w:r>
          </w:p>
        </w:tc>
        <w:tc>
          <w:tcPr/>
          <w:p>
            <w:pPr>
              <w:pStyle w:val="Compact"/>
              <w:spacing w:line="240" w:lineRule="auto" w:after="40"/>
              <w:ind w:firstLine="0"/>
              <w:jc w:val="right"/>
            </w:pPr>
            <w:r>
              <w:rPr>
                <w:rFonts w:ascii="Times New Roman" w:hAnsi="Times New Roman"/>
                <w:sz w:val="19"/>
              </w:rPr>
              <w:t xml:space="preserve">33%</w:t>
            </w:r>
          </w:p>
        </w:tc>
        <w:tc>
          <w:tcPr/>
          <w:p>
            <w:pPr>
              <w:pStyle w:val="Compact"/>
              <w:spacing w:line="240" w:lineRule="auto" w:after="40"/>
              <w:ind w:firstLine="0"/>
              <w:jc w:val="left"/>
            </w:pPr>
            <w:r>
              <w:rPr>
                <w:rFonts w:ascii="Times New Roman" w:hAnsi="Times New Roman"/>
                <w:sz w:val="19"/>
              </w:rPr>
              <w:t xml:space="preserve">2028 / 2025</w:t>
            </w:r>
          </w:p>
        </w:tc>
        <w:tc>
          <w:tcPr/>
          <w:p>
            <w:pPr>
              <w:pStyle w:val="Compact"/>
              <w:spacing w:line="240" w:lineRule="auto" w:after="40"/>
              <w:ind w:firstLine="0"/>
              <w:jc w:val="left"/>
            </w:pPr>
            <w:r>
              <w:rPr>
                <w:rFonts w:ascii="Times New Roman" w:hAnsi="Times New Roman"/>
                <w:sz w:val="19"/>
              </w:rPr>
              <w:t xml:space="preserve">2029 / 2025</w:t>
            </w:r>
          </w:p>
        </w:tc>
        <w:tc>
          <w:tcPr/>
          <w:p>
            <w:pPr>
              <w:pStyle w:val="Compact"/>
              <w:spacing w:line="240" w:lineRule="auto" w:after="40"/>
              <w:ind w:firstLine="0"/>
              <w:jc w:val="left"/>
            </w:pPr>
            <w:r>
              <w:rPr>
                <w:rFonts w:ascii="Times New Roman" w:hAnsi="Times New Roman"/>
                <w:sz w:val="19"/>
              </w:rPr>
              <w:t xml:space="preserve">2032 / 2025</w:t>
            </w:r>
          </w:p>
        </w:tc>
      </w:tr>
    </w:tbl>
    <w:p>
      <w:pPr>
        <w:pStyle w:val="BodyText"/>
        <w:spacing w:line="240" w:lineRule="auto" w:after="120" w:before="0"/>
        <w:ind w:firstLine="0"/>
        <w:jc w:val="left"/>
      </w:pPr>
      <w:r>
        <w:rPr>
          <w:iCs/>
          <w:rFonts w:ascii="Times New Roman" w:hAnsi="Times New Roman" w:eastAsia="Times New Roman" w:cs="Times New Roman"/>
          <w:i/>
        </w:rPr>
        <w:t xml:space="preserve">Notes.</w:t>
      </w:r>
      <w:r>
        <w:rPr>
          <w:rFonts w:ascii="Times New Roman" w:hAnsi="Times New Roman" w:eastAsia="Times New Roman" w:cs="Times New Roman"/>
        </w:rPr>
        <w:t xml:space="preserve"> </w:t>
      </w:r>
      <w:r>
        <w:rPr>
          <w:rFonts w:ascii="Times New Roman" w:hAnsi="Times New Roman" w:eastAsia="Times New Roman" w:cs="Times New Roman"/>
        </w:rPr>
        <w:t xml:space="preserve">Paths start in 2025 at 9.6 percent (all firms) or 36.2 percent (publishing, film, and broadcasting) with log-odds slopes of 0.75 (fast), 0.50 (medium), and 0.25 (slow) per year. Detection threshold:</w:t>
      </w:r>
      <w:r>
        <w:rPr>
          <w:rFonts w:ascii="Times New Roman" w:hAnsi="Times New Roman" w:eastAsia="Times New Roman" w:cs="Times New Roman"/>
        </w:rPr>
        <w:t xml:space="preserve"> </w:t>
      </w:r>
      <m:oMath>
        <m:r>
          <m:t>2.8</m:t>
        </m:r>
        <m:r>
          <m:rPr>
            <m:sty m:val="p"/>
          </m:rPr>
          <m:t>×</m:t>
        </m:r>
        <m:r>
          <m:t>0.018</m:t>
        </m:r>
        <m:r>
          <m:rPr>
            <m:sty m:val="p"/>
          </m:rPr>
          <m:t>×</m:t>
        </m:r>
        <m:r>
          <m:t>5.3</m:t>
        </m:r>
        <m:r>
          <m:rPr>
            <m:sty m:val="p"/>
          </m:rPr>
          <m:t>≈</m:t>
        </m:r>
        <m:r>
          <m:t>0.27</m:t>
        </m:r>
      </m:oMath>
      <w:r>
        <w:rPr>
          <w:rFonts w:ascii="Times New Roman" w:hAnsi="Times New Roman" w:eastAsia="Times New Roman" w:cs="Times New Roman"/>
        </w:rPr>
        <w:t xml:space="preserve">. Each entry is the first year in which the required share is reached. Dates assume</w:t>
      </w:r>
      <w:r>
        <w:rPr>
          <w:rFonts w:ascii="Times New Roman" w:hAnsi="Times New Roman" w:eastAsia="Times New Roman" w:cs="Times New Roman"/>
        </w:rPr>
        <w:t xml:space="preserve"> </w:t>
      </w:r>
      <m:oMath>
        <m:sSup>
          <m:e>
            <m:r>
              <m:t>A</m:t>
            </m:r>
          </m:e>
          <m:sup>
            <m:r>
              <m:t>a</m:t>
            </m:r>
          </m:sup>
        </m:sSup>
        <m:r>
          <m:rPr>
            <m:sty m:val="p"/>
          </m:rPr>
          <m:t>=</m:t>
        </m:r>
        <m:sSup>
          <m:e>
            <m:r>
              <m:t>A</m:t>
            </m:r>
          </m:e>
          <m:sup>
            <m:r>
              <m:t>u</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and are lower bounds; entries that fall close to a threshold can shift by a year with the rounding of the standard error.</w:t>
      </w:r>
    </w:p>
    <w:p>
      <w:pPr>
        <w:pStyle w:val="BodyText"/>
        <w:spacing w:line="240" w:lineRule="auto" w:after="120" w:before="0"/>
        <w:ind w:firstLine="0"/>
        <w:jc w:val="left"/>
      </w:pPr>
      <w:r>
        <w:rPr>
          <w:iCs/>
          <w:rFonts w:ascii="Times New Roman" w:hAnsi="Times New Roman" w:eastAsia="Times New Roman" w:cs="Times New Roman"/>
          <w:i/>
        </w:rPr>
        <w:t xml:space="preserve">Notes.</w:t>
      </w:r>
      <w:r>
        <w:rPr>
          <w:rFonts w:ascii="Times New Roman" w:hAnsi="Times New Roman" w:eastAsia="Times New Roman" w:cs="Times New Roman"/>
        </w:rPr>
        <w:t xml:space="preserve"> </w:t>
      </w:r>
      <w:r>
        <w:rPr>
          <w:rFonts w:ascii="Times New Roman" w:hAnsi="Times New Roman" w:eastAsia="Times New Roman" w:cs="Times New Roman"/>
        </w:rPr>
        <w:t xml:space="preserve">Paths start in 2025 at 9.6 percent (all firms) or 36.2 percent (publishing, film, and broadcasting) with log-odds slopes of 0.75 (fast), 0.50 (medium), and 0.25 (slow) per year. Detection threshold:</w:t>
      </w:r>
      <w:r>
        <w:rPr>
          <w:rFonts w:ascii="Times New Roman" w:hAnsi="Times New Roman" w:eastAsia="Times New Roman" w:cs="Times New Roman"/>
        </w:rPr>
        <w:t xml:space="preserve"> </w:t>
      </w:r>
      <m:oMath>
        <m:r>
          <m:t>2.8</m:t>
        </m:r>
        <m:r>
          <m:rPr>
            <m:sty m:val="p"/>
          </m:rPr>
          <m:t>×</m:t>
        </m:r>
        <m:r>
          <m:t>0.018</m:t>
        </m:r>
        <m:r>
          <m:rPr>
            <m:sty m:val="p"/>
          </m:rPr>
          <m:t>×</m:t>
        </m:r>
        <m:r>
          <m:t>5.3</m:t>
        </m:r>
        <m:r>
          <m:rPr>
            <m:sty m:val="p"/>
          </m:rPr>
          <m:t>≈</m:t>
        </m:r>
        <m:r>
          <m:t>0.27</m:t>
        </m:r>
      </m:oMath>
      <w:r>
        <w:rPr>
          <w:rFonts w:ascii="Times New Roman" w:hAnsi="Times New Roman" w:eastAsia="Times New Roman" w:cs="Times New Roman"/>
        </w:rPr>
        <w:t xml:space="preserve">. Dates assume</w:t>
      </w:r>
      <w:r>
        <w:rPr>
          <w:rFonts w:ascii="Times New Roman" w:hAnsi="Times New Roman" w:eastAsia="Times New Roman" w:cs="Times New Roman"/>
        </w:rPr>
        <w:t xml:space="preserve"> </w:t>
      </w:r>
      <m:oMath>
        <m:sSup>
          <m:e>
            <m:r>
              <m:t>A</m:t>
            </m:r>
          </m:e>
          <m:sup>
            <m:r>
              <m:t>a</m:t>
            </m:r>
          </m:sup>
        </m:sSup>
        <m:r>
          <m:rPr>
            <m:sty m:val="p"/>
          </m:rPr>
          <m:t>=</m:t>
        </m:r>
        <m:sSup>
          <m:e>
            <m:r>
              <m:t>A</m:t>
            </m:r>
          </m:e>
          <m:sup>
            <m:r>
              <m:t>u</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and are lower bounds.</w:t>
      </w:r>
    </w:p>
    <w:bookmarkEnd w:id="20"/>
    <w:bookmarkStart w:id="24" w:name="s2-further-designs"/>
    <w:p>
      <w:pPr>
        <w:pStyle w:val="Heading2"/>
      </w:pPr>
      <w:r>
        <w:rPr>
          <w:rFonts w:ascii="Times New Roman" w:hAnsi="Times New Roman" w:eastAsia="Times New Roman" w:cs="Times New Roman"/>
        </w:rPr>
        <w:t xml:space="preserve">S2 Further designs</w:t>
      </w:r>
    </w:p>
    <w:bookmarkStart w:id="21" w:name="X7d2607a95d7a6b4dff3e0f4bb1c684062d3603f"/>
    <w:p>
      <w:pPr>
        <w:pStyle w:val="Heading3"/>
      </w:pPr>
      <w:r>
        <w:rPr>
          <w:rFonts w:ascii="Times New Roman" w:hAnsi="Times New Roman" w:eastAsia="Times New Roman" w:cs="Times New Roman"/>
        </w:rPr>
        <w:t xml:space="preserve">S2.1 Employment where acquisition is highest</w:t>
      </w:r>
    </w:p>
    <w:p>
      <w:pPr>
        <w:pStyle w:val="FirstParagraph"/>
        <w:spacing w:line="480" w:lineRule="auto" w:after="0" w:before="0"/>
        <w:ind w:firstLine="720"/>
        <w:jc w:val="left"/>
      </w:pPr>
      <w:r>
        <w:rPr>
          <w:rFonts w:ascii="Times New Roman" w:hAnsi="Times New Roman" w:eastAsia="Times New Roman" w:cs="Times New Roman"/>
        </w:rPr>
        <w:t xml:space="preserve">European Labour Force Survey employment in motion picture and video production (NACE 59), advertising and market research (73), and other professional, scientific, and technical activities including design and photography (74) rose between 2019–2021 and 2023–2025 by 0.13, 0.11, and 0.15 log points, against a median of 0.04 across 89 industries; these three creative industries gained 0.09 log points relative to other industries (randomization</w:t>
      </w:r>
      <w:r>
        <w:rPr>
          <w:rFonts w:ascii="Times New Roman" w:hAnsi="Times New Roman" w:eastAsia="Times New Roman" w:cs="Times New Roman"/>
        </w:rPr>
        <w:t xml:space="preserve"> </w:t>
      </w:r>
      <m:oMath>
        <m:r>
          <m:t>p</m:t>
        </m:r>
        <m:r>
          <m:rPr>
            <m:sty m:val="p"/>
          </m:rPr>
          <m:t>=</m:t>
        </m:r>
        <m:r>
          <m:t>0.18</m:t>
        </m:r>
      </m:oMath>
      <w:r>
        <w:rPr>
          <w:rFonts w:ascii="Times New Roman" w:hAnsi="Times New Roman" w:eastAsia="Times New Roman" w:cs="Times New Roman"/>
        </w:rPr>
        <w:t xml:space="preserve">). In the United States, Indeed postings in arts and entertainment, media and communications, and marketing fell by 0.44, 0.63, and 0.62 log points between 2022 and 2023–2025, against a median of</w:t>
      </w:r>
      <w:r>
        <w:rPr>
          <w:rFonts w:ascii="Times New Roman" w:hAnsi="Times New Roman" w:eastAsia="Times New Roman" w:cs="Times New Roman"/>
        </w:rPr>
        <w:t xml:space="preserve"> </w:t>
      </w:r>
      <m:oMath>
        <m:r>
          <m:rPr>
            <m:sty m:val="p"/>
          </m:rPr>
          <m:t>−</m:t>
        </m:r>
        <m:r>
          <m:t>0.27</m:t>
        </m:r>
      </m:oMath>
      <w:r>
        <w:rPr>
          <w:rFonts w:ascii="Times New Roman" w:hAnsi="Times New Roman" w:eastAsia="Times New Roman" w:cs="Times New Roman"/>
        </w:rPr>
        <w:t xml:space="preserve"> </w:t>
      </w:r>
      <w:r>
        <w:rPr>
          <w:rFonts w:ascii="Times New Roman" w:hAnsi="Times New Roman" w:eastAsia="Times New Roman" w:cs="Times New Roman"/>
        </w:rPr>
        <w:t xml:space="preserve">across 47 sectors, but postings for software development and for data and analytics fell by 0.96 and 0.86, and four of the five sectors had risen by more than the median sector between 2020 and 2022 (descriptive only). The finest public occupation-by-industry cross-tabulation (one-digit occupations by industry section) shows professionals’ employment growing by 0.26 log points in information and communication, 0.17 in professional and technical activities, and 0.14 in arts and entertainment, against a median of 0.19 across 21 sections; these groups are dominated by occupations other than visual production, and two-digit occupation data (legal, social, and cultural professionals, +0.09, against a median of 0.02 across two-digit occupations) are too coarse to isolate designers or artists. Neither series isolates visual generation, and both are consistent with every account in Table 1 other than large and rapid net substitution.</w:t>
      </w:r>
    </w:p>
    <w:bookmarkEnd w:id="21"/>
    <w:bookmarkStart w:id="22" w:name="s2.2-acquisition-interaction-in-europe"/>
    <w:p>
      <w:pPr>
        <w:pStyle w:val="Heading3"/>
      </w:pPr>
      <w:r>
        <w:rPr>
          <w:rFonts w:ascii="Times New Roman" w:hAnsi="Times New Roman" w:eastAsia="Times New Roman" w:cs="Times New Roman"/>
        </w:rPr>
        <w:t xml:space="preserve">S2.2 Acquisition interaction in Europe</w:t>
      </w:r>
    </w:p>
    <w:p>
      <w:pPr>
        <w:pStyle w:val="FirstParagraph"/>
        <w:spacing w:line="480" w:lineRule="auto" w:after="0" w:before="0"/>
        <w:ind w:firstLine="720"/>
        <w:jc w:val="left"/>
      </w:pPr>
      <w:r>
        <w:rPr>
          <w:rFonts w:ascii="Times New Roman" w:hAnsi="Times New Roman" w:eastAsia="Times New Roman" w:cs="Times New Roman"/>
        </w:rPr>
        <w:t xml:space="preserve">A European dose-response test interacts occupational exposure with country-level acquisition of picture, video, or audio generation in 2025 (Eurostat, 2026), which is available for all 16 countries in the sample; language-model exposure and its interaction enter as controls. Complete assimilation predicts a steeper exposure gradient where acquisition is higher, whereas the gap and offsetting-scale accounts predict no such interaction. The interaction coefficient per standard deviation of acquisition (4.8 percentage points) is</w:t>
      </w:r>
      <w:r>
        <w:rPr>
          <w:rFonts w:ascii="Times New Roman" w:hAnsi="Times New Roman" w:eastAsia="Times New Roman" w:cs="Times New Roman"/>
        </w:rPr>
        <w:t xml:space="preserve"> </w:t>
      </w:r>
      <m:oMath>
        <m:r>
          <m:rPr>
            <m:sty m:val="p"/>
          </m:rPr>
          <m:t>+</m:t>
        </m:r>
        <m:r>
          <m:t>0.002</m:t>
        </m:r>
      </m:oMath>
      <w:r>
        <w:rPr>
          <w:rFonts w:ascii="Times New Roman" w:hAnsi="Times New Roman" w:eastAsia="Times New Roman" w:cs="Times New Roman"/>
        </w:rPr>
        <w:t xml:space="preserve"> </w:t>
      </w:r>
      <w:r>
        <w:rPr>
          <w:rFonts w:ascii="Times New Roman" w:hAnsi="Times New Roman" w:eastAsia="Times New Roman" w:cs="Times New Roman"/>
        </w:rPr>
        <w:t xml:space="preserve">(standard error 0.006) in 2023 and</w:t>
      </w:r>
      <w:r>
        <w:rPr>
          <w:rFonts w:ascii="Times New Roman" w:hAnsi="Times New Roman" w:eastAsia="Times New Roman" w:cs="Times New Roman"/>
        </w:rPr>
        <w:t xml:space="preserve"> </w:t>
      </w:r>
      <m:oMath>
        <m:r>
          <m:rPr>
            <m:sty m:val="p"/>
          </m:rPr>
          <m:t>−</m:t>
        </m:r>
        <m:r>
          <m:t>0.021</m:t>
        </m:r>
      </m:oMath>
      <w:r>
        <w:rPr>
          <w:rFonts w:ascii="Times New Roman" w:hAnsi="Times New Roman" w:eastAsia="Times New Roman" w:cs="Times New Roman"/>
        </w:rPr>
        <w:t xml:space="preserve"> </w:t>
      </w:r>
      <w:r>
        <w:rPr>
          <w:rFonts w:ascii="Times New Roman" w:hAnsi="Times New Roman" w:eastAsia="Times New Roman" w:cs="Times New Roman"/>
        </w:rPr>
        <w:t xml:space="preserve">(0.018) in 2024; permutation</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-values across countries are 0.85 and 0.36. In 2021, before the base year, it is</w:t>
      </w:r>
      <w:r>
        <w:rPr>
          <w:rFonts w:ascii="Times New Roman" w:hAnsi="Times New Roman" w:eastAsia="Times New Roman" w:cs="Times New Roman"/>
        </w:rPr>
        <w:t xml:space="preserve"> </w:t>
      </w:r>
      <m:oMath>
        <m:r>
          <m:rPr>
            <m:sty m:val="p"/>
          </m:rPr>
          <m:t>−</m:t>
        </m:r>
        <m:r>
          <m:t>0.002</m:t>
        </m:r>
      </m:oMath>
      <w:r>
        <w:rPr>
          <w:rFonts w:ascii="Times New Roman" w:hAnsi="Times New Roman" w:eastAsia="Times New Roman" w:cs="Times New Roman"/>
        </w:rPr>
        <w:t xml:space="preserve"> </w:t>
      </w:r>
      <w:r>
        <w:rPr>
          <w:rFonts w:ascii="Times New Roman" w:hAnsi="Times New Roman" w:eastAsia="Times New Roman" w:cs="Times New Roman"/>
        </w:rPr>
        <w:t xml:space="preserve">(0.008;</w:t>
      </w:r>
      <w:r>
        <w:rPr>
          <w:rFonts w:ascii="Times New Roman" w:hAnsi="Times New Roman" w:eastAsia="Times New Roman" w:cs="Times New Roman"/>
        </w:rPr>
        <w:t xml:space="preserve"> </w:t>
      </w:r>
      <m:oMath>
        <m:r>
          <m:t>p</m:t>
        </m:r>
        <m:r>
          <m:rPr>
            <m:sty m:val="p"/>
          </m:rPr>
          <m:t>=</m:t>
        </m:r>
        <m:r>
          <m:t>0.83</m:t>
        </m:r>
      </m:oMath>
      <w:r>
        <w:rPr>
          <w:rFonts w:ascii="Times New Roman" w:hAnsi="Times New Roman" w:eastAsia="Times New Roman" w:cs="Times New Roman"/>
        </w:rPr>
        <w:t xml:space="preserve">). Complete assimilation with</w:t>
      </w:r>
      <w:r>
        <w:rPr>
          <w:rFonts w:ascii="Times New Roman" w:hAnsi="Times New Roman" w:eastAsia="Times New Roman" w:cs="Times New Roman"/>
        </w:rPr>
        <w:t xml:space="preserve"> </w:t>
      </w:r>
      <m:oMath>
        <m:r>
          <m:t>β</m:t>
        </m:r>
        <m:r>
          <m:rPr>
            <m:sty m:val="p"/>
          </m:rPr>
          <m:t>=</m:t>
        </m:r>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predicts an interaction of only about</w:t>
      </w:r>
      <w:r>
        <w:rPr>
          <w:rFonts w:ascii="Times New Roman" w:hAnsi="Times New Roman" w:eastAsia="Times New Roman" w:cs="Times New Roman"/>
        </w:rPr>
        <w:t xml:space="preserve"> </w:t>
      </w:r>
      <m:oMath>
        <m:r>
          <m:rPr>
            <m:sty m:val="p"/>
          </m:rPr>
          <m:t>−</m:t>
        </m:r>
        <m:r>
          <m:t>0.005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m:t>
        </m:r>
        <m:r>
          <m:t>0.5</m:t>
        </m:r>
        <m:r>
          <m:rPr>
            <m:sty m:val="p"/>
          </m:rPr>
          <m:t>×</m:t>
        </m:r>
        <m:r>
          <m:t>0.048</m:t>
        </m:r>
        <m:r>
          <m:rPr>
            <m:sty m:val="p"/>
          </m:rPr>
          <m:t>/</m:t>
        </m:r>
        <m:r>
          <m:t>5.3</m:t>
        </m:r>
      </m:oMath>
      <w:r>
        <w:rPr>
          <w:rFonts w:ascii="Times New Roman" w:hAnsi="Times New Roman" w:eastAsia="Times New Roman" w:cs="Times New Roman"/>
        </w:rPr>
        <w:t xml:space="preserve">), far smaller than the 2024 standard error, so the test cannot discriminate among the accounts. Acquisition is measured in 2025, after the outcomes. We report the test because it is the only one here that uses variation in acquisition directly. It becomes informative only with more countries, more post-2022 years, and acquisition measured before the outcome. The detectability result does not depend on it, because that result depends only on acquisition rates, reference effect sizes, and standard errors.</w:t>
      </w:r>
    </w:p>
    <w:bookmarkEnd w:id="22"/>
    <w:bookmarkStart w:id="23" w:name="X1f81fc80b3c2f24b72fcca8662e259fee935df5"/>
    <w:p>
      <w:pPr>
        <w:pStyle w:val="Heading3"/>
      </w:pPr>
      <w:r>
        <w:rPr>
          <w:rFonts w:ascii="Times New Roman" w:hAnsi="Times New Roman" w:eastAsia="Times New Roman" w:cs="Times New Roman"/>
        </w:rPr>
        <w:t xml:space="preserve">S2.3 Sector-level acquisition and employment</w:t>
      </w:r>
    </w:p>
    <w:p>
      <w:pPr>
        <w:pStyle w:val="FirstParagraph"/>
        <w:spacing w:line="480" w:lineRule="auto" w:after="0" w:before="0"/>
        <w:ind w:firstLine="720"/>
        <w:jc w:val="left"/>
      </w:pPr>
      <w:r>
        <w:rPr>
          <w:rFonts w:ascii="Times New Roman" w:hAnsi="Times New Roman" w:eastAsia="Times New Roman" w:cs="Times New Roman"/>
        </w:rPr>
        <w:t xml:space="preserve">Firm-level links between use and hiring are not public, so we use sectors as the nearest proxy. In 258 country-sector cells (30 countries, 9 NACE sections), sectors with higher acquisition of picture, video, or audio generation in 2025 had higher employment growth between 2019–2021 and 2023–2025: 0.051 log points per standard deviation of acquisition (10.6 percentage points), with country fixed effects (heteroskedasticity-robust standard error 0.009). The same relationship holds before the technology: for 2016–2018 to 2019–2021 the coefficient is 0.049 (0.006), and the difference between the two periods is 0.002 (0.010). Acquisition is not a separate signal here, because it correlates 0.92 with acquisition of text generation and 0.95 with use of any AI across cells; adding the text-generation control leaves a post-minus-pre difference of 0.041 (0.030), which is imprecise because of this collinearity. Complete assimilation with</w:t>
      </w:r>
      <w:r>
        <w:rPr>
          <w:rFonts w:ascii="Times New Roman" w:hAnsi="Times New Roman" w:eastAsia="Times New Roman" w:cs="Times New Roman"/>
        </w:rPr>
        <w:t xml:space="preserve"> </w:t>
      </w:r>
      <m:oMath>
        <m:r>
          <m:t>β</m:t>
        </m:r>
        <m:r>
          <m:rPr>
            <m:sty m:val="p"/>
          </m:rPr>
          <m:t>=</m:t>
        </m:r>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would imply a coefficient of about</w:t>
      </w:r>
      <w:r>
        <w:rPr>
          <w:rFonts w:ascii="Times New Roman" w:hAnsi="Times New Roman" w:eastAsia="Times New Roman" w:cs="Times New Roman"/>
        </w:rPr>
        <w:t xml:space="preserve"> </w:t>
      </w:r>
      <m:oMath>
        <m:r>
          <m:rPr>
            <m:sty m:val="p"/>
          </m:rPr>
          <m:t>−</m:t>
        </m:r>
        <m:r>
          <m:t>0.053</m:t>
        </m:r>
      </m:oMath>
      <w:r>
        <w:rPr>
          <w:rFonts w:ascii="Times New Roman" w:hAnsi="Times New Roman" w:eastAsia="Times New Roman" w:cs="Times New Roman"/>
        </w:rPr>
        <w:t xml:space="preserve"> </w:t>
      </w:r>
      <w:r>
        <w:rPr>
          <w:rFonts w:ascii="Times New Roman" w:hAnsi="Times New Roman" w:eastAsia="Times New Roman" w:cs="Times New Roman"/>
        </w:rPr>
        <w:t xml:space="preserve">times</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the share of sector employment in visual-production occupations, per standard deviation of acquisition. Because</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is well below one, the implied effect is far smaller than the standard errors. Sector-level data therefore show that acquisition marks growing, digitally intensive sectors, not that it displaces labor, and they cannot reveal the assimilation margin; this is the limit that firm-level data would remove.</w:t>
      </w:r>
    </w:p>
    <w:bookmarkEnd w:id="23"/>
    <w:bookmarkEnd w:id="24"/>
    <w:bookmarkStart w:id="25" w:name="s3-rubrics"/>
    <w:p>
      <w:pPr>
        <w:pStyle w:val="Heading2"/>
      </w:pPr>
      <w:r>
        <w:rPr>
          <w:rFonts w:ascii="Times New Roman" w:hAnsi="Times New Roman" w:eastAsia="Times New Roman" w:cs="Times New Roman"/>
        </w:rPr>
        <w:t xml:space="preserve">S3 Rubrics</w:t>
      </w:r>
    </w:p>
    <w:p>
      <w:pPr>
        <w:pStyle w:val="FirstParagraph"/>
        <w:spacing w:line="480" w:lineRule="auto" w:after="0" w:before="0"/>
        <w:ind w:firstLine="720"/>
        <w:jc w:val="left"/>
      </w:pPr>
      <w:r>
        <w:rPr>
          <w:bCs/>
          <w:rFonts w:ascii="Times New Roman" w:hAnsi="Times New Roman" w:eastAsia="Times New Roman" w:cs="Times New Roman"/>
          <w:b/>
        </w:rPr>
        <w:t xml:space="preserve">Visual content creation (primary).</w:t>
      </w:r>
      <w:r>
        <w:rPr>
          <w:rFonts w:ascii="Times New Roman" w:hAnsi="Times New Roman" w:eastAsia="Times New Roman" w:cs="Times New Roman"/>
        </w:rPr>
        <w:t xml:space="preserve"> </w:t>
      </w:r>
      <w:r>
        <w:rPr>
          <w:rFonts w:ascii="Times New Roman" w:hAnsi="Times New Roman" w:eastAsia="Times New Roman" w:cs="Times New Roman"/>
        </w:rPr>
        <w:t xml:space="preserve">Score 2 if producing or editing visual content is central to the task; 1 if visual content is a partial or supporting product; 0 otherwise. Reading, inspecting, writing, and audio production do not count. Technical drawings count only when the task is about producing them as drawings or graphics.</w:t>
      </w:r>
    </w:p>
    <w:p>
      <w:pPr>
        <w:pStyle w:val="BodyText"/>
        <w:spacing w:line="480" w:lineRule="auto" w:after="0" w:before="0"/>
        <w:ind w:firstLine="720"/>
        <w:jc w:val="left"/>
      </w:pPr>
      <w:r>
        <w:rPr>
          <w:bCs/>
          <w:rFonts w:ascii="Times New Roman" w:hAnsi="Times New Roman" w:eastAsia="Times New Roman" w:cs="Times New Roman"/>
          <w:b/>
        </w:rPr>
        <w:t xml:space="preserve">Text work (control for language-model exposure).</w:t>
      </w:r>
      <w:r>
        <w:rPr>
          <w:rFonts w:ascii="Times New Roman" w:hAnsi="Times New Roman" w:eastAsia="Times New Roman" w:cs="Times New Roman"/>
        </w:rPr>
        <w:t xml:space="preserve"> </w:t>
      </w:r>
      <w:r>
        <w:rPr>
          <w:rFonts w:ascii="Times New Roman" w:hAnsi="Times New Roman" w:eastAsia="Times New Roman" w:cs="Times New Roman"/>
        </w:rPr>
        <w:t xml:space="preserve">Score 2 if reading, writing, summarizing, translating, or otherwise producing or editing text is central to the task; 1 if text is a partial or supporting product; 0 otherwise. Spoken conversation, numeric calculation, and purely physical work do not count. Both rubrics were applied in a single prompt, in batches of 20 statements, at temperature zero; the prompt is in the anonymized replication repository.</w:t>
      </w:r>
    </w:p>
    <w:bookmarkEnd w:id="25"/>
    <w:bookmarkStart w:id="26" w:name="s4-derivation-of-the-detectability-bound"/>
    <w:p>
      <w:pPr>
        <w:pStyle w:val="Heading2"/>
      </w:pPr>
      <w:r>
        <w:rPr>
          <w:rFonts w:ascii="Times New Roman" w:hAnsi="Times New Roman" w:eastAsia="Times New Roman" w:cs="Times New Roman"/>
        </w:rPr>
        <w:t xml:space="preserve">S4 Derivation of the detectability bound</w:t>
      </w:r>
    </w:p>
    <w:p>
      <w:pPr>
        <w:pStyle w:val="FirstParagraph"/>
        <w:spacing w:line="480" w:lineRule="auto" w:after="0" w:before="0"/>
        <w:ind w:firstLine="720"/>
        <w:jc w:val="left"/>
      </w:pPr>
      <w:r>
        <w:rPr>
          <w:rFonts w:ascii="Times New Roman" w:hAnsi="Times New Roman" w:eastAsia="Times New Roman" w:cs="Times New Roman"/>
        </w:rPr>
        <w:t xml:space="preserve">Let exposure</w:t>
      </w:r>
      <w:r>
        <w:rPr>
          <w:rFonts w:ascii="Times New Roman" w:hAnsi="Times New Roman" w:eastAsia="Times New Roman" w:cs="Times New Roman"/>
        </w:rPr>
        <w:t xml:space="preserve"> </w:t>
      </w:r>
      <m:oMath>
        <m:sSub>
          <m:e>
            <m:r>
              <m:t>e</m:t>
            </m:r>
          </m:e>
          <m:sub>
            <m:r>
              <m:t>j</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be proportional to the visual share of work,</w:t>
      </w:r>
      <w:r>
        <w:rPr>
          <w:rFonts w:ascii="Times New Roman" w:hAnsi="Times New Roman" w:eastAsia="Times New Roman" w:cs="Times New Roman"/>
        </w:rPr>
        <w:t xml:space="preserve"> </w:t>
      </w:r>
      <m:oMath>
        <m:sSub>
          <m:e>
            <m:r>
              <m:t>e</m:t>
            </m:r>
          </m:e>
          <m:sub>
            <m:r>
              <m:t>j</m:t>
            </m:r>
          </m:sub>
        </m:sSub>
        <m:r>
          <m:rPr>
            <m:sty m:val="p"/>
          </m:rPr>
          <m:t>=</m:t>
        </m:r>
        <m:r>
          <m:t>λ</m:t>
        </m:r>
        <m:sSub>
          <m:e>
            <m:r>
              <m:t>s</m:t>
            </m:r>
          </m:e>
          <m:sub>
            <m:r>
              <m:t>j</m:t>
            </m:r>
          </m:sub>
        </m:sSub>
      </m:oMath>
      <w:r>
        <w:rPr>
          <w:rFonts w:ascii="Times New Roman" w:hAnsi="Times New Roman" w:eastAsia="Times New Roman" w:cs="Times New Roman"/>
        </w:rPr>
        <w:t xml:space="preserve">, and let standardized exposure be</w:t>
      </w:r>
      <w:r>
        <w:rPr>
          <w:rFonts w:ascii="Times New Roman" w:hAnsi="Times New Roman" w:eastAsia="Times New Roman" w:cs="Times New Roman"/>
        </w:rPr>
        <w:t xml:space="preserve"> </w:t>
      </w:r>
      <m:oMath>
        <m:sSub>
          <m:e>
            <m:r>
              <m:t>z</m:t>
            </m:r>
          </m:e>
          <m:sub>
            <m:r>
              <m:t>j</m:t>
            </m:r>
          </m:sub>
        </m:sSub>
        <m:r>
          <m:rPr>
            <m:sty m:val="p"/>
          </m:rPr>
          <m:t>=</m:t>
        </m:r>
        <m:d>
          <m:dPr>
            <m:begChr m:val="("/>
            <m:endChr m:val=")"/>
            <m:sepChr m:val=""/>
            <m:grow/>
          </m:dPr>
          <m:e>
            <m:sSub>
              <m:e>
                <m:r>
                  <m:t>e</m:t>
                </m:r>
              </m:e>
              <m:sub>
                <m:r>
                  <m:t>j</m:t>
                </m:r>
              </m:sub>
            </m:sSub>
            <m:r>
              <m:rPr>
                <m:sty m:val="p"/>
              </m:rPr>
              <m:t>−</m:t>
            </m:r>
            <m:acc>
              <m:accPr>
                <m:chr m:val="‾"/>
              </m:accPr>
              <m:e>
                <m:r>
                  <m:t>e</m:t>
                </m:r>
              </m:e>
            </m:acc>
          </m:e>
        </m:d>
        <m:r>
          <m:rPr>
            <m:sty m:val="p"/>
          </m:rPr>
          <m:t>/</m:t>
        </m:r>
        <m:sSub>
          <m:e>
            <m:r>
              <m:t>σ</m:t>
            </m:r>
          </m:e>
          <m:sub>
            <m:r>
              <m:t>e</m:t>
            </m:r>
          </m:sub>
        </m:sSub>
      </m:oMath>
      <w:r>
        <w:rPr>
          <w:rFonts w:ascii="Times New Roman" w:hAnsi="Times New Roman" w:eastAsia="Times New Roman" w:cs="Times New Roman"/>
        </w:rPr>
        <w:t xml:space="preserve">. If the most exposed occupation has</w:t>
      </w:r>
      <w:r>
        <w:rPr>
          <w:rFonts w:ascii="Times New Roman" w:hAnsi="Times New Roman" w:eastAsia="Times New Roman" w:cs="Times New Roman"/>
        </w:rPr>
        <w:t xml:space="preserve"> </w:t>
      </w:r>
      <m:oMath>
        <m:sSub>
          <m:e>
            <m:r>
              <m:t>s</m:t>
            </m:r>
          </m:e>
          <m:sub>
            <m:r>
              <m:t>j</m:t>
            </m:r>
          </m:sub>
        </m:sSub>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m:oMath>
        <m:sSub>
          <m:e>
            <m:r>
              <m:t>z</m:t>
            </m:r>
          </m:e>
          <m:sub>
            <m:r>
              <m:t>j</m:t>
            </m:r>
          </m:sub>
        </m:sSub>
        <m:r>
          <m:rPr>
            <m:sty m:val="p"/>
          </m:rPr>
          <m:t>=</m:t>
        </m:r>
        <m:r>
          <m:t>k</m:t>
        </m:r>
      </m:oMath>
      <w:r>
        <w:rPr>
          <w:rFonts w:ascii="Times New Roman" w:hAnsi="Times New Roman" w:eastAsia="Times New Roman" w:cs="Times New Roman"/>
        </w:rPr>
        <w:t xml:space="preserve">, and if exposure near the mean is small relative to its maximum, then</w:t>
      </w:r>
      <w:r>
        <w:rPr>
          <w:rFonts w:ascii="Times New Roman" w:hAnsi="Times New Roman" w:eastAsia="Times New Roman" w:cs="Times New Roman"/>
        </w:rPr>
        <w:t xml:space="preserve"> </w:t>
      </w:r>
      <m:oMath>
        <m:sSub>
          <m:e>
            <m:r>
              <m:t>s</m:t>
            </m:r>
          </m:e>
          <m:sub>
            <m:r>
              <m:t>j</m:t>
            </m:r>
          </m:sub>
        </m:sSub>
        <m:r>
          <m:rPr>
            <m:sty m:val="p"/>
          </m:rPr>
          <m:t>≈</m:t>
        </m:r>
        <m:sSub>
          <m:e>
            <m:r>
              <m:t>z</m:t>
            </m:r>
          </m:e>
          <m:sub>
            <m:r>
              <m:t>j</m:t>
            </m:r>
          </m:sub>
        </m:sSub>
        <m:r>
          <m:rPr>
            <m:sty m:val="p"/>
          </m:rPr>
          <m:t>/</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over the relevant range. Substituting into equation (2) with</w:t>
      </w:r>
      <w:r>
        <w:rPr>
          <w:rFonts w:ascii="Times New Roman" w:hAnsi="Times New Roman" w:eastAsia="Times New Roman" w:cs="Times New Roman"/>
        </w:rPr>
        <w:t xml:space="preserve"> </w:t>
      </w:r>
      <m:oMath>
        <m:sSup>
          <m:e>
            <m:r>
              <m:t>A</m:t>
            </m:r>
          </m:e>
          <m:sup>
            <m:r>
              <m:t>a</m:t>
            </m:r>
          </m:sup>
        </m:sSup>
        <m:r>
          <m:rPr>
            <m:sty m:val="p"/>
          </m:rPr>
          <m:t>=</m:t>
        </m:r>
        <m:sSup>
          <m:e>
            <m:r>
              <m:t>A</m:t>
            </m:r>
          </m:e>
          <m:sup>
            <m:r>
              <m:t>u</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gives</w:t>
      </w:r>
      <w:r>
        <w:rPr>
          <w:rFonts w:ascii="Times New Roman" w:hAnsi="Times New Roman" w:eastAsia="Times New Roman" w:cs="Times New Roman"/>
        </w:rPr>
        <w:t xml:space="preserve"> </w:t>
      </w:r>
      <m:oMath>
        <m:r>
          <m:t>Δ</m:t>
        </m:r>
        <m:r>
          <m:rPr>
            <m:sty m:val="p"/>
          </m:rPr>
          <m:t>ln</m:t>
        </m:r>
        <m:sSub>
          <m:e>
            <m:r>
              <m:t>N</m:t>
            </m:r>
          </m:e>
          <m:sub>
            <m:r>
              <m:t>j</m:t>
            </m:r>
          </m:sub>
        </m:sSub>
        <m:r>
          <m:rPr>
            <m:sty m:val="p"/>
          </m:rPr>
          <m:t>≈</m:t>
        </m:r>
        <m:d>
          <m:dPr>
            <m:begChr m:val="("/>
            <m:endChr m:val=")"/>
            <m:sepChr m:val=""/>
            <m:grow/>
          </m:dPr>
          <m:e>
            <m:sSup>
              <m:e>
                <m:r>
                  <m:t>A</m:t>
                </m:r>
              </m:e>
              <m:sup>
                <m:r>
                  <m:t>u</m:t>
                </m:r>
              </m:sup>
            </m:sSup>
            <m:r>
              <m:t>β</m:t>
            </m:r>
            <m:r>
              <m:rPr>
                <m:sty m:val="p"/>
              </m:rPr>
              <m:t>/</m:t>
            </m:r>
            <m:r>
              <m:t>k</m:t>
            </m:r>
          </m:e>
        </m:d>
        <m:r>
          <m:rPr>
            <m:sty m:val="p"/>
          </m:rPr>
          <m:t>⋅</m:t>
        </m:r>
        <m:sSub>
          <m:e>
            <m:r>
              <m:t>z</m:t>
            </m:r>
          </m:e>
          <m:sub>
            <m:r>
              <m:t>j</m:t>
            </m:r>
          </m:sub>
        </m:sSub>
      </m:oMath>
      <w:r>
        <w:rPr>
          <w:rFonts w:ascii="Times New Roman" w:hAnsi="Times New Roman" w:eastAsia="Times New Roman" w:cs="Times New Roman"/>
        </w:rPr>
        <w:t xml:space="preserve">, so the regression coefficient on</w:t>
      </w:r>
      <w:r>
        <w:rPr>
          <w:rFonts w:ascii="Times New Roman" w:hAnsi="Times New Roman" w:eastAsia="Times New Roman" w:cs="Times New Roman"/>
        </w:rPr>
        <w:t xml:space="preserve"> </w:t>
      </w:r>
      <m:oMath>
        <m:sSub>
          <m:e>
            <m:r>
              <m:t>z</m:t>
            </m:r>
          </m:e>
          <m:sub>
            <m:r>
              <m:t>j</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under complete assimilation is</w:t>
      </w:r>
      <w:r>
        <w:rPr>
          <w:rFonts w:ascii="Times New Roman" w:hAnsi="Times New Roman" w:eastAsia="Times New Roman" w:cs="Times New Roman"/>
        </w:rPr>
        <w:t xml:space="preserve"> </w:t>
      </w:r>
      <m:oMath>
        <m:sSup>
          <m:e>
            <m:r>
              <m:t>γ</m:t>
            </m:r>
          </m:e>
          <m:sup>
            <m:r>
              <m:rPr>
                <m:sty m:val="p"/>
              </m:rPr>
              <m:t>*</m:t>
            </m:r>
          </m:sup>
        </m:sSup>
        <m:r>
          <m:rPr>
            <m:sty m:val="p"/>
          </m:rPr>
          <m:t>=</m:t>
        </m:r>
        <m:sSup>
          <m:e>
            <m:r>
              <m:t>A</m:t>
            </m:r>
          </m:e>
          <m:sup>
            <m:r>
              <m:t>u</m:t>
            </m:r>
          </m:sup>
        </m:sSup>
        <m:r>
          <m:t>β</m:t>
        </m:r>
        <m:r>
          <m:rPr>
            <m:sty m:val="p"/>
          </m:rPr>
          <m:t>/</m:t>
        </m:r>
        <m:r>
          <m:t>k</m:t>
        </m:r>
      </m:oMath>
      <w:r>
        <w:rPr>
          <w:rFonts w:ascii="Times New Roman" w:hAnsi="Times New Roman" w:eastAsia="Times New Roman" w:cs="Times New Roman"/>
        </w:rPr>
        <w:t xml:space="preserve">. The minimum detectable effect for a two-sided test of size 0.05 with power 0.8 is</w:t>
      </w:r>
      <w:r>
        <w:rPr>
          <w:rFonts w:ascii="Times New Roman" w:hAnsi="Times New Roman" w:eastAsia="Times New Roman" w:cs="Times New Roman"/>
        </w:rPr>
        <w:t xml:space="preserve"> </w:t>
      </w:r>
      <m:oMath>
        <m:d>
          <m:dPr>
            <m:begChr m:val="("/>
            <m:endChr m:val=")"/>
            <m:sepChr m:val=""/>
            <m:grow/>
          </m:dPr>
          <m:e>
            <m:r>
              <m:t>1.96</m:t>
            </m:r>
            <m:r>
              <m:rPr>
                <m:sty m:val="p"/>
              </m:rPr>
              <m:t>+</m:t>
            </m:r>
            <m:r>
              <m:t>0.84</m:t>
            </m:r>
          </m:e>
        </m:d>
        <m:r>
          <m:rPr>
            <m:sty m:val="p"/>
          </m:rPr>
          <m:t>⋅</m:t>
        </m:r>
        <m:r>
          <m:t>S</m:t>
        </m:r>
        <m:r>
          <m:t>E</m:t>
        </m:r>
        <m:r>
          <m:rPr>
            <m:sty m:val="p"/>
          </m:rPr>
          <m:t>≈</m:t>
        </m:r>
        <m:r>
          <m:t>2.8</m:t>
        </m:r>
        <m:r>
          <m:t> </m:t>
        </m:r>
        <m:r>
          <m:t>S</m:t>
        </m:r>
        <m:r>
          <m:t>E</m:t>
        </m:r>
      </m:oMath>
      <w:r>
        <w:rPr>
          <w:rFonts w:ascii="Times New Roman" w:hAnsi="Times New Roman" w:eastAsia="Times New Roman" w:cs="Times New Roman"/>
        </w:rPr>
        <w:t xml:space="preserve">. Detection for the most exposed occupation requires</w:t>
      </w:r>
      <w:r>
        <w:rPr>
          <w:rFonts w:ascii="Times New Roman" w:hAnsi="Times New Roman" w:eastAsia="Times New Roman" w:cs="Times New Roman"/>
        </w:rPr>
        <w:t xml:space="preserve"> </w:t>
      </w:r>
      <m:oMath>
        <m:d>
          <m:dPr>
            <m:begChr m:val="|"/>
            <m:endChr m:val="|"/>
            <m:sepChr m:val=""/>
            <m:grow/>
          </m:dPr>
          <m:e>
            <m:sSup>
              <m:e>
                <m:r>
                  <m:t>A</m:t>
                </m:r>
              </m:e>
              <m:sup>
                <m:r>
                  <m:t>a</m:t>
                </m:r>
              </m:sup>
            </m:sSup>
            <m:r>
              <m:t>β</m:t>
            </m:r>
          </m:e>
        </m:d>
        <m:r>
          <m:rPr>
            <m:sty m:val="p"/>
          </m:rPr>
          <m:t>≥</m:t>
        </m:r>
        <m:r>
          <m:t>2.8</m:t>
        </m:r>
        <m:r>
          <m:t> </m:t>
        </m:r>
        <m:r>
          <m:t>S</m:t>
        </m:r>
        <m:r>
          <m:t>E</m:t>
        </m:r>
        <m:r>
          <m:rPr>
            <m:sty m:val="p"/>
          </m:rPr>
          <m:t>⋅</m:t>
        </m:r>
        <m:r>
          <m:t>k</m:t>
        </m:r>
      </m:oMath>
      <w:r>
        <w:rPr>
          <w:rFonts w:ascii="Times New Roman" w:hAnsi="Times New Roman" w:eastAsia="Times New Roman" w:cs="Times New Roman"/>
        </w:rPr>
        <w:t xml:space="preserve">. With</w:t>
      </w:r>
      <w:r>
        <w:rPr>
          <w:rFonts w:ascii="Times New Roman" w:hAnsi="Times New Roman" w:eastAsia="Times New Roman" w:cs="Times New Roman"/>
        </w:rPr>
        <w:t xml:space="preserve"> </w:t>
      </w:r>
      <m:oMath>
        <m:r>
          <m:t>S</m:t>
        </m:r>
        <m:r>
          <m:t>E</m:t>
        </m:r>
        <m:r>
          <m:rPr>
            <m:sty m:val="p"/>
          </m:rPr>
          <m:t>=</m:t>
        </m:r>
        <m:r>
          <m:t>0.018</m:t>
        </m:r>
      </m:oMath>
      <w:r>
        <w:rPr>
          <w:rFonts w:ascii="Times New Roman" w:hAnsi="Times New Roman" w:eastAsia="Times New Roman" w:cs="Times New Roman"/>
        </w:rPr>
        <w:t xml:space="preserve"> </w:t>
      </w:r>
      <w:r>
        <w:rPr>
          <w:rFonts w:ascii="Times New Roman" w:hAnsi="Times New Roman" w:eastAsia="Times New Roman" w:cs="Times New Roman"/>
        </w:rPr>
        <w:t xml:space="preserve">(Europe, 2024) and</w:t>
      </w:r>
      <w:r>
        <w:rPr>
          <w:rFonts w:ascii="Times New Roman" w:hAnsi="Times New Roman" w:eastAsia="Times New Roman" w:cs="Times New Roman"/>
        </w:rPr>
        <w:t xml:space="preserve"> </w:t>
      </w:r>
      <m:oMath>
        <m:r>
          <m:t>k</m:t>
        </m:r>
        <m:r>
          <m:rPr>
            <m:sty m:val="p"/>
          </m:rPr>
          <m:t>=</m:t>
        </m:r>
        <m:r>
          <m:t>5.3</m:t>
        </m:r>
      </m:oMath>
      <w:r>
        <w:rPr>
          <w:rFonts w:ascii="Times New Roman" w:hAnsi="Times New Roman" w:eastAsia="Times New Roman" w:cs="Times New Roman"/>
        </w:rPr>
        <w:t xml:space="preserve"> </w:t>
      </w:r>
      <w:r>
        <w:rPr>
          <w:rFonts w:ascii="Times New Roman" w:hAnsi="Times New Roman" w:eastAsia="Times New Roman" w:cs="Times New Roman"/>
        </w:rPr>
        <w:t xml:space="preserve">the threshold is 0.27. If mean exposure is not small relative to its maximum,</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overstates the effective spread and the implied</w:t>
      </w:r>
      <w:r>
        <w:rPr>
          <w:rFonts w:ascii="Times New Roman" w:hAnsi="Times New Roman" w:eastAsia="Times New Roman" w:cs="Times New Roman"/>
        </w:rPr>
        <w:t xml:space="preserve"> </w:t>
      </w:r>
      <m:oMath>
        <m:sSup>
          <m:e>
            <m:r>
              <m:t>γ</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is somewhat larger, but for the values in Table 5 to cross the detection threshold the effective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would need to fall below about 3.6 under the most aggressive scenario.</w:t>
      </w:r>
    </w:p>
    <w:p>
      <w:pPr>
        <w:pStyle w:val="BodyText"/>
        <w:spacing w:line="480" w:lineRule="auto" w:after="0" w:before="0"/>
        <w:ind w:firstLine="720"/>
        <w:jc w:val="left"/>
      </w:pPr>
      <w:r>
        <w:rPr>
          <w:iCs/>
          <w:rFonts w:ascii="Times New Roman" w:hAnsi="Times New Roman" w:eastAsia="Times New Roman" w:cs="Times New Roman"/>
          <w:i/>
        </w:rPr>
        <w:t xml:space="preserve">Measurement error in exposure.</w:t>
      </w:r>
      <w:r>
        <w:rPr>
          <w:rFonts w:ascii="Times New Roman" w:hAnsi="Times New Roman" w:eastAsia="Times New Roman" w:cs="Times New Roman"/>
        </w:rPr>
        <w:t xml:space="preserve"> </w:t>
      </w:r>
      <w:r>
        <w:rPr>
          <w:rFonts w:ascii="Times New Roman" w:hAnsi="Times New Roman" w:eastAsia="Times New Roman" w:cs="Times New Roman"/>
        </w:rPr>
        <w:t xml:space="preserve">Suppose observed exposure is</w:t>
      </w:r>
      <w:r>
        <w:rPr>
          <w:rFonts w:ascii="Times New Roman" w:hAnsi="Times New Roman" w:eastAsia="Times New Roman" w:cs="Times New Roman"/>
        </w:rPr>
        <w:t xml:space="preserve"> </w:t>
      </w:r>
      <m:oMath>
        <m:sSub>
          <m:e>
            <m:acc>
              <m:accPr>
                <m:chr m:val="̃"/>
              </m:accPr>
              <m:e>
                <m:r>
                  <m:t>e</m:t>
                </m:r>
              </m:e>
            </m:acc>
          </m:e>
          <m:sub>
            <m:r>
              <m:t>j</m:t>
            </m:r>
          </m:sub>
        </m:sSub>
        <m:r>
          <m:rPr>
            <m:sty m:val="p"/>
          </m:rPr>
          <m:t>=</m:t>
        </m:r>
        <m:sSub>
          <m:e>
            <m:r>
              <m:t>e</m:t>
            </m:r>
          </m:e>
          <m:sub>
            <m:r>
              <m:t>j</m:t>
            </m:r>
          </m:sub>
        </m:sSub>
        <m:r>
          <m:rPr>
            <m:sty m:val="p"/>
          </m:rPr>
          <m:t>+</m:t>
        </m:r>
        <m:sSub>
          <m:e>
            <m:r>
              <m:t>u</m:t>
            </m:r>
          </m:e>
          <m:sub>
            <m:r>
              <m:t>j</m:t>
            </m:r>
          </m:sub>
        </m:sSub>
      </m:oMath>
      <w:r>
        <w:rPr>
          <w:rFonts w:ascii="Times New Roman" w:hAnsi="Times New Roman" w:eastAsia="Times New Roman" w:cs="Times New Roman"/>
        </w:rPr>
        <w:t xml:space="preserve">, with</w:t>
      </w:r>
      <w:r>
        <w:rPr>
          <w:rFonts w:ascii="Times New Roman" w:hAnsi="Times New Roman" w:eastAsia="Times New Roman" w:cs="Times New Roman"/>
        </w:rPr>
        <w:t xml:space="preserve"> </w:t>
      </w:r>
      <m:oMath>
        <m:sSub>
          <m:e>
            <m:r>
              <m:t>u</m:t>
            </m:r>
          </m:e>
          <m:sub>
            <m:r>
              <m:t>j</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independent of</w:t>
      </w:r>
      <w:r>
        <w:rPr>
          <w:rFonts w:ascii="Times New Roman" w:hAnsi="Times New Roman" w:eastAsia="Times New Roman" w:cs="Times New Roman"/>
        </w:rPr>
        <w:t xml:space="preserve"> </w:t>
      </w:r>
      <m:oMath>
        <m:sSub>
          <m:e>
            <m:r>
              <m:t>e</m:t>
            </m:r>
          </m:e>
          <m:sub>
            <m:r>
              <m:t>j</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and of the outcome, and let</w:t>
      </w:r>
      <w:r>
        <w:rPr>
          <w:rFonts w:ascii="Times New Roman" w:hAnsi="Times New Roman" w:eastAsia="Times New Roman" w:cs="Times New Roman"/>
        </w:rPr>
        <w:t xml:space="preserve"> </w:t>
      </w:r>
      <m:oMath>
        <m:r>
          <m:t>R</m:t>
        </m:r>
        <m:r>
          <m:rPr>
            <m:sty m:val="p"/>
          </m:rPr>
          <m:t>=</m:t>
        </m:r>
        <m:r>
          <m:rPr>
            <m:sty m:val="p"/>
          </m:rPr>
          <m:t>v</m:t>
        </m:r>
        <m:r>
          <m:rPr>
            <m:sty m:val="p"/>
          </m:rPr>
          <m:t>a</m:t>
        </m:r>
        <m:r>
          <m:rPr>
            <m:sty m:val="p"/>
          </m:rPr>
          <m:t>r</m:t>
        </m:r>
        <m:d>
          <m:dPr>
            <m:begChr m:val="("/>
            <m:endChr m:val=")"/>
            <m:sepChr m:val=""/>
            <m:grow/>
          </m:dPr>
          <m:e>
            <m:r>
              <m:t>e</m:t>
            </m:r>
          </m:e>
        </m:d>
        <m:r>
          <m:rPr>
            <m:sty m:val="p"/>
          </m:rPr>
          <m:t>/</m:t>
        </m:r>
        <m:r>
          <m:rPr>
            <m:sty m:val="p"/>
          </m:rPr>
          <m:t>v</m:t>
        </m:r>
        <m:r>
          <m:rPr>
            <m:sty m:val="p"/>
          </m:rPr>
          <m:t>a</m:t>
        </m:r>
        <m:r>
          <m:rPr>
            <m:sty m:val="p"/>
          </m:rPr>
          <m:t>r</m:t>
        </m:r>
        <m:d>
          <m:dPr>
            <m:begChr m:val="("/>
            <m:endChr m:val=")"/>
            <m:sepChr m:val=""/>
            <m:grow/>
          </m:dPr>
          <m:e>
            <m:acc>
              <m:accPr>
                <m:chr m:val="̃"/>
              </m:accPr>
              <m:e>
                <m:r>
                  <m:t>e</m:t>
                </m:r>
              </m:e>
            </m:acc>
          </m:e>
        </m:d>
      </m:oMath>
      <w:r>
        <w:rPr>
          <w:rFonts w:ascii="Times New Roman" w:hAnsi="Times New Roman" w:eastAsia="Times New Roman" w:cs="Times New Roman"/>
        </w:rPr>
        <w:t xml:space="preserve"> </w:t>
      </w:r>
      <w:r>
        <w:rPr>
          <w:rFonts w:ascii="Times New Roman" w:hAnsi="Times New Roman" w:eastAsia="Times New Roman" w:cs="Times New Roman"/>
        </w:rPr>
        <w:t xml:space="preserve">denote its reliability. The slope per unit of observed exposure is</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times the slope per unit of true exposure. Because</w:t>
      </w:r>
      <w:r>
        <w:rPr>
          <w:rFonts w:ascii="Times New Roman" w:hAnsi="Times New Roman" w:eastAsia="Times New Roman" w:cs="Times New Roman"/>
        </w:rPr>
        <w:t xml:space="preserve"> </w:t>
      </w:r>
      <m:oMath>
        <m:sSub>
          <m:e>
            <m:r>
              <m:t>σ</m:t>
            </m:r>
          </m:e>
          <m:sub>
            <m:acc>
              <m:accPr>
                <m:chr m:val="̃"/>
              </m:accPr>
              <m:e>
                <m:r>
                  <m:t>e</m:t>
                </m:r>
              </m:e>
            </m:acc>
          </m:sub>
        </m:sSub>
        <m:r>
          <m:rPr>
            <m:sty m:val="p"/>
          </m:rPr>
          <m:t>=</m:t>
        </m:r>
        <m:sSub>
          <m:e>
            <m:r>
              <m:t>σ</m:t>
            </m:r>
          </m:e>
          <m:sub>
            <m:r>
              <m:t>e</m:t>
            </m:r>
          </m:sub>
        </m:sSub>
        <m:r>
          <m:rPr>
            <m:sty m:val="p"/>
          </m:rPr>
          <m:t>/</m:t>
        </m:r>
        <m:rad>
          <m:radPr>
            <m:degHide m:val="on"/>
          </m:radPr>
          <m:deg/>
          <m:e>
            <m:r>
              <m:t>R</m:t>
            </m:r>
          </m:e>
        </m:rad>
      </m:oMath>
      <w:r>
        <w:rPr>
          <w:rFonts w:ascii="Times New Roman" w:hAnsi="Times New Roman" w:eastAsia="Times New Roman" w:cs="Times New Roman"/>
        </w:rPr>
        <w:t xml:space="preserve">, the coefficient per standard deviation of observed exposure is</w:t>
      </w:r>
      <w:r>
        <w:rPr>
          <w:rFonts w:ascii="Times New Roman" w:hAnsi="Times New Roman" w:eastAsia="Times New Roman" w:cs="Times New Roman"/>
        </w:rPr>
        <w:t xml:space="preserve"> </w:t>
      </w:r>
      <m:oMath>
        <m:rad>
          <m:radPr>
            <m:degHide m:val="on"/>
          </m:radPr>
          <m:deg/>
          <m:e>
            <m:r>
              <m:t>R</m:t>
            </m:r>
          </m:e>
        </m:rad>
        <m:r>
          <m:t> </m:t>
        </m:r>
        <m:sSup>
          <m:e>
            <m:r>
              <m:t>γ</m:t>
            </m:r>
          </m:e>
          <m:sup>
            <m:r>
              <m:rPr>
                <m:sty m:val="p"/>
              </m:rPr>
              <m:t>*</m:t>
            </m:r>
          </m:sup>
        </m:sSup>
      </m:oMath>
      <w:r>
        <w:rPr>
          <w:rFonts w:ascii="Times New Roman" w:hAnsi="Times New Roman" w:eastAsia="Times New Roman" w:cs="Times New Roman"/>
        </w:rPr>
        <w:t xml:space="preserve">. Complete assimilation therefore implies a coefficient of magnitude</w:t>
      </w:r>
      <w:r>
        <w:rPr>
          <w:rFonts w:ascii="Times New Roman" w:hAnsi="Times New Roman" w:eastAsia="Times New Roman" w:cs="Times New Roman"/>
        </w:rPr>
        <w:t xml:space="preserve"> </w:t>
      </w:r>
      <m:oMath>
        <m:rad>
          <m:radPr>
            <m:degHide m:val="on"/>
          </m:radPr>
          <m:deg/>
          <m:e>
            <m:r>
              <m:t>R</m:t>
            </m:r>
          </m:e>
        </m:rad>
        <m:r>
          <m:t> </m:t>
        </m:r>
        <m:d>
          <m:dPr>
            <m:begChr m:val="|"/>
            <m:endChr m:val="|"/>
            <m:sepChr m:val=""/>
            <m:grow/>
          </m:dPr>
          <m:e>
            <m:sSup>
              <m:e>
                <m:r>
                  <m:t>γ</m:t>
                </m:r>
              </m:e>
              <m:sup>
                <m:r>
                  <m:rPr>
                    <m:sty m:val="p"/>
                  </m:rPr>
                  <m:t>*</m:t>
                </m:r>
              </m:sup>
            </m:sSup>
          </m:e>
        </m:d>
      </m:oMath>
      <w:r>
        <w:rPr>
          <w:rFonts w:ascii="Times New Roman" w:hAnsi="Times New Roman" w:eastAsia="Times New Roman" w:cs="Times New Roman"/>
        </w:rPr>
        <w:t xml:space="preserve">, while the minimum detectable effect, a function of the standard error, is not reduced. With</w:t>
      </w:r>
      <w:r>
        <w:rPr>
          <w:rFonts w:ascii="Times New Roman" w:hAnsi="Times New Roman" w:eastAsia="Times New Roman" w:cs="Times New Roman"/>
        </w:rPr>
        <w:t xml:space="preserve"> </w:t>
      </w:r>
      <m:oMath>
        <m:r>
          <m:t>R</m:t>
        </m:r>
        <m:r>
          <m:rPr>
            <m:sty m:val="p"/>
          </m:rPr>
          <m:t>=</m:t>
        </m:r>
        <m:r>
          <m:t>0.5</m:t>
        </m:r>
      </m:oMath>
      <w:r>
        <w:rPr>
          <w:rFonts w:ascii="Times New Roman" w:hAnsi="Times New Roman" w:eastAsia="Times New Roman" w:cs="Times New Roman"/>
        </w:rPr>
        <w:t xml:space="preserve">, for example, the largest scenario in Table 5 falls from</w:t>
      </w:r>
      <w:r>
        <w:rPr>
          <w:rFonts w:ascii="Times New Roman" w:hAnsi="Times New Roman" w:eastAsia="Times New Roman" w:cs="Times New Roman"/>
        </w:rPr>
        <w:t xml:space="preserve"> </w:t>
      </w:r>
      <m:oMath>
        <m:r>
          <m:rPr>
            <m:sty m:val="p"/>
          </m:rPr>
          <m:t>−</m:t>
        </m:r>
        <m:r>
          <m:t>0.034</m:t>
        </m:r>
      </m:oMath>
      <w:r>
        <w:rPr>
          <w:rFonts w:ascii="Times New Roman" w:hAnsi="Times New Roman" w:eastAsia="Times New Roman" w:cs="Times New Roman"/>
        </w:rPr>
        <w:t xml:space="preserve"> </w:t>
      </w:r>
      <w:r>
        <w:rPr>
          <w:rFonts w:ascii="Times New Roman" w:hAnsi="Times New Roman" w:eastAsia="Times New Roman" w:cs="Times New Roman"/>
        </w:rPr>
        <w:t xml:space="preserve">to about</w:t>
      </w:r>
      <w:r>
        <w:rPr>
          <w:rFonts w:ascii="Times New Roman" w:hAnsi="Times New Roman" w:eastAsia="Times New Roman" w:cs="Times New Roman"/>
        </w:rPr>
        <w:t xml:space="preserve"> </w:t>
      </w:r>
      <m:oMath>
        <m:r>
          <m:rPr>
            <m:sty m:val="p"/>
          </m:rPr>
          <m:t>−</m:t>
        </m:r>
        <m:r>
          <m:t>0.024</m:t>
        </m:r>
      </m:oMath>
      <w:r>
        <w:rPr>
          <w:rFonts w:ascii="Times New Roman" w:hAnsi="Times New Roman" w:eastAsia="Times New Roman" w:cs="Times New Roman"/>
        </w:rPr>
        <w:t xml:space="preserve">, further below the 2024 minimum detectable effect of 0.050. Noise of this classical kind strengthens the conclusion that the design cannot detect complete assimilation. It does not license any substantive reading of the observed gradients, and if the error in the language-model score is correlated with exposure to language models, the direction of the bias is ambiguous.</w:t>
      </w:r>
    </w:p>
    <w:bookmarkEnd w:id="26"/>
    <w:bookmarkStart w:id="27" w:name="s5-derivations-for-section-3"/>
    <w:p>
      <w:pPr>
        <w:pStyle w:val="Heading2"/>
      </w:pPr>
      <w:r>
        <w:rPr>
          <w:rFonts w:ascii="Times New Roman" w:hAnsi="Times New Roman" w:eastAsia="Times New Roman" w:cs="Times New Roman"/>
        </w:rPr>
        <w:t xml:space="preserve">S5 Derivations for Section 3</w:t>
      </w:r>
    </w:p>
    <w:p>
      <w:pPr>
        <w:pStyle w:val="FirstParagraph"/>
        <w:spacing w:line="480" w:lineRule="auto" w:after="0" w:before="0"/>
        <w:ind w:firstLine="720"/>
        <w:jc w:val="left"/>
      </w:pPr>
      <w:r>
        <w:rPr>
          <w:iCs/>
          <w:rFonts w:ascii="Times New Roman" w:hAnsi="Times New Roman" w:eastAsia="Times New Roman" w:cs="Times New Roman"/>
          <w:i/>
        </w:rPr>
        <w:t xml:space="preserve">Labor and cost ratios.</w:t>
      </w:r>
      <w:r>
        <w:rPr>
          <w:rFonts w:ascii="Times New Roman" w:hAnsi="Times New Roman" w:eastAsia="Times New Roman" w:cs="Times New Roman"/>
        </w:rPr>
        <w:t xml:space="preserve"> </w:t>
      </w:r>
      <w:r>
        <w:rPr>
          <w:rFonts w:ascii="Times New Roman" w:hAnsi="Times New Roman" w:eastAsia="Times New Roman" w:cs="Times New Roman"/>
        </w:rPr>
        <w:t xml:space="preserve">Human production of a unit takes</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hours. With the generator, a unit requires</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hours of review and, with probability</w:t>
      </w:r>
      <w:r>
        <w:rPr>
          <w:rFonts w:ascii="Times New Roman" w:hAnsi="Times New Roman" w:eastAsia="Times New Roman" w:cs="Times New Roman"/>
        </w:rPr>
        <w:t xml:space="preserve"> </w:t>
      </w:r>
      <m:oMath>
        <m:r>
          <m:t>1</m:t>
        </m:r>
        <m:r>
          <m:rPr>
            <m:sty m:val="p"/>
          </m:rPr>
          <m:t>−</m:t>
        </m:r>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hours of human production, so expected labor per unit is</w:t>
      </w:r>
      <w:r>
        <w:rPr>
          <w:rFonts w:ascii="Times New Roman" w:hAnsi="Times New Roman" w:eastAsia="Times New Roman" w:cs="Times New Roman"/>
        </w:rPr>
        <w:t xml:space="preserve"> </w:t>
      </w:r>
      <m:oMath>
        <m:r>
          <m:t>u</m:t>
        </m:r>
        <m:r>
          <m:rPr>
            <m:sty m:val="p"/>
          </m:rPr>
          <m:t>+</m:t>
        </m:r>
        <m:d>
          <m:dPr>
            <m:begChr m:val="("/>
            <m:endChr m:val=")"/>
            <m:sepChr m:val=""/>
            <m:grow/>
          </m:dPr>
          <m:e>
            <m:r>
              <m:t>1</m:t>
            </m:r>
            <m:r>
              <m:rPr>
                <m:sty m:val="p"/>
              </m:rPr>
              <m:t>−</m:t>
            </m:r>
            <m:r>
              <m:t>a</m:t>
            </m:r>
          </m:e>
        </m:d>
        <m:r>
          <m:t>h</m:t>
        </m:r>
        <m:r>
          <m:rPr>
            <m:sty m:val="p"/>
          </m:rPr>
          <m:t>=</m:t>
        </m:r>
        <m:r>
          <m:t>h</m:t>
        </m:r>
        <m:d>
          <m:dPr>
            <m:begChr m:val="("/>
            <m:endChr m:val=")"/>
            <m:sepChr m:val=""/>
            <m:grow/>
          </m:dPr>
          <m:e>
            <m:r>
              <m:t>ρ</m:t>
            </m:r>
            <m:r>
              <m:rPr>
                <m:sty m:val="p"/>
              </m:rPr>
              <m:t>+</m:t>
            </m:r>
            <m:r>
              <m:t>1</m:t>
            </m:r>
            <m:r>
              <m:rPr>
                <m:sty m:val="p"/>
              </m:rPr>
              <m:t>−</m:t>
            </m:r>
            <m:r>
              <m:t>a</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with</w:t>
      </w:r>
      <w:r>
        <w:rPr>
          <w:rFonts w:ascii="Times New Roman" w:hAnsi="Times New Roman" w:eastAsia="Times New Roman" w:cs="Times New Roman"/>
        </w:rPr>
        <w:t xml:space="preserve"> </w:t>
      </w:r>
      <m:oMath>
        <m:r>
          <m:t>ρ</m:t>
        </m:r>
        <m:r>
          <m:rPr>
            <m:sty m:val="p"/>
          </m:rPr>
          <m:t>=</m:t>
        </m:r>
        <m:r>
          <m:t>u</m:t>
        </m:r>
        <m:r>
          <m:rPr>
            <m:sty m:val="p"/>
          </m:rPr>
          <m:t>/</m:t>
        </m:r>
        <m:r>
          <m:t>h</m:t>
        </m:r>
        <m:r>
          <m:rPr>
            <m:sty m:val="p"/>
          </m:rPr>
          <m:t>=</m:t>
        </m:r>
        <m:r>
          <m:t>r</m:t>
        </m:r>
        <m:r>
          <m:rPr>
            <m:sty m:val="p"/>
          </m:rPr>
          <m:t>/</m:t>
        </m:r>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at equal wages. Expected cost per unit is</w:t>
      </w:r>
      <w:r>
        <w:rPr>
          <w:rFonts w:ascii="Times New Roman" w:hAnsi="Times New Roman" w:eastAsia="Times New Roman" w:cs="Times New Roman"/>
        </w:rPr>
        <w:t xml:space="preserve"> </w:t>
      </w:r>
      <m:oMath>
        <m:r>
          <m:t>c</m:t>
        </m:r>
        <m:r>
          <m:rPr>
            <m:sty m:val="p"/>
          </m:rPr>
          <m:t>+</m:t>
        </m:r>
        <m:r>
          <m:t>r</m:t>
        </m:r>
        <m:r>
          <m:rPr>
            <m:sty m:val="p"/>
          </m:rPr>
          <m:t>+</m:t>
        </m:r>
        <m:d>
          <m:dPr>
            <m:begChr m:val="("/>
            <m:endChr m:val=")"/>
            <m:sepChr m:val=""/>
            <m:grow/>
          </m:dPr>
          <m:e>
            <m:r>
              <m:t>1</m:t>
            </m:r>
            <m:r>
              <m:rPr>
                <m:sty m:val="p"/>
              </m:rPr>
              <m:t>−</m:t>
            </m:r>
            <m:r>
              <m:t>a</m:t>
            </m:r>
          </m:e>
        </m:d>
        <m:r>
          <m:t>θ</m:t>
        </m:r>
        <m:r>
          <m:rPr>
            <m:sty m:val="p"/>
          </m:rPr>
          <m:t>=</m:t>
        </m:r>
        <m:r>
          <m:t>θ</m:t>
        </m:r>
        <m:r>
          <m:t>κ</m:t>
        </m:r>
      </m:oMath>
      <w:r>
        <w:rPr>
          <w:rFonts w:ascii="Times New Roman" w:hAnsi="Times New Roman" w:eastAsia="Times New Roman" w:cs="Times New Roman"/>
        </w:rPr>
        <w:t xml:space="preserve">. Output scales by</w:t>
      </w:r>
      <w:r>
        <w:rPr>
          <w:rFonts w:ascii="Times New Roman" w:hAnsi="Times New Roman" w:eastAsia="Times New Roman" w:cs="Times New Roman"/>
        </w:rPr>
        <w:t xml:space="preserve"> </w:t>
      </w:r>
      <m:oMath>
        <m:sSup>
          <m:e>
            <m:r>
              <m:t>κ</m:t>
            </m:r>
          </m:e>
          <m:sup>
            <m:r>
              <m:rPr>
                <m:sty m:val="p"/>
              </m:rPr>
              <m:t>−</m:t>
            </m:r>
            <m:r>
              <m:t>ε</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under constant elasticity</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so labor demand scales by</w:t>
      </w:r>
      <w:r>
        <w:rPr>
          <w:rFonts w:ascii="Times New Roman" w:hAnsi="Times New Roman" w:eastAsia="Times New Roman" w:cs="Times New Roman"/>
        </w:rPr>
        <w:t xml:space="preserve"> </w:t>
      </w:r>
      <m:oMath>
        <m:d>
          <m:dPr>
            <m:begChr m:val="("/>
            <m:endChr m:val=")"/>
            <m:sepChr m:val=""/>
            <m:grow/>
          </m:dPr>
          <m:e>
            <m:r>
              <m:t>1</m:t>
            </m:r>
            <m:r>
              <m:rPr>
                <m:sty m:val="p"/>
              </m:rPr>
              <m:t>−</m:t>
            </m:r>
            <m:r>
              <m:t>a</m:t>
            </m:r>
            <m:r>
              <m:rPr>
                <m:sty m:val="p"/>
              </m:rPr>
              <m:t>+</m:t>
            </m:r>
            <m:r>
              <m:t>ρ</m:t>
            </m:r>
          </m:e>
        </m:d>
        <m:sSup>
          <m:e>
            <m:r>
              <m:t>κ</m:t>
            </m:r>
          </m:e>
          <m:sup>
            <m:r>
              <m:rPr>
                <m:sty m:val="p"/>
              </m:rPr>
              <m:t>−</m:t>
            </m:r>
            <m:r>
              <m:t>ε</m:t>
            </m:r>
          </m:sup>
        </m:sSup>
      </m:oMath>
      <w:r>
        <w:rPr>
          <w:rFonts w:ascii="Times New Roman" w:hAnsi="Times New Roman" w:eastAsia="Times New Roman" w:cs="Times New Roman"/>
        </w:rPr>
        <w:t xml:space="preserve">, which gives equation (3) after taking logarithms. Because</w:t>
      </w:r>
      <w:r>
        <w:rPr>
          <w:rFonts w:ascii="Times New Roman" w:hAnsi="Times New Roman" w:eastAsia="Times New Roman" w:cs="Times New Roman"/>
        </w:rPr>
        <w:t xml:space="preserve"> </w:t>
      </w:r>
      <m:oMath>
        <m:r>
          <m:t>a</m:t>
        </m:r>
        <m:r>
          <m:rPr>
            <m:sty m:val="p"/>
          </m:rPr>
          <m:t>≤</m:t>
        </m:r>
        <m:r>
          <m:t>1</m:t>
        </m:r>
      </m:oMath>
      <w:r>
        <w:rPr>
          <w:rFonts w:ascii="Times New Roman" w:hAnsi="Times New Roman" w:eastAsia="Times New Roman" w:cs="Times New Roman"/>
        </w:rPr>
        <w:t xml:space="preserve">, labor per unit</w:t>
      </w:r>
      <w:r>
        <w:rPr>
          <w:rFonts w:ascii="Times New Roman" w:hAnsi="Times New Roman" w:eastAsia="Times New Roman" w:cs="Times New Roman"/>
        </w:rPr>
        <w:t xml:space="preserve"> </w:t>
      </w:r>
      <m:oMath>
        <m:r>
          <m:t>h</m:t>
        </m:r>
        <m:d>
          <m:dPr>
            <m:begChr m:val="("/>
            <m:endChr m:val=")"/>
            <m:sepChr m:val=""/>
            <m:grow/>
          </m:dPr>
          <m:e>
            <m:r>
              <m:t>ρ</m:t>
            </m:r>
            <m:r>
              <m:rPr>
                <m:sty m:val="p"/>
              </m:rPr>
              <m:t>+</m:t>
            </m:r>
            <m:r>
              <m:t>1</m:t>
            </m:r>
            <m:r>
              <m:rPr>
                <m:sty m:val="p"/>
              </m:rPr>
              <m:t>−</m:t>
            </m:r>
            <m:r>
              <m:t>a</m:t>
            </m:r>
          </m:e>
        </m:d>
        <m:r>
          <m:rPr>
            <m:sty m:val="p"/>
          </m:rPr>
          <m:t>≥</m:t>
        </m:r>
        <m:r>
          <m:t>h</m:t>
        </m:r>
        <m:r>
          <m:t>ρ</m:t>
        </m:r>
      </m:oMath>
      <w:r>
        <w:rPr>
          <w:rFonts w:ascii="Times New Roman" w:hAnsi="Times New Roman" w:eastAsia="Times New Roman" w:cs="Times New Roman"/>
        </w:rPr>
        <w:t xml:space="preserve">, so labor per unit cannot fall below the review share</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however high the acceptance rate (the review floor in Section 3.2).</w:t>
      </w:r>
    </w:p>
    <w:p>
      <w:pPr>
        <w:pStyle w:val="BodyText"/>
        <w:spacing w:line="480" w:lineRule="auto" w:after="0" w:before="0"/>
        <w:ind w:firstLine="720"/>
        <w:jc w:val="left"/>
      </w:pPr>
      <w:r>
        <w:rPr>
          <w:iCs/>
          <w:rFonts w:ascii="Times New Roman" w:hAnsi="Times New Roman" w:eastAsia="Times New Roman" w:cs="Times New Roman"/>
          <w:i/>
        </w:rPr>
        <w:t xml:space="preserve">Proposition 2.</w:t>
      </w:r>
      <w:r>
        <w:rPr>
          <w:rFonts w:ascii="Times New Roman" w:hAnsi="Times New Roman" w:eastAsia="Times New Roman" w:cs="Times New Roman"/>
        </w:rPr>
        <w:t xml:space="preserve"> </w:t>
      </w:r>
      <m:oMath>
        <m:r>
          <m:t>β</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if and only if</w:t>
      </w:r>
      <w:r>
        <w:rPr>
          <w:rFonts w:ascii="Times New Roman" w:hAnsi="Times New Roman" w:eastAsia="Times New Roman" w:cs="Times New Roman"/>
        </w:rPr>
        <w:t xml:space="preserve"> </w:t>
      </w:r>
      <m:oMath>
        <m:r>
          <m:rPr>
            <m:sty m:val="p"/>
          </m:rPr>
          <m:t>ln</m:t>
        </m:r>
        <m:d>
          <m:dPr>
            <m:begChr m:val="("/>
            <m:endChr m:val=")"/>
            <m:sepChr m:val=""/>
            <m:grow/>
          </m:dPr>
          <m:e>
            <m:r>
              <m:t>1</m:t>
            </m:r>
            <m:r>
              <m:rPr>
                <m:sty m:val="p"/>
              </m:rPr>
              <m:t>−</m:t>
            </m:r>
            <m:r>
              <m:t>a</m:t>
            </m:r>
            <m:r>
              <m:rPr>
                <m:sty m:val="p"/>
              </m:rPr>
              <m:t>+</m:t>
            </m:r>
            <m:r>
              <m:t>ρ</m:t>
            </m:r>
          </m:e>
        </m:d>
        <m:r>
          <m:rPr>
            <m:sty m:val="p"/>
          </m:rPr>
          <m:t>&lt;</m:t>
        </m:r>
        <m:r>
          <m:t>ε</m:t>
        </m:r>
        <m:r>
          <m:rPr>
            <m:sty m:val="p"/>
          </m:rPr>
          <m:t>ln</m:t>
        </m:r>
        <m:r>
          <m:t>κ</m:t>
        </m:r>
      </m:oMath>
      <w:r>
        <w:rPr>
          <w:rFonts w:ascii="Times New Roman" w:hAnsi="Times New Roman" w:eastAsia="Times New Roman" w:cs="Times New Roman"/>
        </w:rPr>
        <w:t xml:space="preserve">. When</w:t>
      </w:r>
      <w:r>
        <w:rPr>
          <w:rFonts w:ascii="Times New Roman" w:hAnsi="Times New Roman" w:eastAsia="Times New Roman" w:cs="Times New Roman"/>
        </w:rPr>
        <w:t xml:space="preserve"> </w:t>
      </w:r>
      <m:oMath>
        <m:r>
          <m:t>γ</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m:oMath>
        <m:r>
          <m:t>a</m:t>
        </m:r>
        <m:r>
          <m:rPr>
            <m:sty m:val="p"/>
          </m:rPr>
          <m:t>&gt;</m:t>
        </m:r>
        <m:sSup>
          <m:e>
            <m:r>
              <m:t>a</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r>
          <m:rPr>
            <m:sty m:val="p"/>
          </m:rPr>
          <m:t>−</m:t>
        </m:r>
        <m:r>
          <m:t>a</m:t>
        </m:r>
        <m:r>
          <m:rPr>
            <m:sty m:val="p"/>
          </m:rPr>
          <m:t>+</m:t>
        </m:r>
        <m:r>
          <m:t>ρ</m:t>
        </m:r>
        <m:r>
          <m:rPr>
            <m:sty m:val="p"/>
          </m:rPr>
          <m:t>&lt;</m:t>
        </m:r>
        <m:r>
          <m:t>κ</m:t>
        </m:r>
        <m:r>
          <m:rPr>
            <m:sty m:val="p"/>
          </m:rPr>
          <m:t>&lt;</m:t>
        </m:r>
        <m:r>
          <m:t>1</m:t>
        </m:r>
      </m:oMath>
      <w:r>
        <w:rPr>
          <w:rFonts w:ascii="Times New Roman" w:hAnsi="Times New Roman" w:eastAsia="Times New Roman" w:cs="Times New Roman"/>
        </w:rPr>
        <w:t xml:space="preserve">, so both logarithms are negative and</w:t>
      </w:r>
      <w:r>
        <w:rPr>
          <w:rFonts w:ascii="Times New Roman" w:hAnsi="Times New Roman" w:eastAsia="Times New Roman" w:cs="Times New Roman"/>
        </w:rPr>
        <w:t xml:space="preserve"> </w:t>
      </w:r>
      <m:oMath>
        <m:d>
          <m:dPr>
            <m:begChr m:val="|"/>
            <m:endChr m:val="|"/>
            <m:sepChr m:val=""/>
            <m:grow/>
          </m:dPr>
          <m:e>
            <m:r>
              <m:rPr>
                <m:sty m:val="p"/>
              </m:rPr>
              <m:t>ln</m:t>
            </m:r>
            <m:d>
              <m:dPr>
                <m:begChr m:val="("/>
                <m:endChr m:val=")"/>
                <m:sepChr m:val=""/>
                <m:grow/>
              </m:dPr>
              <m:e>
                <m:r>
                  <m:t>1</m:t>
                </m:r>
                <m:r>
                  <m:rPr>
                    <m:sty m:val="p"/>
                  </m:rPr>
                  <m:t>−</m:t>
                </m:r>
                <m:r>
                  <m:t>a</m:t>
                </m:r>
                <m:r>
                  <m:rPr>
                    <m:sty m:val="p"/>
                  </m:rPr>
                  <m:t>+</m:t>
                </m:r>
                <m:r>
                  <m:t>ρ</m:t>
                </m:r>
              </m:e>
            </m:d>
          </m:e>
        </m:d>
        <m:r>
          <m:rPr>
            <m:sty m:val="p"/>
          </m:rPr>
          <m:t>&gt;</m:t>
        </m:r>
        <m:d>
          <m:dPr>
            <m:begChr m:val="|"/>
            <m:endChr m:val="|"/>
            <m:sepChr m:val=""/>
            <m:grow/>
          </m:dPr>
          <m:e>
            <m:r>
              <m:rPr>
                <m:sty m:val="p"/>
              </m:rPr>
              <m:t>ln</m:t>
            </m:r>
            <m:r>
              <m:t>κ</m:t>
            </m:r>
          </m:e>
        </m:d>
      </m:oMath>
      <w:r>
        <w:rPr>
          <w:rFonts w:ascii="Times New Roman" w:hAnsi="Times New Roman" w:eastAsia="Times New Roman" w:cs="Times New Roman"/>
        </w:rPr>
        <w:t xml:space="preserve">. Dividing by</w:t>
      </w:r>
      <w:r>
        <w:rPr>
          <w:rFonts w:ascii="Times New Roman" w:hAnsi="Times New Roman" w:eastAsia="Times New Roman" w:cs="Times New Roman"/>
        </w:rPr>
        <w:t xml:space="preserve"> </w:t>
      </w:r>
      <m:oMath>
        <m:r>
          <m:rPr>
            <m:sty m:val="p"/>
          </m:rPr>
          <m:t>ln</m:t>
        </m:r>
        <m:r>
          <m:t>κ</m:t>
        </m:r>
      </m:oMath>
      <w:r>
        <w:rPr>
          <w:rFonts w:ascii="Times New Roman" w:hAnsi="Times New Roman" w:eastAsia="Times New Roman" w:cs="Times New Roman"/>
        </w:rPr>
        <w:t xml:space="preserve"> </w:t>
      </w:r>
      <w:r>
        <w:rPr>
          <w:rFonts w:ascii="Times New Roman" w:hAnsi="Times New Roman" w:eastAsia="Times New Roman" w:cs="Times New Roman"/>
        </w:rPr>
        <w:t xml:space="preserve">reverses the inequality:</w:t>
      </w:r>
      <w:r>
        <w:rPr>
          <w:rFonts w:ascii="Times New Roman" w:hAnsi="Times New Roman" w:eastAsia="Times New Roman" w:cs="Times New Roman"/>
        </w:rPr>
        <w:t xml:space="preserve"> </w:t>
      </w:r>
      <m:oMath>
        <m:r>
          <m:t>β</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if and only if</w:t>
      </w:r>
      <w:r>
        <w:rPr>
          <w:rFonts w:ascii="Times New Roman" w:hAnsi="Times New Roman" w:eastAsia="Times New Roman" w:cs="Times New Roman"/>
        </w:rPr>
        <w:t xml:space="preserve"> </w:t>
      </w:r>
      <m:oMath>
        <m:r>
          <m:t>ε</m:t>
        </m:r>
        <m:r>
          <m:rPr>
            <m:sty m:val="p"/>
          </m:rPr>
          <m:t>&lt;</m:t>
        </m:r>
        <m:sSup>
          <m:e>
            <m:r>
              <m:t>ε</m:t>
            </m:r>
          </m:e>
          <m:sup>
            <m:r>
              <m:rPr>
                <m:sty m:val="p"/>
              </m:rPr>
              <m:t>*</m:t>
            </m:r>
          </m:sup>
        </m:sSup>
        <m:r>
          <m:rPr>
            <m:sty m:val="p"/>
          </m:rPr>
          <m:t>=</m:t>
        </m:r>
        <m:r>
          <m:rPr>
            <m:sty m:val="p"/>
          </m:rPr>
          <m:t>ln</m:t>
        </m:r>
        <m:d>
          <m:dPr>
            <m:begChr m:val="("/>
            <m:endChr m:val=")"/>
            <m:sepChr m:val=""/>
            <m:grow/>
          </m:dPr>
          <m:e>
            <m:r>
              <m:t>1</m:t>
            </m:r>
            <m:r>
              <m:rPr>
                <m:sty m:val="p"/>
              </m:rPr>
              <m:t>−</m:t>
            </m:r>
            <m:r>
              <m:t>a</m:t>
            </m:r>
            <m:r>
              <m:rPr>
                <m:sty m:val="p"/>
              </m:rPr>
              <m:t>+</m:t>
            </m:r>
            <m:r>
              <m:t>ρ</m:t>
            </m:r>
          </m:e>
        </m:d>
        <m:r>
          <m:rPr>
            <m:sty m:val="p"/>
          </m:rPr>
          <m:t>/</m:t>
        </m:r>
        <m:r>
          <m:rPr>
            <m:sty m:val="p"/>
          </m:rPr>
          <m:t>ln</m:t>
        </m:r>
        <m:r>
          <m:t>κ</m:t>
        </m:r>
      </m:oMath>
      <w:r>
        <w:rPr>
          <w:rFonts w:ascii="Times New Roman" w:hAnsi="Times New Roman" w:eastAsia="Times New Roman" w:cs="Times New Roman"/>
        </w:rPr>
        <w:t xml:space="preserve">, and</w:t>
      </w:r>
      <w:r>
        <w:rPr>
          <w:rFonts w:ascii="Times New Roman" w:hAnsi="Times New Roman" w:eastAsia="Times New Roman" w:cs="Times New Roman"/>
        </w:rPr>
        <w:t xml:space="preserve"> </w:t>
      </w:r>
      <m:oMath>
        <m:sSup>
          <m:e>
            <m:r>
              <m:t>ε</m:t>
            </m:r>
          </m:e>
          <m:sup>
            <m:r>
              <m:rPr>
                <m:sty m:val="p"/>
              </m:rPr>
              <m:t>*</m:t>
            </m:r>
          </m:sup>
        </m:sSup>
        <m:r>
          <m:rPr>
            <m:sty m:val="p"/>
          </m:rPr>
          <m:t>&gt;</m:t>
        </m:r>
        <m:r>
          <m:t>1</m:t>
        </m:r>
      </m:oMath>
      <w:r>
        <w:rPr>
          <w:rFonts w:ascii="Times New Roman" w:hAnsi="Times New Roman" w:eastAsia="Times New Roman" w:cs="Times New Roman"/>
        </w:rPr>
        <w:t xml:space="preserve">. As</w:t>
      </w:r>
      <w:r>
        <w:rPr>
          <w:rFonts w:ascii="Times New Roman" w:hAnsi="Times New Roman" w:eastAsia="Times New Roman" w:cs="Times New Roman"/>
        </w:rPr>
        <w:t xml:space="preserve"> </w:t>
      </w:r>
      <m:oMath>
        <m:r>
          <m:t>γ</m:t>
        </m:r>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κ</m:t>
        </m:r>
        <m:r>
          <m:rPr>
            <m:sty m:val="p"/>
          </m:rPr>
          <m:t>→</m:t>
        </m:r>
        <m:r>
          <m:t>1</m:t>
        </m:r>
        <m:r>
          <m:rPr>
            <m:sty m:val="p"/>
          </m:rPr>
          <m:t>−</m:t>
        </m:r>
        <m:r>
          <m:t>a</m:t>
        </m:r>
        <m:r>
          <m:rPr>
            <m:sty m:val="p"/>
          </m:rPr>
          <m:t>+</m:t>
        </m:r>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m:oMath>
        <m:sSup>
          <m:e>
            <m:r>
              <m:t>ε</m:t>
            </m:r>
          </m:e>
          <m:sup>
            <m:r>
              <m:rPr>
                <m:sty m:val="p"/>
              </m:rPr>
              <m:t>*</m:t>
            </m:r>
          </m:sup>
        </m:sSup>
        <m:r>
          <m:rPr>
            <m:sty m:val="p"/>
          </m:rPr>
          <m:t>→</m:t>
        </m:r>
        <m:r>
          <m:t>1</m:t>
        </m:r>
      </m:oMath>
      <w:r>
        <w:rPr>
          <w:rFonts w:ascii="Times New Roman" w:hAnsi="Times New Roman" w:eastAsia="Times New Roman" w:cs="Times New Roman"/>
        </w:rPr>
        <w:t xml:space="preserve">.</w:t>
      </w:r>
    </w:p>
    <w:p>
      <w:pPr>
        <w:pStyle w:val="BodyText"/>
        <w:spacing w:line="480" w:lineRule="auto" w:after="0" w:before="0"/>
        <w:ind w:firstLine="720"/>
        <w:jc w:val="left"/>
      </w:pPr>
      <w:r>
        <w:rPr>
          <w:iCs/>
          <w:rFonts w:ascii="Times New Roman" w:hAnsi="Times New Roman" w:eastAsia="Times New Roman" w:cs="Times New Roman"/>
          <w:i/>
        </w:rPr>
        <w:t xml:space="preserve">Attrition (Section 3.2).</w:t>
      </w:r>
      <w:r>
        <w:rPr>
          <w:rFonts w:ascii="Times New Roman" w:hAnsi="Times New Roman" w:eastAsia="Times New Roman" w:cs="Times New Roman"/>
        </w:rPr>
        <w:t xml:space="preserve"> </w:t>
      </w:r>
      <w:r>
        <w:rPr>
          <w:rFonts w:ascii="Times New Roman" w:hAnsi="Times New Roman" w:eastAsia="Times New Roman" w:cs="Times New Roman"/>
        </w:rPr>
        <w:t xml:space="preserve">Let</w:t>
      </w:r>
      <w:r>
        <w:rPr>
          <w:rFonts w:ascii="Times New Roman" w:hAnsi="Times New Roman" w:eastAsia="Times New Roman" w:cs="Times New Roman"/>
        </w:rPr>
        <w:t xml:space="preserve"> </w:t>
      </w:r>
      <m:oMath>
        <m:r>
          <m:t>L</m:t>
        </m:r>
        <m:d>
          <m:dPr>
            <m:begChr m:val="("/>
            <m:endChr m:val=")"/>
            <m:sepChr m:val=""/>
            <m:grow/>
          </m:dPr>
          <m:e>
            <m:r>
              <m:t>t</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be employment,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the separation rate, and</w:t>
      </w:r>
      <w:r>
        <w:rPr>
          <w:rFonts w:ascii="Times New Roman" w:hAnsi="Times New Roman" w:eastAsia="Times New Roman" w:cs="Times New Roman"/>
        </w:rPr>
        <w:t xml:space="preserve"> </w:t>
      </w:r>
      <m:oMath>
        <m:r>
          <m:t>H</m:t>
        </m:r>
        <m:d>
          <m:dPr>
            <m:begChr m:val="("/>
            <m:endChr m:val=")"/>
            <m:sepChr m:val=""/>
            <m:grow/>
          </m:dPr>
          <m:e>
            <m:r>
              <m:t>t</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hires, so</w:t>
      </w:r>
      <w:r>
        <w:rPr>
          <w:rFonts w:ascii="Times New Roman" w:hAnsi="Times New Roman" w:eastAsia="Times New Roman" w:cs="Times New Roman"/>
        </w:rPr>
        <w:t xml:space="preserve"> </w:t>
      </w:r>
      <m:oMath>
        <m:r>
          <m:t>L</m:t>
        </m:r>
        <m:d>
          <m:dPr>
            <m:begChr m:val="("/>
            <m:endChr m:val=")"/>
            <m:sepChr m:val=""/>
            <m:grow/>
          </m:dPr>
          <m:e>
            <m:r>
              <m:t>t</m:t>
            </m:r>
            <m:r>
              <m:rPr>
                <m:sty m:val="p"/>
              </m:rPr>
              <m:t>+</m:t>
            </m:r>
            <m:r>
              <m:t>1</m:t>
            </m:r>
          </m:e>
        </m:d>
        <m:r>
          <m:rPr>
            <m:sty m:val="p"/>
          </m:rPr>
          <m:t>=</m:t>
        </m:r>
        <m:d>
          <m:dPr>
            <m:begChr m:val="("/>
            <m:endChr m:val=")"/>
            <m:sepChr m:val=""/>
            <m:grow/>
          </m:dPr>
          <m:e>
            <m:r>
              <m:t>1</m:t>
            </m:r>
            <m:r>
              <m:rPr>
                <m:sty m:val="p"/>
              </m:rPr>
              <m:t>−</m:t>
            </m:r>
            <m:r>
              <m:t>δ</m:t>
            </m:r>
          </m:e>
        </m:d>
        <m:r>
          <m:t>L</m:t>
        </m:r>
        <m:d>
          <m:dPr>
            <m:begChr m:val="("/>
            <m:endChr m:val=")"/>
            <m:sepChr m:val=""/>
            <m:grow/>
          </m:dPr>
          <m:e>
            <m:r>
              <m:t>t</m:t>
            </m:r>
          </m:e>
        </m:d>
        <m:r>
          <m:rPr>
            <m:sty m:val="p"/>
          </m:rPr>
          <m:t>+</m:t>
        </m:r>
        <m:r>
          <m:t>H</m:t>
        </m:r>
        <m:d>
          <m:dPr>
            <m:begChr m:val="("/>
            <m:endChr m:val=")"/>
            <m:sepChr m:val=""/>
            <m:grow/>
          </m:dPr>
          <m:e>
            <m:r>
              <m:t>t</m:t>
            </m:r>
          </m:e>
        </m:d>
      </m:oMath>
      <w:r>
        <w:rPr>
          <w:rFonts w:ascii="Times New Roman" w:hAnsi="Times New Roman" w:eastAsia="Times New Roman" w:cs="Times New Roman"/>
        </w:rPr>
        <w:t xml:space="preserve">; if assimilation lowers target employment to</w:t>
      </w:r>
      <w:r>
        <w:rPr>
          <w:rFonts w:ascii="Times New Roman" w:hAnsi="Times New Roman" w:eastAsia="Times New Roman" w:cs="Times New Roman"/>
        </w:rPr>
        <w:t xml:space="preserve"> </w:t>
      </w:r>
      <m:oMath>
        <m:sSup>
          <m:e>
            <m:r>
              <m:t>L</m:t>
            </m:r>
          </m:e>
          <m:sup>
            <m:r>
              <m:rPr>
                <m:sty m:val="p"/>
              </m:rPr>
              <m:t>*</m:t>
            </m:r>
          </m:sup>
        </m:sSup>
        <m:r>
          <m:rPr>
            <m:sty m:val="p"/>
          </m:rPr>
          <m:t>=</m:t>
        </m:r>
        <m:d>
          <m:dPr>
            <m:begChr m:val="("/>
            <m:endChr m:val=")"/>
            <m:sepChr m:val=""/>
            <m:grow/>
          </m:dPr>
          <m:e>
            <m:r>
              <m:t>1</m:t>
            </m:r>
            <m:r>
              <m:rPr>
                <m:sty m:val="p"/>
              </m:rPr>
              <m:t>−</m:t>
            </m:r>
            <m:r>
              <m:t>f</m:t>
            </m:r>
          </m:e>
        </m:d>
        <m:sSub>
          <m:e>
            <m:r>
              <m:t>L</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and the employer closes a fraction</w:t>
      </w:r>
      <w:r>
        <w:rPr>
          <w:rFonts w:ascii="Times New Roman" w:hAnsi="Times New Roman" w:eastAsia="Times New Roman" w:cs="Times New Roman"/>
        </w:rPr>
        <w:t xml:space="preserve"> </w:t>
      </w:r>
      <m:oMath>
        <m:r>
          <m:t>λ</m:t>
        </m:r>
        <m:r>
          <m:rPr>
            <m:sty m:val="p"/>
          </m:rPr>
          <m:t>≤</m:t>
        </m:r>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of the gap each period, hires are</w:t>
      </w:r>
      <w:r>
        <w:rPr>
          <w:rFonts w:ascii="Times New Roman" w:hAnsi="Times New Roman" w:eastAsia="Times New Roman" w:cs="Times New Roman"/>
        </w:rPr>
        <w:t xml:space="preserve"> </w:t>
      </w:r>
      <m:oMath>
        <m:r>
          <m:t>H</m:t>
        </m:r>
        <m:d>
          <m:dPr>
            <m:begChr m:val="("/>
            <m:endChr m:val=")"/>
            <m:sepChr m:val=""/>
            <m:grow/>
          </m:dPr>
          <m:e>
            <m:r>
              <m:t>t</m:t>
            </m:r>
          </m:e>
        </m:d>
        <m:r>
          <m:rPr>
            <m:sty m:val="p"/>
          </m:rPr>
          <m:t>=</m:t>
        </m:r>
        <m:r>
          <m:t>δ</m:t>
        </m:r>
        <m:r>
          <m:t>L</m:t>
        </m:r>
        <m:d>
          <m:dPr>
            <m:begChr m:val="("/>
            <m:endChr m:val=")"/>
            <m:sepChr m:val=""/>
            <m:grow/>
          </m:dPr>
          <m:e>
            <m:r>
              <m:t>t</m:t>
            </m:r>
          </m:e>
        </m:d>
        <m:r>
          <m:rPr>
            <m:sty m:val="p"/>
          </m:rPr>
          <m:t>+</m:t>
        </m:r>
        <m:r>
          <m:t>λ</m:t>
        </m:r>
        <m:d>
          <m:dPr>
            <m:begChr m:val="("/>
            <m:endChr m:val=")"/>
            <m:sepChr m:val=""/>
            <m:grow/>
          </m:dPr>
          <m:e>
            <m:sSup>
              <m:e>
                <m:r>
                  <m:t>L</m:t>
                </m:r>
              </m:e>
              <m:sup>
                <m:r>
                  <m:rPr>
                    <m:sty m:val="p"/>
                  </m:rPr>
                  <m:t>*</m:t>
                </m:r>
              </m:sup>
            </m:sSup>
            <m:r>
              <m:rPr>
                <m:sty m:val="p"/>
              </m:rPr>
              <m:t>−</m:t>
            </m:r>
            <m:r>
              <m:t>L</m:t>
            </m:r>
            <m:d>
              <m:dPr>
                <m:begChr m:val="("/>
                <m:endChr m:val=")"/>
                <m:sepChr m:val=""/>
                <m:grow/>
              </m:dPr>
              <m:e>
                <m:r>
                  <m:t>t</m:t>
                </m:r>
              </m:e>
            </m:d>
          </m:e>
        </m:d>
      </m:oMath>
      <w:r>
        <w:rPr>
          <w:rFonts w:ascii="Times New Roman" w:hAnsi="Times New Roman" w:eastAsia="Times New Roman" w:cs="Times New Roman"/>
        </w:rPr>
        <w:t xml:space="preserve"> </w:t>
      </w:r>
      <w:r>
        <w:rPr>
          <w:rFonts w:ascii="Times New Roman" w:hAnsi="Times New Roman" w:eastAsia="Times New Roman" w:cs="Times New Roman"/>
        </w:rPr>
        <w:t xml:space="preserve">(S1).</w:t>
      </w:r>
      <w:r>
        <w:rPr>
          <w:rFonts w:ascii="Times New Roman" w:hAnsi="Times New Roman" w:eastAsia="Times New Roman" w:cs="Times New Roman"/>
        </w:rPr>
        <w:t xml:space="preserve"> </w:t>
      </w:r>
      <w:r>
        <w:rPr>
          <w:iCs/>
          <w:rFonts w:ascii="Times New Roman" w:hAnsi="Times New Roman" w:eastAsia="Times New Roman" w:cs="Times New Roman"/>
          <w:i/>
        </w:rPr>
        <w:t xml:space="preserve">Proof of the result in the text.</w:t>
      </w:r>
      <w:r>
        <w:rPr>
          <w:rFonts w:ascii="Times New Roman" w:hAnsi="Times New Roman" w:eastAsia="Times New Roman" w:cs="Times New Roman"/>
        </w:rPr>
        <w:t xml:space="preserve"> </w:t>
      </w:r>
      <w:r>
        <w:rPr>
          <w:rFonts w:ascii="Times New Roman" w:hAnsi="Times New Roman" w:eastAsia="Times New Roman" w:cs="Times New Roman"/>
        </w:rPr>
        <w:t xml:space="preserve">Substituting (S1) into the employment equation gives</w:t>
      </w:r>
      <w:r>
        <w:rPr>
          <w:rFonts w:ascii="Times New Roman" w:hAnsi="Times New Roman" w:eastAsia="Times New Roman" w:cs="Times New Roman"/>
        </w:rPr>
        <w:t xml:space="preserve"> </w:t>
      </w:r>
      <m:oMath>
        <m:r>
          <m:t>L</m:t>
        </m:r>
        <m:d>
          <m:dPr>
            <m:begChr m:val="("/>
            <m:endChr m:val=")"/>
            <m:sepChr m:val=""/>
            <m:grow/>
          </m:dPr>
          <m:e>
            <m:r>
              <m:t>t</m:t>
            </m:r>
            <m:r>
              <m:rPr>
                <m:sty m:val="p"/>
              </m:rPr>
              <m:t>+</m:t>
            </m:r>
            <m:r>
              <m:t>1</m:t>
            </m:r>
          </m:e>
        </m:d>
        <m:r>
          <m:rPr>
            <m:sty m:val="p"/>
          </m:rPr>
          <m:t>−</m:t>
        </m:r>
        <m:sSup>
          <m:e>
            <m:r>
              <m:t>L</m:t>
            </m:r>
          </m:e>
          <m:sup>
            <m:r>
              <m:rPr>
                <m:sty m:val="p"/>
              </m:rPr>
              <m:t>*</m:t>
            </m:r>
          </m:sup>
        </m:sSup>
        <m:r>
          <m:rPr>
            <m:sty m:val="p"/>
          </m:rPr>
          <m:t>=</m:t>
        </m:r>
        <m:d>
          <m:dPr>
            <m:begChr m:val="("/>
            <m:endChr m:val=")"/>
            <m:sepChr m:val=""/>
            <m:grow/>
          </m:dPr>
          <m:e>
            <m:r>
              <m:t>1</m:t>
            </m:r>
            <m:r>
              <m:rPr>
                <m:sty m:val="p"/>
              </m:rPr>
              <m:t>−</m:t>
            </m:r>
            <m:r>
              <m:t>λ</m:t>
            </m:r>
          </m:e>
        </m:d>
        <m:d>
          <m:dPr>
            <m:begChr m:val="("/>
            <m:endChr m:val=")"/>
            <m:sepChr m:val=""/>
            <m:grow/>
          </m:dPr>
          <m:e>
            <m:r>
              <m:t>L</m:t>
            </m:r>
            <m:d>
              <m:dPr>
                <m:begChr m:val="("/>
                <m:endChr m:val=")"/>
                <m:sepChr m:val=""/>
                <m:grow/>
              </m:dPr>
              <m:e>
                <m:r>
                  <m:t>t</m:t>
                </m:r>
              </m:e>
            </m:d>
            <m:r>
              <m:rPr>
                <m:sty m:val="p"/>
              </m:rPr>
              <m:t>−</m:t>
            </m:r>
            <m:sSup>
              <m:e>
                <m:r>
                  <m:t>L</m:t>
                </m:r>
              </m:e>
              <m:sup>
                <m:r>
                  <m:rPr>
                    <m:sty m:val="p"/>
                  </m:rPr>
                  <m:t>*</m:t>
                </m:r>
              </m:sup>
            </m:sSup>
          </m:e>
        </m:d>
      </m:oMath>
      <w:r>
        <w:rPr>
          <w:rFonts w:ascii="Times New Roman" w:hAnsi="Times New Roman" w:eastAsia="Times New Roman" w:cs="Times New Roman"/>
        </w:rPr>
        <w:t xml:space="preserve">, so</w:t>
      </w:r>
      <w:r>
        <w:rPr>
          <w:rFonts w:ascii="Times New Roman" w:hAnsi="Times New Roman" w:eastAsia="Times New Roman" w:cs="Times New Roman"/>
        </w:rPr>
        <w:t xml:space="preserve"> </w:t>
      </w:r>
      <m:oMath>
        <m:r>
          <m:t>L</m:t>
        </m:r>
        <m:d>
          <m:dPr>
            <m:begChr m:val="("/>
            <m:endChr m:val=")"/>
            <m:sepChr m:val=""/>
            <m:grow/>
          </m:dPr>
          <m:e>
            <m:r>
              <m:t>t</m:t>
            </m:r>
          </m:e>
        </m:d>
        <m:r>
          <m:rPr>
            <m:sty m:val="p"/>
          </m:rPr>
          <m:t>−</m:t>
        </m:r>
        <m:sSup>
          <m:e>
            <m:r>
              <m:t>L</m:t>
            </m:r>
          </m:e>
          <m:sup>
            <m:r>
              <m:rPr>
                <m:sty m:val="p"/>
              </m:rPr>
              <m:t>*</m:t>
            </m:r>
          </m:sup>
        </m:sSup>
        <m:r>
          <m:rPr>
            <m:sty m:val="p"/>
          </m:rPr>
          <m:t>=</m:t>
        </m:r>
        <m:sSup>
          <m:e>
            <m:d>
              <m:dPr>
                <m:begChr m:val="("/>
                <m:endChr m:val=")"/>
                <m:sepChr m:val=""/>
                <m:grow/>
              </m:dPr>
              <m:e>
                <m:r>
                  <m:t>1</m:t>
                </m:r>
                <m:r>
                  <m:rPr>
                    <m:sty m:val="p"/>
                  </m:rPr>
                  <m:t>−</m:t>
                </m:r>
                <m:r>
                  <m:t>λ</m:t>
                </m:r>
              </m:e>
            </m:d>
          </m:e>
          <m:sup>
            <m:r>
              <m:t>t</m:t>
            </m:r>
          </m:sup>
        </m:sSup>
        <m:d>
          <m:dPr>
            <m:begChr m:val="("/>
            <m:endChr m:val=")"/>
            <m:sepChr m:val=""/>
            <m:grow/>
          </m:dPr>
          <m:e>
            <m:sSub>
              <m:e>
                <m:r>
                  <m:t>L</m:t>
                </m:r>
              </m:e>
              <m:sub>
                <m:r>
                  <m:t>0</m:t>
                </m:r>
              </m:sub>
            </m:sSub>
            <m:r>
              <m:rPr>
                <m:sty m:val="p"/>
              </m:rPr>
              <m:t>−</m:t>
            </m:r>
            <m:sSup>
              <m:e>
                <m:r>
                  <m:t>L</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and the share of the gap closed after</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periods is</w:t>
      </w:r>
      <w:r>
        <w:rPr>
          <w:rFonts w:ascii="Times New Roman" w:hAnsi="Times New Roman" w:eastAsia="Times New Roman" w:cs="Times New Roman"/>
        </w:rPr>
        <w:t xml:space="preserve"> </w:t>
      </w:r>
      <m:oMath>
        <m:r>
          <m:t>1</m:t>
        </m:r>
        <m:r>
          <m:rPr>
            <m:sty m:val="p"/>
          </m:rPr>
          <m:t>−</m:t>
        </m:r>
        <m:sSup>
          <m:e>
            <m:d>
              <m:dPr>
                <m:begChr m:val="("/>
                <m:endChr m:val=")"/>
                <m:sepChr m:val=""/>
                <m:grow/>
              </m:dPr>
              <m:e>
                <m:r>
                  <m:t>1</m:t>
                </m:r>
                <m:r>
                  <m:rPr>
                    <m:sty m:val="p"/>
                  </m:rPr>
                  <m:t>−</m:t>
                </m:r>
                <m:r>
                  <m:t>λ</m:t>
                </m:r>
              </m:e>
            </m:d>
          </m:e>
          <m:sup>
            <m:r>
              <m:t>T</m:t>
            </m:r>
          </m:sup>
        </m:sSup>
      </m:oMath>
      <w:r>
        <w:rPr>
          <w:rFonts w:ascii="Times New Roman" w:hAnsi="Times New Roman" w:eastAsia="Times New Roman" w:cs="Times New Roman"/>
        </w:rPr>
        <w:t xml:space="preserve">. Hires in the first period are</w:t>
      </w:r>
      <w:r>
        <w:rPr>
          <w:rFonts w:ascii="Times New Roman" w:hAnsi="Times New Roman" w:eastAsia="Times New Roman" w:cs="Times New Roman"/>
        </w:rPr>
        <w:t xml:space="preserve"> </w:t>
      </w:r>
      <m:oMath>
        <m:r>
          <m:t>H</m:t>
        </m:r>
        <m:d>
          <m:dPr>
            <m:begChr m:val="("/>
            <m:endChr m:val=")"/>
            <m:sepChr m:val=""/>
            <m:grow/>
          </m:dPr>
          <m:e>
            <m:r>
              <m:t>0</m:t>
            </m:r>
          </m:e>
        </m:d>
        <m:r>
          <m:rPr>
            <m:sty m:val="p"/>
          </m:rPr>
          <m:t>=</m:t>
        </m:r>
        <m:r>
          <m:t>δ</m:t>
        </m:r>
        <m:sSub>
          <m:e>
            <m:r>
              <m:t>L</m:t>
            </m:r>
          </m:e>
          <m:sub>
            <m:r>
              <m:t>0</m:t>
            </m:r>
          </m:sub>
        </m:sSub>
        <m:r>
          <m:rPr>
            <m:sty m:val="p"/>
          </m:rPr>
          <m:t>−</m:t>
        </m:r>
        <m:r>
          <m:t>λ</m:t>
        </m:r>
        <m:r>
          <m:t>f</m:t>
        </m:r>
        <m:sSub>
          <m:e>
            <m:r>
              <m:t>L</m:t>
            </m:r>
          </m:e>
          <m:sub>
            <m:r>
              <m:t>0</m:t>
            </m:r>
          </m:sub>
        </m:sSub>
      </m:oMath>
      <w:r>
        <w:rPr>
          <w:rFonts w:ascii="Times New Roman" w:hAnsi="Times New Roman" w:eastAsia="Times New Roman" w:cs="Times New Roman"/>
        </w:rPr>
        <w:t xml:space="preserve">, so</w:t>
      </w:r>
      <w:r>
        <w:rPr>
          <w:rFonts w:ascii="Times New Roman" w:hAnsi="Times New Roman" w:eastAsia="Times New Roman" w:cs="Times New Roman"/>
        </w:rPr>
        <w:t xml:space="preserve"> </w:t>
      </w:r>
      <m:oMath>
        <m:r>
          <m:t>H</m:t>
        </m:r>
        <m:d>
          <m:dPr>
            <m:begChr m:val="("/>
            <m:endChr m:val=")"/>
            <m:sepChr m:val=""/>
            <m:grow/>
          </m:dPr>
          <m:e>
            <m:r>
              <m:t>0</m:t>
            </m:r>
          </m:e>
        </m:d>
        <m:r>
          <m:rPr>
            <m:sty m:val="p"/>
          </m:rPr>
          <m:t>/</m:t>
        </m:r>
        <m:d>
          <m:dPr>
            <m:begChr m:val="("/>
            <m:endChr m:val=")"/>
            <m:sepChr m:val=""/>
            <m:grow/>
          </m:dPr>
          <m:e>
            <m:r>
              <m:t>δ</m:t>
            </m:r>
            <m:sSub>
              <m:e>
                <m:r>
                  <m:t>L</m:t>
                </m:r>
              </m:e>
              <m:sub>
                <m:r>
                  <m:t>0</m:t>
                </m:r>
              </m:sub>
            </m:sSub>
          </m:e>
        </m:d>
        <m:r>
          <m:rPr>
            <m:sty m:val="p"/>
          </m:rPr>
          <m:t>=</m:t>
        </m:r>
        <m:r>
          <m:t>1</m:t>
        </m:r>
        <m:r>
          <m:rPr>
            <m:sty m:val="p"/>
          </m:rPr>
          <m:t>−</m:t>
        </m:r>
        <m:d>
          <m:dPr>
            <m:begChr m:val="("/>
            <m:endChr m:val=")"/>
            <m:sepChr m:val=""/>
            <m:grow/>
          </m:dPr>
          <m:e>
            <m:r>
              <m:t>λ</m:t>
            </m:r>
            <m:r>
              <m:rPr>
                <m:sty m:val="p"/>
              </m:rPr>
              <m:t>/</m:t>
            </m:r>
            <m:r>
              <m:t>δ</m:t>
            </m:r>
          </m:e>
        </m:d>
        <m:r>
          <m:t>f</m:t>
        </m:r>
      </m:oMath>
      <w:r>
        <w:rPr>
          <w:rFonts w:ascii="Times New Roman" w:hAnsi="Times New Roman" w:eastAsia="Times New Roman" w:cs="Times New Roman"/>
        </w:rPr>
        <w:t xml:space="preserve">. As</w:t>
      </w:r>
      <w:r>
        <w:rPr>
          <w:rFonts w:ascii="Times New Roman" w:hAnsi="Times New Roman" w:eastAsia="Times New Roman" w:cs="Times New Roman"/>
        </w:rPr>
        <w:t xml:space="preserve"> </w:t>
      </w:r>
      <m:oMath>
        <m:r>
          <m:t>t</m:t>
        </m:r>
        <m:r>
          <m:rPr>
            <m:sty m:val="p"/>
          </m:rPr>
          <m:t>→</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d>
          <m:dPr>
            <m:begChr m:val="("/>
            <m:endChr m:val=")"/>
            <m:sepChr m:val=""/>
            <m:grow/>
          </m:dPr>
          <m:e>
            <m:r>
              <m:t>t</m:t>
            </m:r>
          </m:e>
        </m:d>
        <m:r>
          <m:rPr>
            <m:sty m:val="p"/>
          </m:rPr>
          <m:t>→</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m:oMath>
        <m:r>
          <m:t>H</m:t>
        </m:r>
        <m:d>
          <m:dPr>
            <m:begChr m:val="("/>
            <m:endChr m:val=")"/>
            <m:sepChr m:val=""/>
            <m:grow/>
          </m:dPr>
          <m:e>
            <m:r>
              <m:t>t</m:t>
            </m:r>
          </m:e>
        </m:d>
        <m:r>
          <m:rPr>
            <m:sty m:val="p"/>
          </m:rPr>
          <m:t>→</m:t>
        </m:r>
        <m:r>
          <m:t>δ</m:t>
        </m:r>
        <m:sSup>
          <m:e>
            <m:r>
              <m:t>L</m:t>
            </m:r>
          </m:e>
          <m:sup>
            <m:r>
              <m:rPr>
                <m:sty m:val="p"/>
              </m:rPr>
              <m:t>*</m:t>
            </m:r>
          </m:sup>
        </m:sSup>
      </m:oMath>
      <w:r>
        <w:rPr>
          <w:rFonts w:ascii="Times New Roman" w:hAnsi="Times New Roman" w:eastAsia="Times New Roman" w:cs="Times New Roman"/>
        </w:rPr>
        <w:t xml:space="preserve">, so</w:t>
      </w:r>
      <w:r>
        <w:rPr>
          <w:rFonts w:ascii="Times New Roman" w:hAnsi="Times New Roman" w:eastAsia="Times New Roman" w:cs="Times New Roman"/>
        </w:rPr>
        <w:t xml:space="preserve"> </w:t>
      </w:r>
      <m:oMath>
        <m:r>
          <m:t>H</m:t>
        </m:r>
        <m:d>
          <m:dPr>
            <m:begChr m:val="("/>
            <m:endChr m:val=")"/>
            <m:sepChr m:val=""/>
            <m:grow/>
          </m:dPr>
          <m:e>
            <m:r>
              <m:t>t</m:t>
            </m:r>
          </m:e>
        </m:d>
        <m:r>
          <m:rPr>
            <m:sty m:val="p"/>
          </m:rPr>
          <m:t>/</m:t>
        </m:r>
        <m:d>
          <m:dPr>
            <m:begChr m:val="("/>
            <m:endChr m:val=")"/>
            <m:sepChr m:val=""/>
            <m:grow/>
          </m:dPr>
          <m:e>
            <m:r>
              <m:t>δ</m:t>
            </m:r>
            <m:sSub>
              <m:e>
                <m:r>
                  <m:t>L</m:t>
                </m:r>
              </m:e>
              <m:sub>
                <m:r>
                  <m:t>0</m:t>
                </m:r>
              </m:sub>
            </m:sSub>
          </m:e>
        </m:d>
        <m:r>
          <m:rPr>
            <m:sty m:val="p"/>
          </m:rPr>
          <m:t>→</m:t>
        </m:r>
        <m:r>
          <m:t>1</m:t>
        </m:r>
        <m:r>
          <m:rPr>
            <m:sty m:val="p"/>
          </m:rPr>
          <m:t>−</m:t>
        </m:r>
        <m:r>
          <m:t>f</m:t>
        </m:r>
      </m:oMath>
      <w:r>
        <w:rPr>
          <w:rFonts w:ascii="Times New Roman" w:hAnsi="Times New Roman" w:eastAsia="Times New Roman" w:cs="Times New Roman"/>
        </w:rPr>
        <w:t xml:space="preserve">. Hires are non-negative in every period when</w:t>
      </w:r>
      <w:r>
        <w:rPr>
          <w:rFonts w:ascii="Times New Roman" w:hAnsi="Times New Roman" w:eastAsia="Times New Roman" w:cs="Times New Roman"/>
        </w:rPr>
        <w:t xml:space="preserve"> </w:t>
      </w:r>
      <m:oMath>
        <m:r>
          <m:t>λ</m:t>
        </m:r>
        <m:r>
          <m:rPr>
            <m:sty m:val="p"/>
          </m:rPr>
          <m:t>≤</m:t>
        </m:r>
        <m:r>
          <m:t>δ</m:t>
        </m:r>
      </m:oMath>
      <w:r>
        <w:rPr>
          <w:rFonts w:ascii="Times New Roman" w:hAnsi="Times New Roman" w:eastAsia="Times New Roman" w:cs="Times New Roman"/>
        </w:rPr>
        <w:t xml:space="preserve">, because</w:t>
      </w:r>
      <w:r>
        <w:rPr>
          <w:rFonts w:ascii="Times New Roman" w:hAnsi="Times New Roman" w:eastAsia="Times New Roman" w:cs="Times New Roman"/>
        </w:rPr>
        <w:t xml:space="preserve"> </w:t>
      </w:r>
      <m:oMath>
        <m:r>
          <m:t>λ</m:t>
        </m:r>
        <m:r>
          <m:t>f</m:t>
        </m:r>
        <m:r>
          <m:rPr>
            <m:sty m:val="p"/>
          </m:rPr>
          <m:t>≤</m:t>
        </m:r>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for</w:t>
      </w:r>
      <w:r>
        <w:rPr>
          <w:rFonts w:ascii="Times New Roman" w:hAnsi="Times New Roman" w:eastAsia="Times New Roman" w:cs="Times New Roman"/>
        </w:rPr>
        <w:t xml:space="preserve"> </w:t>
      </w:r>
      <m:oMath>
        <m:r>
          <m:t>f</m:t>
        </m:r>
        <m:r>
          <m:rPr>
            <m:sty m:val="p"/>
          </m:rPr>
          <m:t>≤</m:t>
        </m:r>
        <m:r>
          <m:t>1</m:t>
        </m:r>
      </m:oMath>
      <w:r>
        <w:rPr>
          <w:rFonts w:ascii="Times New Roman" w:hAnsi="Times New Roman" w:eastAsia="Times New Roman" w:cs="Times New Roman"/>
        </w:rPr>
        <w:t xml:space="preserve">. The upper bound in part (i) holds when hiring is adjusted smoothly as in equation (4); a temporary hiring freeze could produce a larger transitory fall in adverts.</w:t>
      </w:r>
    </w:p>
    <w:bookmarkEnd w:id="27"/>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sz w:val="24"/>
    </w:rPr>
  </w:style>
  <w:style w:styleId="BodyText" w:type="paragraph">
    <w:name w:val="Body Text"/>
    <w:basedOn w:val="Normal"/>
    <w:link w:val="BodyTextChar"/>
    <w:pPr>
      <w:spacing w:after="180" w:before="180"/>
    </w:pPr>
    <w:qFormat/>
    <w:rPr>
      <w:rFonts w:ascii="Times New Roman" w:hAnsi="Times New Roman" w:eastAsia="Times New Roman" w:cs="Times New Roman"/>
      <w:sz w:val="24"/>
    </w:rPr>
  </w:style>
  <w:style w:customStyle="1" w:styleId="FirstParagraph" w:type="paragraph">
    <w:name w:val="First Paragraph"/>
    <w:basedOn w:val="BodyText"/>
    <w:next w:val="BodyText"/>
    <w:qFormat/>
    <w:rPr>
      <w:rFonts w:ascii="Times New Roman" w:hAnsi="Times New Roman" w:eastAsia="Times New Roman" w:cs="Times New Roman"/>
      <w:sz w:val="24"/>
    </w:rPr>
  </w:style>
  <w:style w:customStyle="1" w:styleId="Compact" w:type="paragraph">
    <w:name w:val="Compact"/>
    <w:basedOn w:val="BodyText"/>
    <w:qFormat/>
    <w:pPr>
      <w:spacing w:after="36" w:before="36"/>
    </w:pPr>
    <w:rPr>
      <w:rFonts w:ascii="Times New Roman" w:hAnsi="Times New Roman" w:eastAsia="Times New Roman" w:cs="Times New Roman"/>
      <w:sz w:val="24"/>
    </w:rPr>
  </w:style>
  <w:style w:styleId="Title" w:type="paragraph">
    <w:name w:val="Title"/>
    <w:basedOn w:val="Normal"/>
    <w:next w:val="BodyText"/>
    <w:qFormat/>
    <w:pPr>
      <w:keepNext/>
      <w:keepLines/>
      <w:spacing w:after="120" w:before="240"/>
      <w:jc w:val="center"/>
    </w:pPr>
    <w:rPr>
      <w:rFonts w:ascii="Times New Roman" w:hAnsi="Times New Roman" w:eastAsia="Times New Roman" w:cs="Times New Roman"/>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sz w:val="24"/>
    </w:rPr>
  </w:style>
  <w:style w:styleId="Date" w:type="paragraph">
    <w:name w:val="Date"/>
    <w:next w:val="BodyText"/>
    <w:qFormat/>
    <w:pPr>
      <w:keepNext/>
      <w:keepLines/>
      <w:jc w:val="center"/>
    </w:pPr>
    <w:rPr>
      <w:rFonts w:ascii="Times New Roman" w:hAnsi="Times New Roman" w:eastAsia="Times New Roman" w:cs="Times New Roman"/>
      <w:sz w:val="24"/>
    </w:rPr>
  </w:style>
  <w:style w:customStyle="1" w:styleId="AbstractTitle" w:type="paragraph">
    <w:name w:val="Abstract Title"/>
    <w:basedOn w:val="Normal"/>
    <w:next w:val="Abstract"/>
    <w:qFormat/>
    <w:pPr>
      <w:keepNext/>
      <w:keepLines/>
      <w:jc w:val="center"/>
      <w:spacing w:after="0" w:before="300"/>
    </w:pPr>
    <w:rPr>
      <w:sz w:val="24"/>
      <w:szCs w:val="20"/>
      <w:rFonts w:ascii="Times New Roman" w:hAnsi="Times New Roman" w:eastAsia="Times New Roman" w:cs="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sz w:val="24"/>
      <w:szCs w:val="20"/>
    </w:rPr>
  </w:style>
  <w:style w:styleId="Bibliography" w:type="paragraph">
    <w:name w:val="Bibliography"/>
    <w:basedOn w:val="Normal"/>
    <w:next w:val="Bibliography"/>
    <w:qFormat/>
    <w:pPr/>
    <w:rPr>
      <w:rFonts w:ascii="Times New Roman" w:hAnsi="Times New Roman" w:eastAsia="Times New Roman" w:cs="Times New Roman"/>
      <w:sz w:val="24"/>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val="000000"/>
      <w:sz w:val="24"/>
      <w:szCs w:val="32"/>
    </w:rPr>
  </w:style>
  <w:style w:styleId="Heading2" w:type="paragraph">
    <w:name w:val="Heading 2"/>
    <w:basedOn w:val="Normal"/>
    <w:next w:val="BodyText"/>
    <w:uiPriority w:val="9"/>
    <w:unhideWhenUsed/>
    <w:qFormat/>
    <w:pPr>
      <w:keepNext/>
      <w:keepLines/>
      <w:spacing w:after="120" w:before="240"/>
      <w:jc w:val="center"/>
      <w:outlineLvl w:val="1"/>
    </w:pPr>
    <w:rPr>
      <w:rFonts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120" w:before="240"/>
      <w:jc w:val="left"/>
      <w:outlineLvl w:val="2"/>
    </w:pPr>
    <w:rPr>
      <w:rFonts w:ascii="Times New Roman" w:hAnsi="Times New Roman" w:eastAsia="Times New Roman" w:cs="Times New Roman"/>
      <w:b/>
      <w:bCs/>
      <w:i w:val="0"/>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sz w:val="24"/>
    </w:rPr>
  </w:style>
  <w:style w:styleId="FootnoteText" w:type="paragraph">
    <w:name w:val="Footnote Text"/>
    <w:basedOn w:val="Normal"/>
    <w:next w:val="FootnoteText"/>
    <w:uiPriority w:val="9"/>
    <w:unhideWhenUsed/>
    <w:qFormat/>
    <w:rPr>
      <w:rFonts w:ascii="Times New Roman" w:hAnsi="Times New Roman" w:eastAsia="Times New Roman" w:cs="Times New Roman"/>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sz w:val="24"/>
    </w:rPr>
  </w:style>
  <w:style w:customStyle="1" w:styleId="Definition" w:type="paragraph">
    <w:name w:val="Definition"/>
    <w:basedOn w:val="Normal"/>
    <w:rPr>
      <w:rFonts w:ascii="Times New Roman" w:hAnsi="Times New Roman" w:eastAsia="Times New Roman" w:cs="Times New Roman"/>
      <w:sz w:val="24"/>
    </w:rPr>
  </w:style>
  <w:style w:styleId="Caption" w:type="paragraph">
    <w:name w:val="Caption"/>
    <w:basedOn w:val="Normal"/>
    <w:link w:val="BodyTextChar"/>
    <w:pPr>
      <w:spacing w:after="120" w:before="0"/>
    </w:pPr>
    <w:rPr>
      <w:rFonts w:ascii="Times New Roman" w:hAnsi="Times New Roman" w:eastAsia="Times New Roman" w:cs="Times New Roman"/>
      <w:i/>
      <w:sz w:val="24"/>
    </w:rPr>
  </w:style>
  <w:style w:customStyle="1" w:styleId="TableCaption" w:type="paragraph">
    <w:name w:val="Table Caption"/>
    <w:basedOn w:val="Caption"/>
    <w:pPr>
      <w:keepNext/>
    </w:pPr>
    <w:rPr>
      <w:rFonts w:ascii="Times New Roman" w:hAnsi="Times New Roman" w:eastAsia="Times New Roman" w:cs="Times New Roman"/>
      <w:sz w:val="24"/>
    </w:rPr>
  </w:style>
  <w:style w:customStyle="1" w:styleId="ImageCaption" w:type="paragraph">
    <w:name w:val="Image Caption"/>
    <w:basedOn w:val="Caption"/>
    <w:rPr>
      <w:rFonts w:ascii="Times New Roman" w:hAnsi="Times New Roman" w:eastAsia="Times New Roman" w:cs="Times New Roman"/>
      <w:sz w:val="24"/>
    </w:rPr>
  </w:style>
  <w:style w:customStyle="1" w:styleId="Figure" w:type="paragraph">
    <w:name w:val="Figure"/>
    <w:basedOn w:val="Normal"/>
    <w:rPr>
      <w:rFonts w:ascii="Times New Roman" w:hAnsi="Times New Roman" w:eastAsia="Times New Roman" w:cs="Times New Roman"/>
      <w:sz w:val="24"/>
    </w:rPr>
  </w:style>
  <w:style w:customStyle="1" w:styleId="CaptionedFigure" w:type="paragraph">
    <w:name w:val="Captioned Figure"/>
    <w:basedOn w:val="Figure"/>
    <w:pPr>
      <w:keepNext/>
    </w:pPr>
    <w:rPr>
      <w:rFonts w:ascii="Times New Roman" w:hAnsi="Times New Roman" w:eastAsia="Times New Roman" w:cs="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sz w:val="24"/>
    </w:rPr>
  </w:style>
  <w:style w:type="paragraph" w:customStyle="1" w:styleId="SourceCode">
    <w:name w:val="Source Code"/>
    <w:basedOn w:val="Normal"/>
    <w:link w:val="VerbatimChar"/>
    <w:pPr>
      <w:wordWrap w:val="off"/>
    </w:pPr>
    <w:rPr>
      <w:rFonts w:ascii="Times New Roman" w:hAnsi="Times New Roman" w:eastAsia="Times New Roman" w:cs="Times New Roman"/>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2026-10-28T08:18:10Z</dcterms:created>
  <dcterms:modified xsi:type="dcterms:W3CDTF">2026-10-28T08:18:10Z</dcterms:modified>
  <cp:lastModifiedBy/>
</cp:coreProperties>
</file>

<file path=docProps/custom.xml><?xml version="1.0" encoding="utf-8"?>
<Properties xmlns="http://schemas.openxmlformats.org/officeDocument/2006/custom-properties" xmlns:vt="http://schemas.openxmlformats.org/officeDocument/2006/docPropsVTypes"/>
</file>