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Editor-in-Chief</w:t>
      </w:r>
      <w:r>
        <w:t xml:space="preserve"> </w:t>
      </w:r>
      <w:r>
        <w:t xml:space="preserve">[Journal name]</w:t>
      </w:r>
    </w:p>
    <w:p>
      <w:pPr>
        <w:pStyle w:val="BodyText"/>
      </w:pPr>
      <w:r>
        <w:t xml:space="preserve">Dear Editor,</w:t>
      </w:r>
    </w:p>
    <w:p>
      <w:pPr>
        <w:pStyle w:val="BodyText"/>
      </w:pPr>
      <w:r>
        <w:t xml:space="preserve">We are pleased to submit our manuscript,</w:t>
      </w:r>
      <w:r>
        <w:t xml:space="preserve"> </w:t>
      </w:r>
      <w:r>
        <w:t xml:space="preserve">“</w:t>
      </w:r>
      <w:r>
        <w:t xml:space="preserve">Do Influencers Pay? Limited Attention, Engagement Elasticity, and the Design of Simulation-Based Pre-Tests for Seeding Decisions,</w:t>
      </w:r>
      <w:r>
        <w:t xml:space="preserve">”</w:t>
      </w:r>
      <w:r>
        <w:t xml:space="preserve"> </w:t>
      </w:r>
      <w:r>
        <w:t xml:space="preserve">for consideration as a Research Article in [Journal name]. The intended audience is researchers who study simulation-based decision support and social media analytics, as well as practitioners who use simulation to plan social media campaigns.</w:t>
      </w:r>
    </w:p>
    <w:bookmarkStart w:id="20" w:name="contribution-statement"/>
    <w:p>
      <w:pPr>
        <w:pStyle w:val="Heading2"/>
      </w:pPr>
      <w:r>
        <w:t xml:space="preserve">Contribution Statement</w:t>
      </w:r>
    </w:p>
    <w:p>
      <w:pPr>
        <w:pStyle w:val="FirstParagraph"/>
      </w:pPr>
      <w:r>
        <w:rPr>
          <w:bCs/>
          <w:b/>
        </w:rPr>
        <w:t xml:space="preserve">(a) Contribution to the literature.</w:t>
      </w:r>
      <w:r>
        <w:t xml:space="preserve"> </w:t>
      </w:r>
      <w:r>
        <w:t xml:space="preserve">Firms and researchers increasingly use agent-based simulators as synthetic audiences on which to pre-test social media campaigns. Research on these artifacts has focused on whether the simulated agents behave realistically. Taking a design science perspective, we argue that the utility of a pre-test lies in the quality of the decision it supports, and we show that three design choices outside the agent model (the decision metric, the scheduling mechanism, and the attention model) can manufacture, magnify, or reverse a recommendation. Drawing on limited-attention theory, we formalize the attention model as an engagement elasticity β and show that the ranking of influencer and grassroots seeding reverses at modest values of β, at thresholds that differ by decision criterion, enclose a band in which the manager’s time and risk preferences decide, and are predicted by a simple attention argument. This turns the long-standing debate between</w:t>
      </w:r>
      <w:r>
        <w:t xml:space="preserve"> </w:t>
      </w:r>
      <w:r>
        <w:t xml:space="preserve">“</w:t>
      </w:r>
      <w:r>
        <w:t xml:space="preserve">influentials</w:t>
      </w:r>
      <w:r>
        <w:t xml:space="preserve">”</w:t>
      </w:r>
      <w:r>
        <w:t xml:space="preserve"> </w:t>
      </w:r>
      <w:r>
        <w:t xml:space="preserve">and</w:t>
      </w:r>
      <w:r>
        <w:t xml:space="preserve"> </w:t>
      </w:r>
      <w:r>
        <w:t xml:space="preserve">“</w:t>
      </w:r>
      <w:r>
        <w:t xml:space="preserve">ordinary users</w:t>
      </w:r>
      <w:r>
        <w:t xml:space="preserve">”</w:t>
      </w:r>
      <w:r>
        <w:t xml:space="preserve"> </w:t>
      </w:r>
      <w:r>
        <w:t xml:space="preserve">into a question about an estimable platform parameter. We estimate the parameter on 209,890 posts from six influencer campaigns on Weibo and find values (about 0.66) well above the reversal thresholds, which implies that simulators assuming constant attention systematically favor influencer seeding. The paper contributes to research on simulation-based decision support by shifting evaluation from behavioral fidelity to decision relevance and by deriving three design principles for pre-test artifacts, and to research on seeding and influencer marketing by identifying a boundary condition that can reconcile conflicting findings.</w:t>
      </w:r>
    </w:p>
    <w:p>
      <w:pPr>
        <w:pStyle w:val="BodyText"/>
      </w:pPr>
      <w:r>
        <w:rPr>
          <w:bCs/>
          <w:b/>
        </w:rPr>
        <w:t xml:space="preserve">(b) Potential influence on practice.</w:t>
      </w:r>
      <w:r>
        <w:t xml:space="preserve"> </w:t>
      </w:r>
      <w:r>
        <w:t xml:space="preserve">Influencer marketing absorbs a large and growing share of digital marketing budgets, and vendors increasingly offer simulation tools for campaign planning. Our results give managers concrete guidance: compare plans by reach at fixed horizons, discounted reach, downside risk, and dominance rather than by scale-normalized speed; ask how a simulator schedules user activity; and, above all, estimate how engagement scales with audience size on the relevant platform before choosing between a few large and many small accounts. The same logic applies to public-health and policy communication, where organizations face the same allocation choice.</w:t>
      </w:r>
    </w:p>
    <w:bookmarkEnd w:id="20"/>
    <w:bookmarkStart w:id="21" w:name="declarations"/>
    <w:p>
      <w:pPr>
        <w:pStyle w:val="Heading2"/>
      </w:pPr>
      <w:r>
        <w:t xml:space="preserve">Declarations</w:t>
      </w:r>
    </w:p>
    <w:p>
      <w:pPr>
        <w:pStyle w:val="FirstParagraph"/>
      </w:pPr>
      <w:r>
        <w:t xml:space="preserve">No part of this manuscript has been published or is under review elsewhere. The empirical analysis uses SAGraph, a public dataset released under a CC-BY 4.0 license, and we have the right to use the data and publish the results. Code and per-run results are provided as an anonymized supplementary archive. [Add funding and conflict-of-interest statements if the journal requires them.]</w:t>
      </w:r>
    </w:p>
    <w:p>
      <w:pPr>
        <w:pStyle w:val="BodyText"/>
      </w:pPr>
      <w:r>
        <w:t xml:space="preserve">Thank you for considering our work.</w:t>
      </w:r>
    </w:p>
    <w:p>
      <w:pPr>
        <w:pStyle w:val="BodyText"/>
      </w:pPr>
      <w:r>
        <w:t xml:space="preserve">Sincerely,</w:t>
      </w:r>
    </w:p>
    <w:p>
      <w:pPr>
        <w:pStyle w:val="BodyText"/>
      </w:pPr>
      <w:r>
        <w:t xml:space="preserve">[Corresponding author name, affiliation, e-mail]</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2026-10-24T22:40:53Z</dcterms:created>
  <dcterms:modified xsi:type="dcterms:W3CDTF">2026-10-24T22:40:53Z</dcterms:modified>
</cp:coreProperties>
</file>

<file path=docProps/custom.xml><?xml version="1.0" encoding="utf-8"?>
<Properties xmlns="http://schemas.openxmlformats.org/officeDocument/2006/custom-properties" xmlns:vt="http://schemas.openxmlformats.org/officeDocument/2006/docPropsVTypes"/>
</file>