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read as evidence that creative work is being displaced. Macroeconomic theory of general-purpose technologies and information systems research on assimilation both predict that adoption runs ahead of effects. We model a firm that reassigns a visual task to a generator only when output acceptance exceeds a cost threshold; review is a bottleneck whose cost depends on organizational complements, and employers adjust through attrition. Eurostat data show that 9.6 percent of EU firms use AI that generates pictures, video, or audio, and that non-adopters cite missing expertise (70 percent) and legal uncertainty (54 percent) far more than lack of usefulness (18 percent). A detectability bound shows that European and Canadian job-advert designs could not detect even complete assimilation at platform-sized effects; the small gradients found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Macroeconomics offers the same caution. General-purpose technologies take effect only after complementary investments, labor markets adjust through attrition and reallocation rather than immediate job loss, and technology often accelerates structural change already under way (David 1990; Brynjolfsson, Rock, and Syverson 2021; Acemoglu and Restrepo 2018).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We embed review in a task-based model of labor demand that separates displacement, reinstatement, and scale effects (Acemoglu and Restrepo 2018, 2019), treat review as a bottleneck task (Baumol 1967), and let employers adjust through attrition.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It provides a detectability bound that tells researchers when occupation-level hiring designs can and cannot be informative about generative-AI assimilation, and it shows that a common empirical strategy currently attributes to the technology declines that the technology cannot have produced.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276"/>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276"/>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276"/>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276"/>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276"/>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276"/>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276"/>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276"/>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276"/>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spacing w:after="120" w:before="280"/>
      </w:pPr>
      <w:r>
        <w:rPr>
          <w:rFonts w:ascii="Times New Roman" w:cs="Times New Roman" w:eastAsia="Times New Roman" w:hAnsi="Times New Roman"/>
          <w:bCs/>
          <w:color w:val="000000"/>
          <w:sz w:val="24"/>
          <w:szCs w:val="24"/>
        </w:rPr>
        <w:t>7.5 Sector-Level Acquisition and Employment</w:t>
      </w:r>
    </w:p>
    <w:p>
      <w:pPr>
        <w:spacing w:after="160" w:line="276"/>
        <w:jc w:val="both"/>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Cs/>
          <w:color w:val="000000"/>
          <w:sz w:val="24"/>
          <w:szCs w:val="24"/>
        </w:rPr>
        <w:t>10.2 A Macroeconomic Reading</w:t>
      </w:r>
    </w:p>
    <w:p>
      <w:pPr>
        <w:spacing w:after="160" w:line="276"/>
        <w:jc w:val="both"/>
      </w:pPr>
      <w:r>
        <w:rPr>
          <w:rFonts w:ascii="Times New Roman" w:cs="Times New Roman" w:eastAsia="Times New Roman" w:hAnsi="Times New Roman"/>
        </w:rPr>
        <w:t>The results fit a standard macroeconomic account of technology shocks. General-purpose technologies take effect only after complementary investments in organization and skills, so adoption can run ahead of measured effects (David 1990; Bresnahan and Trajtenberg 1995; Brynjolfsson, Rock, and Syverson 2021). The task-based framework (Acemoglu and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as Eloundou et al. (2023) assess, the experience of earlier general-purpose technologies suggests that its labor-market effects appear after complementary investments accumulate. Our results are consistent with this reading but do not test it.</w:t>
      </w:r>
    </w:p>
    <w:p>
      <w:pPr>
        <w:spacing w:after="160" w:line="276"/>
        <w:jc w:val="both"/>
      </w:pPr>
      <w:r>
        <w:rPr>
          <w:rFonts w:ascii="Times New Roman" w:cs="Times New Roman" w:eastAsia="Times New Roman" w:hAnsi="Times New Roman"/>
        </w:rPr>
        <w:t>Two features of labor adjustment shape what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spacing w:after="160" w:line="276"/>
        <w:jc w:val="both"/>
      </w:pPr>
      <w:r>
        <w:rPr>
          <w:rFonts w:ascii="Times New Roman" w:cs="Times New Roman" w:eastAsia="Times New Roman" w:hAnsi="Times New Roman"/>
        </w:rPr>
        <w:t>On timing, the evidence supports neither a prediction that effects will take decades nor the view that the future cannot be known. Table 6 gives earliest detection dates that range from 2025 for very large effects in high-acquisition sectors to 2035 for moderate effects under slow diffusion in the average firm, and never, in this design, for platform-sized effects. What the data cannot say is whether assimilation is occurring now. Answering that requires firm-level data that link use, complementary assets, task reassignment, and hiring.</w:t>
      </w:r>
    </w:p>
    <w:p>
      <w:pPr>
        <w:pStyle w:val="Heading2"/>
        <w:spacing w:after="120" w:before="280"/>
      </w:pPr>
      <w:r>
        <w:rPr>
          <w:rFonts w:ascii="Times New Roman" w:cs="Times New Roman" w:eastAsia="Times New Roman" w:hAnsi="Times New Roman"/>
          <w:bCs/>
          <w:color w:val="000000"/>
          <w:sz w:val="24"/>
          <w:szCs w:val="24"/>
        </w:rPr>
        <w:t>10.3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Cs/>
          <w:color w:val="000000"/>
          <w:sz w:val="24"/>
          <w:szCs w:val="24"/>
        </w:rPr>
        <w:t>10.4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276"/>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276"/>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276"/>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U.S. Census Bureau. Business Trends and Outlook Survey (BTOS), sector estimates. Public-use tables.</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