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The central result is that this rent lasts only until rivals imitate the capital or until the developer itself productizes the use, so that an adopter’s profitable window depends on its supplier as well as on its competitors. As illustration, we then relate measurable counterparts of the theory to public leaderboard, endpoint-price, and SEC filing data. A lab’s flagship price is positively associated with its quality lead, and firms that launch a dated first-party AI product show a higher operating margin afterward. These patterns are consistent with the theory, but the samples are small, and the data cannot establish that the margin increment decays or separate it from alternative explanations. The evidence is illustrative and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it takes the rate</w:t>
      </w:r>
      <w:r>
        <w:t xml:space="preserve"> </w:t>
      </w:r>
      <m:oMath>
        <m:r>
          <m:t>η</m:t>
        </m:r>
      </m:oMath>
      <w:r>
        <w:t xml:space="preserve"> </w:t>
      </w:r>
      <w:r>
        <w:t xml:space="preserve">as given. Section 4.5 then lets the developer choose</w:t>
      </w:r>
      <w:r>
        <w:t xml:space="preserve"> </w:t>
      </w:r>
      <m:oMath>
        <m:r>
          <m:t>η</m:t>
        </m:r>
      </m:oMath>
      <w:r>
        <w:t xml:space="preserve"> </w:t>
      </w:r>
      <w:r>
        <w:t xml:space="preserve">and shows how contract terms that limit its use of adopters’ data change that choice and, through it, the adopter’s incentive to invest. How far an adopter can lower</w:t>
      </w:r>
      <w:r>
        <w:t xml:space="preserve"> </w:t>
      </w:r>
      <m:oMath>
        <m:r>
          <m:t>η</m:t>
        </m:r>
      </m:oMath>
      <w:r>
        <w:t xml:space="preserve"> </w:t>
      </w:r>
      <w:r>
        <w:t xml:space="preserve">through other means, such as the choice of what to build,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Propositions 6 and 7 extend the result by endogenizing</w:t>
      </w:r>
      <w:r>
        <w:t xml:space="preserve"> </w:t>
      </w:r>
      <m:oMath>
        <m:r>
          <m:t>η</m:t>
        </m:r>
      </m:oMath>
      <w:r>
        <w:t xml:space="preserve">, and they turn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7"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(Propositions 5 to 7)</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4.5);</w:t>
            </w:r>
            <w:r>
              <w:t xml:space="preserve"> </w:t>
            </w:r>
            <m:oMath>
              <m:r>
                <m:t>r</m:t>
              </m:r>
              <m:r>
                <m:rPr>
                  <m:sty m:val="p"/>
                </m:rPr>
                <m:t>=</m:t>
              </m:r>
              <m:r>
                <m:t>ρ</m:t>
              </m:r>
              <m:r>
                <m:rPr>
                  <m:sty m:val="p"/>
                </m:rPr>
                <m:t>+</m:t>
              </m:r>
              <m:r>
                <m:t>μ</m:t>
              </m:r>
            </m:oMath>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Start w:id="36" w:name="Xb251667487cf04b98c628b0f1577ec4895e93a1"/>
    <w:p>
      <w:pPr>
        <w:pStyle w:val="Heading2"/>
      </w:pPr>
      <w:r>
        <w:t xml:space="preserve">4.5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developer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developer’s use of the adopter’s data, fine-tuning, or deployment information. The developer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developer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developer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developer’s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developer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developer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developer’s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developer’s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4 gives a numerical illustration. Protection clears for uses with small rents and fails for uses with large rents, because the developer’s gain from productizing grows with the rent. The pattern depends on the parameters and is not general, since in a simulation with randomly drawn parameters the willingness to pay fell short of the developer’s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4. Willingness to pay for protection versus the developer’s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Developer’s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developer. We do not model competition among vendors for the same use,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6"/>
    <w:bookmarkEnd w:id="37"/>
    <w:bookmarkStart w:id="40" w:name="empirical-counterparts-and-implications"/>
    <w:p>
      <w:pPr>
        <w:pStyle w:val="Heading1"/>
      </w:pPr>
      <w:r>
        <w:t xml:space="preserve">5. Empirical Counterparts and Implications</w:t>
      </w:r>
    </w:p>
    <w:bookmarkStart w:id="38"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8"/>
    <w:bookmarkStart w:id="39" w:name="empirical-implications"/>
    <w:p>
      <w:pPr>
        <w:pStyle w:val="Heading2"/>
      </w:pPr>
      <w:r>
        <w:t xml:space="preserve">5.2 Empirical implications</w:t>
      </w:r>
    </w:p>
    <w:p>
      <w:pPr>
        <w:pStyle w:val="FirstParagraph"/>
      </w:pPr>
      <w:r>
        <w:t xml:space="preserve">The comparative statics in Section 4.3 yield five testable implications, stated below as hypotheses.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39"/>
    <w:bookmarkEnd w:id="40"/>
    <w:bookmarkStart w:id="44"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1"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1"/>
    <w:bookmarkStart w:id="42"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2"/>
    <w:bookmarkStart w:id="43"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3"/>
    <w:bookmarkEnd w:id="44"/>
    <w:bookmarkStart w:id="48" w:name="discussion"/>
    <w:p>
      <w:pPr>
        <w:pStyle w:val="Heading1"/>
      </w:pPr>
      <w:r>
        <w:t xml:space="preserve">7. Discussion</w:t>
      </w:r>
    </w:p>
    <w:bookmarkStart w:id="45"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5"/>
    <w:bookmarkStart w:id="46"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7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4 suggests that such terms may be hardest to obtain for the most valuable uses, which is a reason for adopters to negotiate them before a use proves valuable and not after.</w:t>
      </w:r>
    </w:p>
    <w:bookmarkEnd w:id="46"/>
    <w:bookmarkStart w:id="47"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7"/>
    <w:bookmarkEnd w:id="48"/>
    <w:bookmarkStart w:id="49"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9"/>
    <w:bookmarkStart w:id="50"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bookmarkEnd w:id="50"/>
    <w:bookmarkStart w:id="51"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2026-10-20T23:28:49Z</dcterms:created>
  <dcterms:modified xsi:type="dcterms:W3CDTF">2026-10-20T23:28:49Z</dcterms:modified>
</cp:coreProperties>
</file>

<file path=docProps/custom.xml><?xml version="1.0" encoding="utf-8"?>
<Properties xmlns="http://schemas.openxmlformats.org/officeDocument/2006/custom-properties" xmlns:vt="http://schemas.openxmlformats.org/officeDocument/2006/docPropsVTypes"/>
</file>