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sz w:val="28"/>
          <w:szCs w:val="28"/>
        </w:rPr>
        <w:t xml:space="preserve">Do LLM-Based Digital Twins Behave According to Behavioral Economics Theory? A Contamination-Controlled Test of Theoretical Fidelity in Classic and Platform Contexts</w:t>
      </w:r>
    </w:p>
    <w:p>
      <w:pPr>
        <w:spacing w:after="120"/>
        <w:jc w:val="center"/>
      </w:pPr>
      <w:r>
        <w:rPr>
          <w:rFonts w:ascii="Times New Roman" w:cs="Times New Roman" w:eastAsia="Times New Roman" w:hAnsi="Times New Roman"/>
          <w:b/>
          <w:bCs/>
          <w:sz w:val="24"/>
          <w:szCs w:val="24"/>
        </w:rPr>
        <w:t xml:space="preserve">Abstract</w:t>
      </w:r>
    </w:p>
    <w:p>
      <w:pPr>
        <w:spacing w:line="480"/>
      </w:pPr>
      <w:r>
        <w:rPr>
          <w:rFonts w:ascii="Times New Roman" w:cs="Times New Roman" w:eastAsia="Times New Roman" w:hAnsi="Times New Roman"/>
          <w:sz w:val="24"/>
          <w:szCs w:val="24"/>
        </w:rPr>
        <w:t xml:space="preserve">Large language model (LLM) digital twins are increasingly proposed as low-cost substitutes for human subjects in information systems (IS) research and platform design, yet validation has centered on whether twins reproduce the direction of classic effects. We argue that using twins for design science and theory testing requires theoretical fidelity: recovery of effect magnitudes, moderator interactions, and behavior on stimuli the model cannot have memorized. We develop a pre-registered, contamination-controlled design that evaluates six behavioral economics phenomena (loss framing, defaults, anchoring, decoys, choice overload, ultimatum-game fairness) across three twin architectures, classic, isomorphic, post-cutoff, and platform stimuli, and model training stage and resource constraints. Human benchmarks come solely from public replications and meta-analyses. We derive six hypotheses and decision rules, and contribute a fidelity framework, a reusable contamination test, and guidance on when synthetic agents may inform platform governance.</w:t>
      </w:r>
    </w:p>
    <w:p>
      <w:pPr>
        <w:spacing w:before="12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digital twins; large language models; behavioral economics; synthetic data; contamination; digital nudging; choice architecture; research methodology</w:t>
      </w:r>
    </w:p>
    <w:p>
      <w:r>
        <w:br w:type="page"/>
      </w:r>
    </w:p>
    <w:p>
      <w:pPr>
        <w:pStyle w:val="Heading1"/>
        <w:keepNext/>
        <w:spacing w:after="0" w:before="240" w:line="480"/>
      </w:pPr>
      <w:r>
        <w:rPr>
          <w:rFonts w:ascii="Times New Roman" w:cs="Times New Roman" w:eastAsia="Times New Roman" w:hAnsi="Times New Roman"/>
          <w:b/>
          <w:bCs/>
          <w:sz w:val="24"/>
          <w:szCs w:val="24"/>
        </w:rPr>
        <w:t xml:space="preserve">1. Introduction</w:t>
      </w:r>
    </w:p>
    <w:p>
      <w:pPr>
        <w:spacing w:line="480"/>
        <w:ind w:firstLine="720"/>
      </w:pPr>
      <w:r>
        <w:rPr>
          <w:rFonts w:ascii="Times New Roman" w:cs="Times New Roman" w:eastAsia="Times New Roman" w:hAnsi="Times New Roman"/>
          <w:sz w:val="24"/>
          <w:szCs w:val="24"/>
        </w:rPr>
        <w:t xml:space="preserve">Digital platforms continuously shape user behavior through defaults, price anchors, decoy options, assortment size, and framing. Because field experimentation on such design choices is costly, slow, and sometimes ethically fraught, researchers and practitioners have turned to large language models (LLMs) as computationally tractable “digital twins” that simulate human responses at scale (Horton et al. 2023, Argyle et al. 2023, Toubia et al. 2025). Twins promise a cheap complement, and in some uses a substitute, for human-subject experiments in early-stage design exploration, heterogeneous treatment effect estimation, and counterfactual evaluation of platform interventions. The value of that promise depends on a foundational question that information systems (IS) research has not yet answered: do LLM-based digital twins behave according to established behavioral economics theory?</w:t>
      </w:r>
    </w:p>
    <w:p>
      <w:pPr>
        <w:spacing w:line="480"/>
        <w:ind w:firstLine="720"/>
      </w:pPr>
      <w:r>
        <w:rPr>
          <w:rFonts w:ascii="Times New Roman" w:cs="Times New Roman" w:eastAsia="Times New Roman" w:hAnsi="Times New Roman"/>
          <w:sz w:val="24"/>
          <w:szCs w:val="24"/>
        </w:rPr>
        <w:t xml:space="preserve">Existing evidence is encouraging but narrow. Studies show that LLMs can reproduce the qualitative direction of many classic laboratory findings (Aher et al. 2023, Horton et al. 2023) and that models fine-tuned on large behavioral corpora predict held-out participants (Binz et al. 2025). Two recent efforts sharpen the concern. A pre-registered mega-study of 19 new human experiments and their twins found weak individual-level correspondence (average r = 0.20) and “hyper-rational” twins, and reported that twins showed a default effect for a classic paradigm but not for a less familiar one (Peng et al. 2026). Wang et al. (2026) argue that behavioral fidelity is neither necessary nor sufficient for twins to substitute for human data in valid inference. Directional recovery, however, is a weak standard for the uses IS scholars have in mind. A design scientist choosing between an opt-out and an opt-in enrollment flow needs to know how large the difference will be; a theorist testing a moderator needs the twin to reproduce the </w:t>
      </w:r>
      <w:r>
        <w:rPr>
          <w:rFonts w:ascii="Times New Roman" w:cs="Times New Roman" w:eastAsia="Times New Roman" w:hAnsi="Times New Roman"/>
          <w:i/>
          <w:iCs/>
          <w:sz w:val="24"/>
          <w:szCs w:val="24"/>
        </w:rPr>
        <w:t xml:space="preserve">condition-dependence</w:t>
      </w:r>
      <w:r>
        <w:rPr>
          <w:rFonts w:ascii="Times New Roman" w:cs="Times New Roman" w:eastAsia="Times New Roman" w:hAnsi="Times New Roman"/>
          <w:sz w:val="24"/>
          <w:szCs w:val="24"/>
        </w:rPr>
        <w:t xml:space="preserve"> of an effect, not merely its sign; and any researcher needs assurance that apparent fidelity is not memorization of famous experimental materials (Carlini et al. 2021, 2023). Moreover, the platform settings that matter most to IS, including subscription defaults, price anchoring in recommender interfaces, decoy products in marketplaces, and dark-pattern choice architectures (Weinmann et al. 2016, Mathur et al. 2019), have received little systematic evaluation.</w:t>
      </w:r>
    </w:p>
    <w:p>
      <w:pPr>
        <w:spacing w:line="480"/>
        <w:ind w:firstLine="720"/>
      </w:pPr>
      <w:r>
        <w:rPr>
          <w:rFonts w:ascii="Times New Roman" w:cs="Times New Roman" w:eastAsia="Times New Roman" w:hAnsi="Times New Roman"/>
          <w:sz w:val="24"/>
          <w:szCs w:val="24"/>
        </w:rPr>
        <w:t xml:space="preserve">These studies establish that twins fall short on individual prediction, but they do not map fidelity onto theory, and they test few effects in more than one paradigm. We therefore ask not whether twins can mimic humans, but whether they are </w:t>
      </w:r>
      <w:r>
        <w:rPr>
          <w:rFonts w:ascii="Times New Roman" w:cs="Times New Roman" w:eastAsia="Times New Roman" w:hAnsi="Times New Roman"/>
          <w:i/>
          <w:iCs/>
          <w:sz w:val="24"/>
          <w:szCs w:val="24"/>
        </w:rPr>
        <w:t xml:space="preserve">theoretically faithful</w:t>
      </w:r>
      <w:r>
        <w:rPr>
          <w:rFonts w:ascii="Times New Roman" w:cs="Times New Roman" w:eastAsia="Times New Roman" w:hAnsi="Times New Roman"/>
          <w:sz w:val="24"/>
          <w:szCs w:val="24"/>
        </w:rPr>
        <w:t xml:space="preserve">: whether they recover the magnitude, moderator structure, and boundary conditions that behavioral theory implies, on stimuli whose surface form is unlikely to appear in training data. We define theoretical fidelity along four separable dimensions (direction, magnitude, condition-dependence, and contamination-robustness) and develop a pre-registered design that measures each against public human benchmarks. The design covers six phenomena chosen for their effect-size literatures, differing replicability records, and relevance to platforms; three twin architectures; four stimulus classes; and variation in model training stage and inference-time resource constraints.</w:t>
      </w:r>
    </w:p>
    <w:p>
      <w:pPr>
        <w:spacing w:line="480"/>
        <w:ind w:firstLine="720"/>
      </w:pPr>
      <w:r>
        <w:rPr>
          <w:rFonts w:ascii="Times New Roman" w:cs="Times New Roman" w:eastAsia="Times New Roman" w:hAnsi="Times New Roman"/>
          <w:sz w:val="24"/>
          <w:szCs w:val="24"/>
        </w:rPr>
        <w:t xml:space="preserve">The paper makes three contributions to IS research. First, it provides a </w:t>
      </w:r>
      <w:r>
        <w:rPr>
          <w:rFonts w:ascii="Times New Roman" w:cs="Times New Roman" w:eastAsia="Times New Roman" w:hAnsi="Times New Roman"/>
          <w:i/>
          <w:iCs/>
          <w:sz w:val="24"/>
          <w:szCs w:val="24"/>
        </w:rPr>
        <w:t xml:space="preserve">fidelity framework</w:t>
      </w:r>
      <w:r>
        <w:rPr>
          <w:rFonts w:ascii="Times New Roman" w:cs="Times New Roman" w:eastAsia="Times New Roman" w:hAnsi="Times New Roman"/>
          <w:sz w:val="24"/>
          <w:szCs w:val="24"/>
        </w:rPr>
        <w:t xml:space="preserve"> that separates the dimensions along which a twin can succeed or fail and links each to a theoretical account of why, which moves the validation of synthetic agents from ad hoc replication to cumulative theory testing. Second, it contributes a </w:t>
      </w:r>
      <w:r>
        <w:rPr>
          <w:rFonts w:ascii="Times New Roman" w:cs="Times New Roman" w:eastAsia="Times New Roman" w:hAnsi="Times New Roman"/>
          <w:i/>
          <w:iCs/>
          <w:sz w:val="24"/>
          <w:szCs w:val="24"/>
        </w:rPr>
        <w:t xml:space="preserve">contamination-controlled design</w:t>
      </w:r>
      <w:r>
        <w:rPr>
          <w:rFonts w:ascii="Times New Roman" w:cs="Times New Roman" w:eastAsia="Times New Roman" w:hAnsi="Times New Roman"/>
          <w:sz w:val="24"/>
          <w:szCs w:val="24"/>
        </w:rPr>
        <w:t xml:space="preserve">, built on structurally isomorphic and post-training-cutoff stimuli with a pre-specified contamination test, that later studies can reuse as models change. Third, it offers a </w:t>
      </w:r>
      <w:r>
        <w:rPr>
          <w:rFonts w:ascii="Times New Roman" w:cs="Times New Roman" w:eastAsia="Times New Roman" w:hAnsi="Times New Roman"/>
          <w:i/>
          <w:iCs/>
          <w:sz w:val="24"/>
          <w:szCs w:val="24"/>
        </w:rPr>
        <w:t xml:space="preserve">predictive test for platform design</w:t>
      </w:r>
      <w:r>
        <w:rPr>
          <w:rFonts w:ascii="Times New Roman" w:cs="Times New Roman" w:eastAsia="Times New Roman" w:hAnsi="Times New Roman"/>
          <w:sz w:val="24"/>
          <w:szCs w:val="24"/>
        </w:rPr>
        <w:t xml:space="preserve">: whether twin-generated effects for defaults, anchors, and decoys fall within the ranges established by field experiments and meta-analyses. Together these speak to current IS debates on the validity of synthetic data in behavioral research, the governance of AI-mediated choice architectures, and methodological standards for computational social science.</w:t>
      </w:r>
    </w:p>
    <w:p>
      <w:pPr>
        <w:spacing w:line="480"/>
        <w:ind w:firstLine="720"/>
      </w:pPr>
      <w:r>
        <w:rPr>
          <w:rFonts w:ascii="Times New Roman" w:cs="Times New Roman" w:eastAsia="Times New Roman" w:hAnsi="Times New Roman"/>
          <w:sz w:val="24"/>
          <w:szCs w:val="24"/>
        </w:rPr>
        <w:t xml:space="preserve">The remainder of the paper proceeds as follows. Section 2 reviews the theoretical background and develops the hypotheses. Section 3 describes the research design and analysis plan. Section 4 reports results. Section 5 discusses implications for IS theory, methods, and practice, and Section 6 addresses limitations before concluding.</w:t>
      </w:r>
    </w:p>
    <w:p>
      <w:pPr>
        <w:pStyle w:val="Heading1"/>
        <w:keepNext/>
        <w:spacing w:after="0" w:before="240" w:line="480"/>
      </w:pPr>
      <w:r>
        <w:rPr>
          <w:rFonts w:ascii="Times New Roman" w:cs="Times New Roman" w:eastAsia="Times New Roman" w:hAnsi="Times New Roman"/>
          <w:b/>
          <w:bCs/>
          <w:sz w:val="24"/>
          <w:szCs w:val="24"/>
        </w:rPr>
        <w:t xml:space="preserve">2. Theoretical Background and Hypothesis Development</w:t>
      </w:r>
    </w:p>
    <w:p>
      <w:pPr>
        <w:pStyle w:val="Heading2"/>
        <w:keepNext/>
        <w:spacing w:after="0" w:before="120" w:line="480"/>
      </w:pPr>
      <w:r>
        <w:rPr>
          <w:rFonts w:ascii="Times New Roman" w:cs="Times New Roman" w:eastAsia="Times New Roman" w:hAnsi="Times New Roman"/>
          <w:b/>
          <w:bCs/>
          <w:i/>
          <w:iCs/>
          <w:sz w:val="24"/>
          <w:szCs w:val="24"/>
        </w:rPr>
        <w:t xml:space="preserve">2.1 LLM Digital Twins and Homo Silicus</w:t>
      </w:r>
    </w:p>
    <w:p>
      <w:pPr>
        <w:spacing w:line="480"/>
        <w:ind w:firstLine="720"/>
      </w:pPr>
      <w:r>
        <w:rPr>
          <w:rFonts w:ascii="Times New Roman" w:cs="Times New Roman" w:eastAsia="Times New Roman" w:hAnsi="Times New Roman"/>
          <w:sz w:val="24"/>
          <w:szCs w:val="24"/>
        </w:rPr>
        <w:t xml:space="preserve">Horton et al. (2023) introduced “homo silicus,” the idea that LLMs act as implicit computational models of human behavior that can be endowed with preferences, information, and roles and then queried in experimental scenarios. Argyle et al. (2023) showed that conditioning on sociodemographic backstories yields response distributions that mirror those of human subpopulations, and Aher et al. (2023) replicated several classic studies with simulated participants. Toubia et al. (2025) released Twin-2K-500, a public dataset of more than 2,000 individuals answering over 500 questions, enabling response-based twins built from a person’s own answers. Binz et al. (2025) fine-tuned a foundation model on more than 10 million choices from 160 psychological experiments and reported improved prediction of held-out participants and generalization to novel cover stories.</w:t>
      </w:r>
    </w:p>
    <w:p>
      <w:pPr>
        <w:spacing w:line="480"/>
        <w:ind w:firstLine="720"/>
      </w:pPr>
      <w:r>
        <w:rPr>
          <w:rFonts w:ascii="Times New Roman" w:cs="Times New Roman" w:eastAsia="Times New Roman" w:hAnsi="Times New Roman"/>
          <w:sz w:val="24"/>
          <w:szCs w:val="24"/>
        </w:rPr>
        <w:t xml:space="preserve">Collectively, these studies establish that LLMs can serve as useful synthetic subjects for certain decisions. They leave open three questions that are central to IS: whether effect </w:t>
      </w:r>
      <w:r>
        <w:rPr>
          <w:rFonts w:ascii="Times New Roman" w:cs="Times New Roman" w:eastAsia="Times New Roman" w:hAnsi="Times New Roman"/>
          <w:i/>
          <w:iCs/>
          <w:sz w:val="24"/>
          <w:szCs w:val="24"/>
        </w:rPr>
        <w:t xml:space="preserve">magnitudes</w:t>
      </w:r>
      <w:r>
        <w:rPr>
          <w:rFonts w:ascii="Times New Roman" w:cs="Times New Roman" w:eastAsia="Times New Roman" w:hAnsi="Times New Roman"/>
          <w:sz w:val="24"/>
          <w:szCs w:val="24"/>
        </w:rPr>
        <w:t xml:space="preserve"> are accurate, whether theoretically predicted </w:t>
      </w:r>
      <w:r>
        <w:rPr>
          <w:rFonts w:ascii="Times New Roman" w:cs="Times New Roman" w:eastAsia="Times New Roman" w:hAnsi="Times New Roman"/>
          <w:i/>
          <w:iCs/>
          <w:sz w:val="24"/>
          <w:szCs w:val="24"/>
        </w:rPr>
        <w:t xml:space="preserve">interactions</w:t>
      </w:r>
      <w:r>
        <w:rPr>
          <w:rFonts w:ascii="Times New Roman" w:cs="Times New Roman" w:eastAsia="Times New Roman" w:hAnsi="Times New Roman"/>
          <w:sz w:val="24"/>
          <w:szCs w:val="24"/>
        </w:rPr>
        <w:t xml:space="preserve"> are recovered, and whether success survives controls for </w:t>
      </w:r>
      <w:r>
        <w:rPr>
          <w:rFonts w:ascii="Times New Roman" w:cs="Times New Roman" w:eastAsia="Times New Roman" w:hAnsi="Times New Roman"/>
          <w:i/>
          <w:iCs/>
          <w:sz w:val="24"/>
          <w:szCs w:val="24"/>
        </w:rPr>
        <w:t xml:space="preserve">contamination</w:t>
      </w:r>
      <w:r>
        <w:rPr>
          <w:rFonts w:ascii="Times New Roman" w:cs="Times New Roman" w:eastAsia="Times New Roman" w:hAnsi="Times New Roman"/>
          <w:sz w:val="24"/>
          <w:szCs w:val="24"/>
        </w:rPr>
        <w:t xml:space="preserve">. They also say little about platform-specific stimuli, which differ in surface form from laboratory materials. The closest prior work is the mega-study of Peng et al. (2026), which evaluates twins built from Twin-2K-500 across 19 pre-registered human studies. It finds that twins are hyper-rational, fail to reproduce the attraction effect on newly built stimuli, and reproduce a default effect for a classic paradigm but not for a novel one. We build on these findings in three ways. We organize them around theory-derived hypotheses for six phenomena, we estimate magnitudes and moderator recovery and not only significance, and we add a formal, human-benchmarked contamination test, multiple model families and stages, and platform items.</w:t>
      </w:r>
    </w:p>
    <w:p>
      <w:pPr>
        <w:pStyle w:val="Heading2"/>
        <w:keepNext/>
        <w:spacing w:after="0" w:before="120" w:line="480"/>
      </w:pPr>
      <w:r>
        <w:rPr>
          <w:rFonts w:ascii="Times New Roman" w:cs="Times New Roman" w:eastAsia="Times New Roman" w:hAnsi="Times New Roman"/>
          <w:b/>
          <w:bCs/>
          <w:i/>
          <w:iCs/>
          <w:sz w:val="24"/>
          <w:szCs w:val="24"/>
        </w:rPr>
        <w:t xml:space="preserve">2.2 Behavioral Economics Constructs and Their Mechanisms</w:t>
      </w:r>
    </w:p>
    <w:p>
      <w:pPr>
        <w:spacing w:line="480"/>
        <w:ind w:firstLine="720"/>
      </w:pPr>
      <w:r>
        <w:rPr>
          <w:rFonts w:ascii="Times New Roman" w:cs="Times New Roman" w:eastAsia="Times New Roman" w:hAnsi="Times New Roman"/>
          <w:sz w:val="24"/>
          <w:szCs w:val="24"/>
        </w:rPr>
        <w:t xml:space="preserve">We study six constructs chosen for three reasons: (1) each has a substantial body of effect-size evidence, including meta-analyses or large-scale replications; (2) each is directly relevant to digital platform design; and (3) they vary in replicability, which permits internal contrast. Each is associated with mechanisms that generate predictions about whether and how an LLM should recover it.</w:t>
      </w:r>
    </w:p>
    <w:p>
      <w:pPr>
        <w:spacing w:line="480"/>
        <w:ind w:firstLine="720"/>
      </w:pPr>
      <w:r>
        <w:rPr>
          <w:rFonts w:ascii="Times New Roman" w:cs="Times New Roman" w:eastAsia="Times New Roman" w:hAnsi="Times New Roman"/>
          <w:b/>
          <w:bCs/>
          <w:sz w:val="24"/>
          <w:szCs w:val="24"/>
        </w:rPr>
        <w:t xml:space="preserve">Loss framing and loss aversion.</w:t>
      </w:r>
      <w:r>
        <w:rPr>
          <w:rFonts w:ascii="Times New Roman" w:cs="Times New Roman" w:eastAsia="Times New Roman" w:hAnsi="Times New Roman"/>
          <w:sz w:val="24"/>
          <w:szCs w:val="24"/>
        </w:rPr>
        <w:t xml:space="preserve"> Prospect theory (Kahneman and Tversky 1979) holds that outcomes are evaluated relative to a reference point and that losses loom larger than equivalent gains, with a loss-aversion coefficient near 2 (Brown et al. 2024). Framing effects arise because identical outcomes are coded as gains or losses. If LLMs capture statistical regularities in language rather than reference-dependent valuation, framing effects may be attenuated or exaggerated depending on how often loss-framed language appears in training text.</w:t>
      </w:r>
    </w:p>
    <w:p>
      <w:pPr>
        <w:spacing w:line="480"/>
        <w:ind w:firstLine="720"/>
      </w:pPr>
      <w:r>
        <w:rPr>
          <w:rFonts w:ascii="Times New Roman" w:cs="Times New Roman" w:eastAsia="Times New Roman" w:hAnsi="Times New Roman"/>
          <w:b/>
          <w:bCs/>
          <w:sz w:val="24"/>
          <w:szCs w:val="24"/>
        </w:rPr>
        <w:t xml:space="preserve">Default effects.</w:t>
      </w:r>
      <w:r>
        <w:rPr>
          <w:rFonts w:ascii="Times New Roman" w:cs="Times New Roman" w:eastAsia="Times New Roman" w:hAnsi="Times New Roman"/>
          <w:sz w:val="24"/>
          <w:szCs w:val="24"/>
        </w:rPr>
        <w:t xml:space="preserve"> Pre-selected options raise uptake through status-quo bias, implied endorsement, and reduced effort (Jachimowicz et al. 2019; pooled d = 0.68). Interface design can amplify these mechanisms in digital settings (Schneider et al. 2018). Resource-rational accounts (Lieder and Griffiths 2020) predict that defaults are strongest when the cost of active choice is high relative to the expected benefit of deliberation, which yields a testable moderator.</w:t>
      </w:r>
    </w:p>
    <w:p>
      <w:pPr>
        <w:spacing w:line="480"/>
        <w:ind w:firstLine="720"/>
      </w:pPr>
      <w:r>
        <w:rPr>
          <w:rFonts w:ascii="Times New Roman" w:cs="Times New Roman" w:eastAsia="Times New Roman" w:hAnsi="Times New Roman"/>
          <w:b/>
          <w:bCs/>
          <w:sz w:val="24"/>
          <w:szCs w:val="24"/>
        </w:rPr>
        <w:t xml:space="preserve">Anchoring.</w:t>
      </w:r>
      <w:r>
        <w:rPr>
          <w:rFonts w:ascii="Times New Roman" w:cs="Times New Roman" w:eastAsia="Times New Roman" w:hAnsi="Times New Roman"/>
          <w:sz w:val="24"/>
          <w:szCs w:val="24"/>
        </w:rPr>
        <w:t xml:space="preserve"> Arbitrary numerical anchors bias later judgments through insufficient adjustment (Tversky and Kahneman 1974), and the effect has replicated robustly (Klein et al. 2014, 2018). Because autoregressive models condition every token on preceding context, numerical values presented early in a prompt may exert especially strong influence on later estimates.</w:t>
      </w:r>
    </w:p>
    <w:p>
      <w:pPr>
        <w:spacing w:line="480"/>
        <w:ind w:firstLine="720"/>
      </w:pPr>
      <w:r>
        <w:rPr>
          <w:rFonts w:ascii="Times New Roman" w:cs="Times New Roman" w:eastAsia="Times New Roman" w:hAnsi="Times New Roman"/>
          <w:b/>
          <w:bCs/>
          <w:sz w:val="24"/>
          <w:szCs w:val="24"/>
        </w:rPr>
        <w:t xml:space="preserve">Decoy (asymmetric dominance) effects.</w:t>
      </w:r>
      <w:r>
        <w:rPr>
          <w:rFonts w:ascii="Times New Roman" w:cs="Times New Roman" w:eastAsia="Times New Roman" w:hAnsi="Times New Roman"/>
          <w:sz w:val="24"/>
          <w:szCs w:val="24"/>
        </w:rPr>
        <w:t xml:space="preserve"> Adding an inferior option can raise the share of a target by changing the perceived similarity structure of the choice set (Huber et al. 1982). Recovery requires representing relational properties of the option set rather than absolute attribute values.</w:t>
      </w:r>
    </w:p>
    <w:p>
      <w:pPr>
        <w:spacing w:line="480"/>
        <w:ind w:firstLine="720"/>
      </w:pPr>
      <w:r>
        <w:rPr>
          <w:rFonts w:ascii="Times New Roman" w:cs="Times New Roman" w:eastAsia="Times New Roman" w:hAnsi="Times New Roman"/>
          <w:b/>
          <w:bCs/>
          <w:sz w:val="24"/>
          <w:szCs w:val="24"/>
        </w:rPr>
        <w:t xml:space="preserve">Choice overload.</w:t>
      </w:r>
      <w:r>
        <w:rPr>
          <w:rFonts w:ascii="Times New Roman" w:cs="Times New Roman" w:eastAsia="Times New Roman" w:hAnsi="Times New Roman"/>
          <w:sz w:val="24"/>
          <w:szCs w:val="24"/>
        </w:rPr>
        <w:t xml:space="preserve"> Large assortments can reduce choice probability or satisfaction (Iyengar and Lepper 2000), although the replication record is mixed, making this a useful contrast case. Resource-rational models predict overload when the cost of evaluating additional options exceeds the expected benefit (Lieder and Griffiths 2020).</w:t>
      </w:r>
    </w:p>
    <w:p>
      <w:pPr>
        <w:spacing w:line="480"/>
        <w:ind w:firstLine="720"/>
      </w:pPr>
      <w:r>
        <w:rPr>
          <w:rFonts w:ascii="Times New Roman" w:cs="Times New Roman" w:eastAsia="Times New Roman" w:hAnsi="Times New Roman"/>
          <w:b/>
          <w:bCs/>
          <w:sz w:val="24"/>
          <w:szCs w:val="24"/>
        </w:rPr>
        <w:t xml:space="preserve">Fairness norms (ultimatum game).</w:t>
      </w:r>
      <w:r>
        <w:rPr>
          <w:rFonts w:ascii="Times New Roman" w:cs="Times New Roman" w:eastAsia="Times New Roman" w:hAnsi="Times New Roman"/>
          <w:sz w:val="24"/>
          <w:szCs w:val="24"/>
        </w:rPr>
        <w:t xml:space="preserve"> Responders reject low but positive offers (Güth et al. 1982), a pattern central to rating systems, dynamic-pricing acceptance, and user trust. Because fairness language is abundant in training corpora, base models may recover the pattern, whereas instruction tuning may amplify or suppress it depending on alignment objectives.</w:t>
      </w:r>
    </w:p>
    <w:p>
      <w:pPr>
        <w:pStyle w:val="Heading2"/>
        <w:keepNext/>
        <w:spacing w:after="0" w:before="120" w:line="480"/>
      </w:pPr>
      <w:r>
        <w:rPr>
          <w:rFonts w:ascii="Times New Roman" w:cs="Times New Roman" w:eastAsia="Times New Roman" w:hAnsi="Times New Roman"/>
          <w:b/>
          <w:bCs/>
          <w:i/>
          <w:iCs/>
          <w:sz w:val="24"/>
          <w:szCs w:val="24"/>
        </w:rPr>
        <w:t xml:space="preserve">2.3 Why Might LLMs Exhibit Human-Like Biases?</w:t>
      </w:r>
    </w:p>
    <w:p>
      <w:pPr>
        <w:spacing w:line="480"/>
        <w:ind w:firstLine="720"/>
      </w:pPr>
      <w:r>
        <w:rPr>
          <w:rFonts w:ascii="Times New Roman" w:cs="Times New Roman" w:eastAsia="Times New Roman" w:hAnsi="Times New Roman"/>
          <w:sz w:val="24"/>
          <w:szCs w:val="24"/>
        </w:rPr>
        <w:t xml:space="preserve">Three accounts motivate our predictions. </w:t>
      </w:r>
      <w:r>
        <w:rPr>
          <w:rFonts w:ascii="Times New Roman" w:cs="Times New Roman" w:eastAsia="Times New Roman" w:hAnsi="Times New Roman"/>
          <w:i/>
          <w:iCs/>
          <w:sz w:val="24"/>
          <w:szCs w:val="24"/>
        </w:rPr>
        <w:t xml:space="preserve">Resource-rational analysis</w:t>
      </w:r>
      <w:r>
        <w:rPr>
          <w:rFonts w:ascii="Times New Roman" w:cs="Times New Roman" w:eastAsia="Times New Roman" w:hAnsi="Times New Roman"/>
          <w:sz w:val="24"/>
          <w:szCs w:val="24"/>
        </w:rPr>
        <w:t xml:space="preserve"> (Lieder and Griffiths 2020) treats biases as adaptations to limited computation. LLMs face analogous constraints in finite context, limited reasoning tokens, and sampling temperature. If behavioral biases and hallucination (Ji et al. 2023) both increase as such constraints tighten, the pattern is consistent with a shared resource-rationality principle, even if the mechanisms differ from human cognition. </w:t>
      </w:r>
      <w:r>
        <w:rPr>
          <w:rFonts w:ascii="Times New Roman" w:cs="Times New Roman" w:eastAsia="Times New Roman" w:hAnsi="Times New Roman"/>
          <w:i/>
          <w:iCs/>
          <w:sz w:val="24"/>
          <w:szCs w:val="24"/>
        </w:rPr>
        <w:t xml:space="preserve">Predictive and efficient coding</w:t>
      </w:r>
      <w:r>
        <w:rPr>
          <w:rFonts w:ascii="Times New Roman" w:cs="Times New Roman" w:eastAsia="Times New Roman" w:hAnsi="Times New Roman"/>
          <w:sz w:val="24"/>
          <w:szCs w:val="24"/>
        </w:rPr>
        <w:t xml:space="preserve"> accounts (Friston 2010, Louie et al. 2013) describe perception and valuation as minimizing prediction error under limited coding resources. Anchoring, reference dependence, and status-quo bias can be redescribed as incomplete updating of a strong prior, and LLMs are trained to minimize next-token prediction error. </w:t>
      </w:r>
      <w:r>
        <w:rPr>
          <w:rFonts w:ascii="Times New Roman" w:cs="Times New Roman" w:eastAsia="Times New Roman" w:hAnsi="Times New Roman"/>
          <w:i/>
          <w:iCs/>
          <w:sz w:val="24"/>
          <w:szCs w:val="24"/>
        </w:rPr>
        <w:t xml:space="preserve">Dual-process theory</w:t>
      </w:r>
      <w:r>
        <w:rPr>
          <w:rFonts w:ascii="Times New Roman" w:cs="Times New Roman" w:eastAsia="Times New Roman" w:hAnsi="Times New Roman"/>
          <w:sz w:val="24"/>
          <w:szCs w:val="24"/>
        </w:rPr>
        <w:t xml:space="preserve"> (Kahneman 2011) distinguishes fast heuristic from slow deliberative processing. Standard generation resembles the former and extended reasoning the latter, so varying reasoning budget offers a partial test of whether deliberation reduces bias as dual-process theory predicts for humans. Each account supports only a claim of </w:t>
      </w:r>
      <w:r>
        <w:rPr>
          <w:rFonts w:ascii="Times New Roman" w:cs="Times New Roman" w:eastAsia="Times New Roman" w:hAnsi="Times New Roman"/>
          <w:i/>
          <w:iCs/>
          <w:sz w:val="24"/>
          <w:szCs w:val="24"/>
        </w:rPr>
        <w:t xml:space="preserve">functional</w:t>
      </w:r>
      <w:r>
        <w:rPr>
          <w:rFonts w:ascii="Times New Roman" w:cs="Times New Roman" w:eastAsia="Times New Roman" w:hAnsi="Times New Roman"/>
          <w:sz w:val="24"/>
          <w:szCs w:val="24"/>
        </w:rPr>
        <w:t xml:space="preserve"> similarity. None implies that LLMs share the mechanisms of human cognition, and we treat any observed correspondence as an empirical regularity, not as evidence of mechanistic identity.</w:t>
      </w:r>
    </w:p>
    <w:p>
      <w:pPr>
        <w:pStyle w:val="Heading2"/>
        <w:keepNext/>
        <w:spacing w:after="0" w:before="120" w:line="480"/>
      </w:pPr>
      <w:r>
        <w:rPr>
          <w:rFonts w:ascii="Times New Roman" w:cs="Times New Roman" w:eastAsia="Times New Roman" w:hAnsi="Times New Roman"/>
          <w:b/>
          <w:bCs/>
          <w:i/>
          <w:iCs/>
          <w:sz w:val="24"/>
          <w:szCs w:val="24"/>
        </w:rPr>
        <w:t xml:space="preserve">2.4 Contamination as a Theoretical Problem</w:t>
      </w:r>
    </w:p>
    <w:p>
      <w:pPr>
        <w:spacing w:line="480"/>
        <w:ind w:firstLine="720"/>
      </w:pPr>
      <w:r>
        <w:rPr>
          <w:rFonts w:ascii="Times New Roman" w:cs="Times New Roman" w:eastAsia="Times New Roman" w:hAnsi="Times New Roman"/>
          <w:sz w:val="24"/>
          <w:szCs w:val="24"/>
        </w:rPr>
        <w:t xml:space="preserve">Contamination is not merely a methodological nuisance. It is a threat to any claim that a model has internalized a behavioral mechanism. Large models can reproduce verbatim training sequences, and larger models memorize more (Carlini et al. 2021, 2023). If classic materials appear in the training corpus, recovery of the original effect on those materials is consistent with both genuine generalization and memorization. Two designs separate the possibilities: structurally isomorphic stimuli that preserve the theoretical contrast while rewriting cover stories, numbers, and context, and experiments published after known training cutoffs. The inference is only valid if the attenuation expected from stimulus change alone is accounted for, a point we address in Section 3.5.</w:t>
      </w:r>
    </w:p>
    <w:p>
      <w:pPr>
        <w:pStyle w:val="Heading2"/>
        <w:keepNext/>
        <w:spacing w:after="0" w:before="120" w:line="480"/>
      </w:pPr>
      <w:r>
        <w:rPr>
          <w:rFonts w:ascii="Times New Roman" w:cs="Times New Roman" w:eastAsia="Times New Roman" w:hAnsi="Times New Roman"/>
          <w:b/>
          <w:bCs/>
          <w:i/>
          <w:iCs/>
          <w:sz w:val="24"/>
          <w:szCs w:val="24"/>
        </w:rPr>
        <w:t xml:space="preserve">2.5 Digital Choice Architecture and Platform Relevance</w:t>
      </w:r>
    </w:p>
    <w:p>
      <w:pPr>
        <w:spacing w:line="480"/>
        <w:ind w:firstLine="720"/>
      </w:pPr>
      <w:r>
        <w:rPr>
          <w:rFonts w:ascii="Times New Roman" w:cs="Times New Roman" w:eastAsia="Times New Roman" w:hAnsi="Times New Roman"/>
          <w:sz w:val="24"/>
          <w:szCs w:val="24"/>
        </w:rPr>
        <w:t xml:space="preserve">Interface designers act as choice architects (Thaler and Sunstein 2008). Schneider et al. (2018) and Weinmann et al. (2016) formalize digital nudging as the use of interface elements (defaults, ordering, framing, decoys) to guide behavior, and dark patterns represent the manipulative extreme of this practice (Mathur et al. 2019). These interventions are ubiquitous yet differ in surface features from laboratory materials. Whether twins recover the rank order and absolute magnitudes of platform effects relative to field experiments is therefore a stronger test of fidelity than classic-item recovery, and a failure would imply that twins cannot yet forecast the consequences of design choices that matter most to IS practice.</w:t>
      </w:r>
    </w:p>
    <w:p>
      <w:pPr>
        <w:pStyle w:val="Heading2"/>
        <w:keepNext/>
        <w:spacing w:after="0" w:before="120" w:line="480"/>
      </w:pPr>
      <w:r>
        <w:rPr>
          <w:rFonts w:ascii="Times New Roman" w:cs="Times New Roman" w:eastAsia="Times New Roman" w:hAnsi="Times New Roman"/>
          <w:b/>
          <w:bCs/>
          <w:i/>
          <w:iCs/>
          <w:sz w:val="24"/>
          <w:szCs w:val="24"/>
        </w:rPr>
        <w:t xml:space="preserve">2.6 Research Questions and Hypotheses</w:t>
      </w:r>
    </w:p>
    <w:p>
      <w:pPr>
        <w:spacing w:line="480"/>
        <w:ind w:firstLine="720"/>
      </w:pPr>
      <w:r>
        <w:rPr>
          <w:rFonts w:ascii="Times New Roman" w:cs="Times New Roman" w:eastAsia="Times New Roman" w:hAnsi="Times New Roman"/>
          <w:sz w:val="24"/>
          <w:szCs w:val="24"/>
        </w:rPr>
        <w:t xml:space="preserve">We pose five research questions: (RQ1) Do twins reproduce the direction and approximate magnitude of theoretically predicted effects? (RQ2) Do they reproduce predicted moderator interactions? (RQ3) Are effects attenuated on isomorphic and post-cutoff stimuli, beyond what is observed in humans? (RQ4) Do twin-generated effect sizes for platform interventions fall within field and meta-analytic ranges? (RQ5) How do bias magnitudes vary with training stage and resource constraints, and do they co-move with hallucination rates? The hypotheses below are pre-registered; operational definitions and decision rules appear in Table 1 and Section 3.5.</w:t>
      </w:r>
    </w:p>
    <w:p>
      <w:pPr>
        <w:spacing w:line="480"/>
        <w:ind w:firstLine="720"/>
      </w:pPr>
      <w:r>
        <w:rPr>
          <w:rFonts w:ascii="Times New Roman" w:cs="Times New Roman" w:eastAsia="Times New Roman" w:hAnsi="Times New Roman"/>
          <w:b/>
          <w:bCs/>
          <w:sz w:val="24"/>
          <w:szCs w:val="24"/>
        </w:rPr>
        <w:t xml:space="preserve">H1 (Direction, and magnitude that depends on familiarity).</w:t>
      </w:r>
      <w:r>
        <w:rPr>
          <w:rFonts w:ascii="Times New Roman" w:cs="Times New Roman" w:eastAsia="Times New Roman" w:hAnsi="Times New Roman"/>
          <w:sz w:val="24"/>
          <w:szCs w:val="24"/>
        </w:rPr>
        <w:t xml:space="preserve"> (a) Twins will recover the sign of classic effects in at least 80% of phenomenon–model cells. (b) Conditional on correct sign, estimated magnitudes on classic items will exceed human benchmarks. </w:t>
      </w:r>
      <w:r>
        <w:rPr>
          <w:rFonts w:ascii="Times New Roman" w:cs="Times New Roman" w:eastAsia="Times New Roman" w:hAnsi="Times New Roman"/>
          <w:i/>
          <w:iCs/>
          <w:sz w:val="24"/>
          <w:szCs w:val="24"/>
        </w:rPr>
        <w:t xml:space="preserve">Rationale:</w:t>
      </w:r>
      <w:r>
        <w:rPr>
          <w:rFonts w:ascii="Times New Roman" w:cs="Times New Roman" w:eastAsia="Times New Roman" w:hAnsi="Times New Roman"/>
          <w:sz w:val="24"/>
          <w:szCs w:val="24"/>
        </w:rPr>
        <w:t xml:space="preserve"> text-trained models absorb the canonical form of each effect, which is typically reported at its largest, and lack the noise and inattention that attenuate human responses (Section 2.2). Prior evidence warns that sign recovery is uneven: in Twin-2K-500, twins reproduced only 6 of 10 classic effects, and failed on those that require departing from normative answers, such as outcome bias, the Allais paradox, and omission bias (Toubia et al. 2025). We therefore treat 80% as a demanding benchmark and report cells separately for effects that depend on non-normative responses.</w:t>
      </w:r>
    </w:p>
    <w:p>
      <w:pPr>
        <w:spacing w:line="480"/>
        <w:ind w:firstLine="720"/>
      </w:pPr>
      <w:r>
        <w:rPr>
          <w:rFonts w:ascii="Times New Roman" w:cs="Times New Roman" w:eastAsia="Times New Roman" w:hAnsi="Times New Roman"/>
          <w:b/>
          <w:bCs/>
          <w:sz w:val="24"/>
          <w:szCs w:val="24"/>
        </w:rPr>
        <w:t xml:space="preserve">H2 (Contamination).</w:t>
      </w:r>
      <w:r>
        <w:rPr>
          <w:rFonts w:ascii="Times New Roman" w:cs="Times New Roman" w:eastAsia="Times New Roman" w:hAnsi="Times New Roman"/>
          <w:sz w:val="24"/>
          <w:szCs w:val="24"/>
        </w:rPr>
        <w:t xml:space="preserve"> Effects on isomorphic stimuli will be smaller than on classic stimuli by more than the attenuation observed in human data. </w:t>
      </w:r>
      <w:r>
        <w:rPr>
          <w:rFonts w:ascii="Times New Roman" w:cs="Times New Roman" w:eastAsia="Times New Roman" w:hAnsi="Times New Roman"/>
          <w:i/>
          <w:iCs/>
          <w:sz w:val="24"/>
          <w:szCs w:val="24"/>
        </w:rPr>
        <w:t xml:space="preserve">Rationale:</w:t>
      </w:r>
      <w:r>
        <w:rPr>
          <w:rFonts w:ascii="Times New Roman" w:cs="Times New Roman" w:eastAsia="Times New Roman" w:hAnsi="Times New Roman"/>
          <w:sz w:val="24"/>
          <w:szCs w:val="24"/>
        </w:rPr>
        <w:t xml:space="preserve"> if recovery partly reflects memorization of surface form, it should not transfer fully to rewritten stimuli (Section 2.4). Peng et al. (2026) report consistent preliminary evidence for defaults, and the public data show why classic paradigms are informative: the human organ-donation default effect is near zero in this sample (d ≈ 0.10), whereas twins show a strong effect, a pattern that memorization of the original finding would produce. We test this across all six phenomena.</w:t>
      </w:r>
    </w:p>
    <w:p>
      <w:pPr>
        <w:spacing w:line="480"/>
        <w:ind w:firstLine="720"/>
      </w:pPr>
      <w:r>
        <w:rPr>
          <w:rFonts w:ascii="Times New Roman" w:cs="Times New Roman" w:eastAsia="Times New Roman" w:hAnsi="Times New Roman"/>
          <w:b/>
          <w:bCs/>
          <w:sz w:val="24"/>
          <w:szCs w:val="24"/>
        </w:rPr>
        <w:t xml:space="preserve">H3 (Interactions).</w:t>
      </w:r>
      <w:r>
        <w:rPr>
          <w:rFonts w:ascii="Times New Roman" w:cs="Times New Roman" w:eastAsia="Times New Roman" w:hAnsi="Times New Roman"/>
          <w:sz w:val="24"/>
          <w:szCs w:val="24"/>
        </w:rPr>
        <w:t xml:space="preserve"> Recovery rates for theoretically predicted moderator interactions will be lower than for main effects. </w:t>
      </w:r>
      <w:r>
        <w:rPr>
          <w:rFonts w:ascii="Times New Roman" w:cs="Times New Roman" w:eastAsia="Times New Roman" w:hAnsi="Times New Roman"/>
          <w:i/>
          <w:iCs/>
          <w:sz w:val="24"/>
          <w:szCs w:val="24"/>
        </w:rPr>
        <w:t xml:space="preserve">Rationale:</w:t>
      </w:r>
      <w:r>
        <w:rPr>
          <w:rFonts w:ascii="Times New Roman" w:cs="Times New Roman" w:eastAsia="Times New Roman" w:hAnsi="Times New Roman"/>
          <w:sz w:val="24"/>
          <w:szCs w:val="24"/>
        </w:rPr>
        <w:t xml:space="preserve"> interactions require representing conditional structure rather than a single salient regularity, and are rarely summarized in the text from which models learn.</w:t>
      </w:r>
    </w:p>
    <w:p>
      <w:pPr>
        <w:spacing w:line="480"/>
        <w:ind w:firstLine="720"/>
      </w:pPr>
      <w:r>
        <w:rPr>
          <w:rFonts w:ascii="Times New Roman" w:cs="Times New Roman" w:eastAsia="Times New Roman" w:hAnsi="Times New Roman"/>
          <w:b/>
          <w:bCs/>
          <w:sz w:val="24"/>
          <w:szCs w:val="24"/>
        </w:rPr>
        <w:t xml:space="preserve">H4 (Individual information).</w:t>
      </w:r>
      <w:r>
        <w:rPr>
          <w:rFonts w:ascii="Times New Roman" w:cs="Times New Roman" w:eastAsia="Times New Roman" w:hAnsi="Times New Roman"/>
          <w:sz w:val="24"/>
          <w:szCs w:val="24"/>
        </w:rPr>
        <w:t xml:space="preserve"> Conditioning on an individual’s response history will improve recovery of average effects relative to demographic-persona twins but will not improve recovery of heterogeneity. </w:t>
      </w:r>
      <w:r>
        <w:rPr>
          <w:rFonts w:ascii="Times New Roman" w:cs="Times New Roman" w:eastAsia="Times New Roman" w:hAnsi="Times New Roman"/>
          <w:i/>
          <w:iCs/>
          <w:sz w:val="24"/>
          <w:szCs w:val="24"/>
        </w:rPr>
        <w:t xml:space="preserve">Rationale:</w:t>
      </w:r>
      <w:r>
        <w:rPr>
          <w:rFonts w:ascii="Times New Roman" w:cs="Times New Roman" w:eastAsia="Times New Roman" w:hAnsi="Times New Roman"/>
          <w:sz w:val="24"/>
          <w:szCs w:val="24"/>
        </w:rPr>
        <w:t xml:space="preserve"> individual histories supply population-level regularities but cannot add the idiosyncratic variance that generates treatment-effect heterogeneity.</w:t>
      </w:r>
    </w:p>
    <w:p>
      <w:pPr>
        <w:spacing w:line="480"/>
        <w:ind w:firstLine="720"/>
      </w:pPr>
      <w:r>
        <w:rPr>
          <w:rFonts w:ascii="Times New Roman" w:cs="Times New Roman" w:eastAsia="Times New Roman" w:hAnsi="Times New Roman"/>
          <w:b/>
          <w:bCs/>
          <w:sz w:val="24"/>
          <w:szCs w:val="24"/>
        </w:rPr>
        <w:t xml:space="preserve">H5 (Platform ordering).</w:t>
      </w:r>
      <w:r>
        <w:rPr>
          <w:rFonts w:ascii="Times New Roman" w:cs="Times New Roman" w:eastAsia="Times New Roman" w:hAnsi="Times New Roman"/>
          <w:sz w:val="24"/>
          <w:szCs w:val="24"/>
        </w:rPr>
        <w:t xml:space="preserve"> The rank order of platform design effects produced by twins will correlate positively with the meta-analytic rank order, but absolute twin effects will fall outside meta-analytic confidence intervals more often than the nominal rate. The direction of error is not constrained ex ante: overestimation is expected for canonical paradigms and underestimation for effects that require non-normative responses, and we report this as a pre-specified secondary analysis. </w:t>
      </w:r>
      <w:r>
        <w:rPr>
          <w:rFonts w:ascii="Times New Roman" w:cs="Times New Roman" w:eastAsia="Times New Roman" w:hAnsi="Times New Roman"/>
          <w:i/>
          <w:iCs/>
          <w:sz w:val="24"/>
          <w:szCs w:val="24"/>
        </w:rPr>
        <w:t xml:space="preserve">Rationale:</w:t>
      </w:r>
      <w:r>
        <w:rPr>
          <w:rFonts w:ascii="Times New Roman" w:cs="Times New Roman" w:eastAsia="Times New Roman" w:hAnsi="Times New Roman"/>
          <w:sz w:val="24"/>
          <w:szCs w:val="24"/>
        </w:rPr>
        <w:t xml:space="preserve"> rank order reflects the qualitative structure of theory that models have learned, whereas magnitudes depend on field conditions (attention, competing options, stakes) that text-based twins do not experience.</w:t>
      </w:r>
    </w:p>
    <w:p>
      <w:pPr>
        <w:spacing w:line="480"/>
        <w:ind w:firstLine="720"/>
      </w:pPr>
      <w:r>
        <w:rPr>
          <w:rFonts w:ascii="Times New Roman" w:cs="Times New Roman" w:eastAsia="Times New Roman" w:hAnsi="Times New Roman"/>
          <w:b/>
          <w:bCs/>
          <w:sz w:val="24"/>
          <w:szCs w:val="24"/>
        </w:rPr>
        <w:t xml:space="preserve">H6 (Training stage and resources).</w:t>
      </w:r>
      <w:r>
        <w:rPr>
          <w:rFonts w:ascii="Times New Roman" w:cs="Times New Roman" w:eastAsia="Times New Roman" w:hAnsi="Times New Roman"/>
          <w:sz w:val="24"/>
          <w:szCs w:val="24"/>
        </w:rPr>
        <w:t xml:space="preserve"> Instruction tuning and reasoning stages will reduce but not eliminate biases relative to base models. Tighter resource constraints (smaller reasoning budget, higher temperature) will increase both bias magnitudes and hallucination rates. </w:t>
      </w:r>
      <w:r>
        <w:rPr>
          <w:rFonts w:ascii="Times New Roman" w:cs="Times New Roman" w:eastAsia="Times New Roman" w:hAnsi="Times New Roman"/>
          <w:i/>
          <w:iCs/>
          <w:sz w:val="24"/>
          <w:szCs w:val="24"/>
        </w:rPr>
        <w:t xml:space="preserve">Rationale:</w:t>
      </w:r>
      <w:r>
        <w:rPr>
          <w:rFonts w:ascii="Times New Roman" w:cs="Times New Roman" w:eastAsia="Times New Roman" w:hAnsi="Times New Roman"/>
          <w:sz w:val="24"/>
          <w:szCs w:val="24"/>
        </w:rPr>
        <w:t xml:space="preserve"> Section 2.3. This is a claim of functional similarity only. Training-data inheritance will be partially separable through base-model comparisons.</w:t>
      </w:r>
    </w:p>
    <w:p>
      <w:pPr>
        <w:pStyle w:val="Heading1"/>
        <w:keepNext/>
        <w:spacing w:after="0" w:before="240" w:line="480"/>
      </w:pPr>
      <w:r>
        <w:rPr>
          <w:rFonts w:ascii="Times New Roman" w:cs="Times New Roman" w:eastAsia="Times New Roman" w:hAnsi="Times New Roman"/>
          <w:b/>
          <w:bCs/>
          <w:sz w:val="24"/>
          <w:szCs w:val="24"/>
        </w:rPr>
        <w:t xml:space="preserve">3. Research Design</w:t>
      </w:r>
    </w:p>
    <w:p>
      <w:pPr>
        <w:pStyle w:val="Heading2"/>
        <w:keepNext/>
        <w:spacing w:after="0" w:before="120" w:line="480"/>
      </w:pPr>
      <w:r>
        <w:rPr>
          <w:rFonts w:ascii="Times New Roman" w:cs="Times New Roman" w:eastAsia="Times New Roman" w:hAnsi="Times New Roman"/>
          <w:b/>
          <w:bCs/>
          <w:i/>
          <w:iCs/>
          <w:sz w:val="24"/>
          <w:szCs w:val="24"/>
        </w:rPr>
        <w:t xml:space="preserve">3.1 Twin Construction</w:t>
      </w:r>
    </w:p>
    <w:p>
      <w:pPr>
        <w:spacing w:line="480"/>
        <w:ind w:firstLine="720"/>
      </w:pPr>
      <w:r>
        <w:rPr>
          <w:rFonts w:ascii="Times New Roman" w:cs="Times New Roman" w:eastAsia="Times New Roman" w:hAnsi="Times New Roman"/>
          <w:sz w:val="24"/>
          <w:szCs w:val="24"/>
        </w:rPr>
        <w:t xml:space="preserve">We compare three twin architectures. </w:t>
      </w:r>
      <w:r>
        <w:rPr>
          <w:rFonts w:ascii="Times New Roman" w:cs="Times New Roman" w:eastAsia="Times New Roman" w:hAnsi="Times New Roman"/>
          <w:i/>
          <w:iCs/>
          <w:sz w:val="24"/>
          <w:szCs w:val="24"/>
        </w:rPr>
        <w:t xml:space="preserve">Demographic-persona twins</w:t>
      </w:r>
      <w:r>
        <w:rPr>
          <w:rFonts w:ascii="Times New Roman" w:cs="Times New Roman" w:eastAsia="Times New Roman" w:hAnsi="Times New Roman"/>
          <w:sz w:val="24"/>
          <w:szCs w:val="24"/>
        </w:rPr>
        <w:t xml:space="preserve"> receive only population-level or synthetic demographic profiles. </w:t>
      </w:r>
      <w:r>
        <w:rPr>
          <w:rFonts w:ascii="Times New Roman" w:cs="Times New Roman" w:eastAsia="Times New Roman" w:hAnsi="Times New Roman"/>
          <w:i/>
          <w:iCs/>
          <w:sz w:val="24"/>
          <w:szCs w:val="24"/>
        </w:rPr>
        <w:t xml:space="preserve">Individual-response twins</w:t>
      </w:r>
      <w:r>
        <w:rPr>
          <w:rFonts w:ascii="Times New Roman" w:cs="Times New Roman" w:eastAsia="Times New Roman" w:hAnsi="Times New Roman"/>
          <w:sz w:val="24"/>
          <w:szCs w:val="24"/>
        </w:rPr>
        <w:t xml:space="preserve"> are built in the style of Twin-2K-500 and condition on a participant’s actual answers to demographic, personality, and economic measures. </w:t>
      </w:r>
      <w:r>
        <w:rPr>
          <w:rFonts w:ascii="Times New Roman" w:cs="Times New Roman" w:eastAsia="Times New Roman" w:hAnsi="Times New Roman"/>
          <w:i/>
          <w:iCs/>
          <w:sz w:val="24"/>
          <w:szCs w:val="24"/>
        </w:rPr>
        <w:t xml:space="preserve">Theory-explicit prompts</w:t>
      </w:r>
      <w:r>
        <w:rPr>
          <w:rFonts w:ascii="Times New Roman" w:cs="Times New Roman" w:eastAsia="Times New Roman" w:hAnsi="Times New Roman"/>
          <w:sz w:val="24"/>
          <w:szCs w:val="24"/>
        </w:rPr>
        <w:t xml:space="preserve"> name the relevant behavioral principle and serve as a leakage check: if naming the theory changes results markedly, then implicit recovery was incomplete. Four to five frontier models from distinct families are queried [model identifiers, versions, and access dates to be listed in Appendix A]. Multiple stochastic draws per item characterize response distributions, and the number of draws is set by the power analysis in Section 3.5.</w:t>
      </w:r>
    </w:p>
    <w:p>
      <w:pPr>
        <w:pStyle w:val="Heading2"/>
        <w:keepNext/>
        <w:spacing w:after="0" w:before="120" w:line="480"/>
      </w:pPr>
      <w:r>
        <w:rPr>
          <w:rFonts w:ascii="Times New Roman" w:cs="Times New Roman" w:eastAsia="Times New Roman" w:hAnsi="Times New Roman"/>
          <w:b/>
          <w:bCs/>
          <w:i/>
          <w:iCs/>
          <w:sz w:val="24"/>
          <w:szCs w:val="24"/>
        </w:rPr>
        <w:t xml:space="preserve">3.2 Stimuli</w:t>
      </w:r>
    </w:p>
    <w:p>
      <w:pPr>
        <w:spacing w:line="480"/>
        <w:ind w:firstLine="720"/>
      </w:pPr>
      <w:r>
        <w:rPr>
          <w:rFonts w:ascii="Times New Roman" w:cs="Times New Roman" w:eastAsia="Times New Roman" w:hAnsi="Times New Roman"/>
          <w:sz w:val="24"/>
          <w:szCs w:val="24"/>
        </w:rPr>
        <w:t xml:space="preserve">Four stimulus classes are used. (1) </w:t>
      </w:r>
      <w:r>
        <w:rPr>
          <w:rFonts w:ascii="Times New Roman" w:cs="Times New Roman" w:eastAsia="Times New Roman" w:hAnsi="Times New Roman"/>
          <w:i/>
          <w:iCs/>
          <w:sz w:val="24"/>
          <w:szCs w:val="24"/>
        </w:rPr>
        <w:t xml:space="preserve">Classic items</w:t>
      </w:r>
      <w:r>
        <w:rPr>
          <w:rFonts w:ascii="Times New Roman" w:cs="Times New Roman" w:eastAsia="Times New Roman" w:hAnsi="Times New Roman"/>
          <w:sz w:val="24"/>
          <w:szCs w:val="24"/>
        </w:rPr>
        <w:t xml:space="preserve"> from the original literature carry the highest contamination risk. (2) </w:t>
      </w:r>
      <w:r>
        <w:rPr>
          <w:rFonts w:ascii="Times New Roman" w:cs="Times New Roman" w:eastAsia="Times New Roman" w:hAnsi="Times New Roman"/>
          <w:i/>
          <w:iCs/>
          <w:sz w:val="24"/>
          <w:szCs w:val="24"/>
        </w:rPr>
        <w:t xml:space="preserve">Structurally isomorphic items</w:t>
      </w:r>
      <w:r>
        <w:rPr>
          <w:rFonts w:ascii="Times New Roman" w:cs="Times New Roman" w:eastAsia="Times New Roman" w:hAnsi="Times New Roman"/>
          <w:sz w:val="24"/>
          <w:szCs w:val="24"/>
        </w:rPr>
        <w:t xml:space="preserve"> preserve the theoretical contrast while rewriting cover stories, numbers, and contexts under a documented rewriting protocol. (3) </w:t>
      </w:r>
      <w:r>
        <w:rPr>
          <w:rFonts w:ascii="Times New Roman" w:cs="Times New Roman" w:eastAsia="Times New Roman" w:hAnsi="Times New Roman"/>
          <w:i/>
          <w:iCs/>
          <w:sz w:val="24"/>
          <w:szCs w:val="24"/>
        </w:rPr>
        <w:t xml:space="preserve">Post-cutoff items</w:t>
      </w:r>
      <w:r>
        <w:rPr>
          <w:rFonts w:ascii="Times New Roman" w:cs="Times New Roman" w:eastAsia="Times New Roman" w:hAnsi="Times New Roman"/>
          <w:sz w:val="24"/>
          <w:szCs w:val="24"/>
        </w:rPr>
        <w:t xml:space="preserve"> are drawn from pre-registered experiments published after the training cutoffs of the evaluated models. (4) </w:t>
      </w:r>
      <w:r>
        <w:rPr>
          <w:rFonts w:ascii="Times New Roman" w:cs="Times New Roman" w:eastAsia="Times New Roman" w:hAnsi="Times New Roman"/>
          <w:i/>
          <w:iCs/>
          <w:sz w:val="24"/>
          <w:szCs w:val="24"/>
        </w:rPr>
        <w:t xml:space="preserve">Platform items</w:t>
      </w:r>
      <w:r>
        <w:rPr>
          <w:rFonts w:ascii="Times New Roman" w:cs="Times New Roman" w:eastAsia="Times New Roman" w:hAnsi="Times New Roman"/>
          <w:sz w:val="24"/>
          <w:szCs w:val="24"/>
        </w:rPr>
        <w:t xml:space="preserve"> are newly constructed to represent subscription defaults, price anchors in recommendation interfaces, decoy products, recommendation order, and dark-pattern variants. Platform items are matched to the conditions of existing meta-analyses (for example, opt-in versus opt-out and the type of default), and only items that can be mapped to a meta-analytic category are retained.</w:t>
      </w:r>
    </w:p>
    <w:p>
      <w:pPr>
        <w:pStyle w:val="Heading2"/>
        <w:keepNext/>
        <w:spacing w:after="0" w:before="120" w:line="480"/>
      </w:pPr>
      <w:r>
        <w:rPr>
          <w:rFonts w:ascii="Times New Roman" w:cs="Times New Roman" w:eastAsia="Times New Roman" w:hAnsi="Times New Roman"/>
          <w:b/>
          <w:bCs/>
          <w:i/>
          <w:iCs/>
          <w:sz w:val="24"/>
          <w:szCs w:val="24"/>
        </w:rPr>
        <w:t xml:space="preserve">3.3 Model and Resource Manipulations</w:t>
      </w:r>
    </w:p>
    <w:p>
      <w:pPr>
        <w:spacing w:line="480"/>
        <w:ind w:firstLine="720"/>
      </w:pPr>
      <w:r>
        <w:rPr>
          <w:rFonts w:ascii="Times New Roman" w:cs="Times New Roman" w:eastAsia="Times New Roman" w:hAnsi="Times New Roman"/>
          <w:sz w:val="24"/>
          <w:szCs w:val="24"/>
        </w:rPr>
        <w:t xml:space="preserve">To isolate the effect of instruction tuning, we compare publicly available base and instruction-tuned pairs from the same model family. Within models, we vary reasoning budget (where applicable), context length, and sampling temperature. In every cell we measure both bias magnitudes and hallucination rates on a fixed factual-question battery [battery and scoring protocol described in Appendix B]. Training new models from scratch is outside the scope of the design, so training-data inheritance is assessed only through comparisons among existing models.</w:t>
      </w:r>
    </w:p>
    <w:p>
      <w:pPr>
        <w:pStyle w:val="Heading2"/>
        <w:keepNext/>
        <w:spacing w:after="0" w:before="120" w:line="480"/>
      </w:pPr>
      <w:r>
        <w:rPr>
          <w:rFonts w:ascii="Times New Roman" w:cs="Times New Roman" w:eastAsia="Times New Roman" w:hAnsi="Times New Roman"/>
          <w:b/>
          <w:bCs/>
          <w:i/>
          <w:iCs/>
          <w:sz w:val="24"/>
          <w:szCs w:val="24"/>
        </w:rPr>
        <w:t xml:space="preserve">3.4 Human Benchmarks and Data Availability</w:t>
      </w:r>
    </w:p>
    <w:p>
      <w:pPr>
        <w:spacing w:line="480"/>
        <w:ind w:firstLine="720"/>
      </w:pPr>
      <w:r>
        <w:rPr>
          <w:rFonts w:ascii="Times New Roman" w:cs="Times New Roman" w:eastAsia="Times New Roman" w:hAnsi="Times New Roman"/>
          <w:sz w:val="24"/>
          <w:szCs w:val="24"/>
        </w:rPr>
        <w:t xml:space="preserve">No new human-subject data are collected. Table 2 maps each phenomenon to its public human benchmarks. Item-level benchmarks come from two public datasets: Twin-2K-500, whose 2,058 US participants completed four waves, including classic heuristics-and-biases experiments and a repeat wave that provides a human test–retest ceiling (Toubia et al. 2025), and the Twin-2K-500 mega-study, whose 19 pre-registered studies collected new human responses after the twins were built, including studies of the attraction effect, defaults, and fairness (Peng et al. 2026). The mega-study’s human data are particularly valuable for contamination because they come from stimuli, such as newly developed choice sets, that twins could not have seen during training. Replication datasets from Many Labs (Klein et al. 2014, 2018) and published meta-analyses supply additional benchmarks for classic effects, and platform items are evaluated against pooled effect sizes and confidence intervals from field experiments and meta-analyses (for example, Jachimowicz et al. 2019 for defaults). Benchmarks are matched to cells only when the paradigm can be mapped, and every source is listed with its version in Appendix C. All prompts, model outputs, and code will be deposited in a public repository.</w:t>
      </w:r>
    </w:p>
    <w:p>
      <w:pPr>
        <w:keepNext/>
        <w:spacing w:after="80" w:before="120"/>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Public human benchmarks by phenomenon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3300"/>
        <w:gridCol w:w="3250"/>
        <w:gridCol w:w="1560"/>
      </w:tblGrid>
      <w:tr>
        <w:trPr>
          <w:tblHeader/>
        </w:trPr>
        <w:tc>
          <w:tcPr>
            <w:tcW w:type="dxa" w:w="12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Effect</w:t>
            </w:r>
          </w:p>
        </w:tc>
        <w:tc>
          <w:tcPr>
            <w:tcW w:type="dxa" w:w="33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Public human benchmark (classic paradigm)</w:t>
            </w:r>
          </w:p>
        </w:tc>
        <w:tc>
          <w:tcPr>
            <w:tcW w:type="dxa" w:w="325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Public human benchmark (novel paradigm)</w:t>
            </w:r>
          </w:p>
        </w:tc>
        <w:tc>
          <w:tcPr>
            <w:tcW w:type="dxa" w:w="15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Coverage</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Loss framing</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Twin-2K-500: gain/loss framing problem (waves 2 and 4); Brown et al. (2024) meta-analysis</w:t>
            </w:r>
          </w:p>
        </w:tc>
        <w:tc>
          <w:tcPr>
            <w:tcW w:type="dxa" w:w="3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None identified</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Classic only</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Defaults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Mega-study organ donation (n = 600): donors 60.9% opt-out vs. 56.5% opt-in, difference 4.4 pp, 95% CI −3.5 to 12.3, d ≈ 0.10; Jachimowicz et al. (2019)</w:t>
            </w:r>
          </w:p>
        </w:tc>
        <w:tc>
          <w:tcPr>
            <w:tcW w:type="dxa" w:w="3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Mega-study green energy (n = 600), treated as novel by its authors: 60.7% vs. 36.0%, difference 24.7 pp, CI 16.9 to 32.4, d ≈ 0.56</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Classic and novel</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Anchoring</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Twin-2K-500: two numerical anchoring items (waves 2 and 4); Many Labs</w:t>
            </w:r>
          </w:p>
        </w:tc>
        <w:tc>
          <w:tcPr>
            <w:tcW w:type="dxa" w:w="3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None identified</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Classic only; few items</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Decoys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Not in public data (no classic decoy stimuli); Huber et al. (1982) original</w:t>
            </w:r>
          </w:p>
        </w:tc>
        <w:tc>
          <w:tcPr>
            <w:tcW w:type="dxa" w:w="3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Mega-study attraction effect, three newly built choice sets (about 165 per cell): pooled log odds ratio 0.37, CI 0.11 to 0.62, d ≈ 0.20</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Novel only</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Choice overload</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None identified; Scheibehenne et al. (2010) meta-analysis</w:t>
            </w:r>
          </w:p>
        </w:tc>
        <w:tc>
          <w:tcPr>
            <w:tcW w:type="dxa" w:w="3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None identified</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Meta-analytic only</w:t>
            </w:r>
          </w:p>
        </w:tc>
      </w:tr>
      <w:tr>
        <w:trPr>
          <w:cantSplit/>
        </w:trPr>
        <w:tc>
          <w:tcPr>
            <w:tcW w:type="dxa" w:w="1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Fairness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Twin-2K-500: ultimatum game, sender and receiver, with human retest</w:t>
            </w:r>
          </w:p>
        </w:tc>
        <w:tc>
          <w:tcPr>
            <w:tcW w:type="dxa" w:w="325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Mega-study targeting fairness (n = 357): demographic targeting rated less fair than broad advertising, 6.38 vs. 7.47 on a 9-point scale, d = −0.54</w:t>
            </w:r>
          </w:p>
        </w:tc>
        <w:tc>
          <w:tcPr>
            <w:tcW w:type="dxa" w:w="15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Classic and novel</w:t>
            </w:r>
          </w:p>
        </w:tc>
      </w:tr>
    </w:tbl>
    <w:p>
      <w:pPr>
        <w:spacing w:after="200"/>
      </w:pPr>
    </w:p>
    <w:p>
      <w:pPr>
        <w:spacing w:line="480"/>
        <w:ind w:firstLine="720"/>
      </w:pPr>
      <w:r>
        <w:rPr>
          <w:rFonts w:ascii="Times New Roman" w:cs="Times New Roman" w:eastAsia="Times New Roman" w:hAnsi="Times New Roman"/>
          <w:sz w:val="24"/>
          <w:szCs w:val="24"/>
        </w:rPr>
        <w:t xml:space="preserve">Benchmark values in Table 2 were computed by the authors from the public mega-study data with a script deposited with the paper (Appendix C), coding conditions from the displayed survey text. Coverage is uneven, as Table 2 shows. Choice overload has no item-level human benchmark in either dataset, so for that phenomenon we compare only with meta-analytic estimates (Scheibehenne et al. 2010). For loss framing and anchoring, public data contain the classic paradigms but no matched novel paradigms, so the contamination test (H2) for those phenomena relies on published tests of context variation and is reported as secondary. The contamination test is primary for defaults and fairness, where both a classic and a novel paradigm have human data. For decoys only novel stimuli have human data, so twin performance there tests fidelity on unseen stimuli but cannot be framed as a classic-versus-novel contrast.</w:t>
      </w:r>
    </w:p>
    <w:p>
      <w:pPr>
        <w:pStyle w:val="Heading2"/>
        <w:keepNext/>
        <w:spacing w:after="0" w:before="120" w:line="480"/>
      </w:pPr>
      <w:r>
        <w:rPr>
          <w:rFonts w:ascii="Times New Roman" w:cs="Times New Roman" w:eastAsia="Times New Roman" w:hAnsi="Times New Roman"/>
          <w:b/>
          <w:bCs/>
          <w:i/>
          <w:iCs/>
          <w:sz w:val="24"/>
          <w:szCs w:val="24"/>
        </w:rPr>
        <w:t xml:space="preserve">3.5 Measures, Decision Rules, and Analysis</w:t>
      </w:r>
    </w:p>
    <w:p>
      <w:pPr>
        <w:spacing w:line="480"/>
        <w:ind w:firstLine="720"/>
      </w:pPr>
      <w:r>
        <w:rPr>
          <w:rFonts w:ascii="Times New Roman" w:cs="Times New Roman" w:eastAsia="Times New Roman" w:hAnsi="Times New Roman"/>
          <w:sz w:val="24"/>
          <w:szCs w:val="24"/>
        </w:rPr>
        <w:t xml:space="preserve">All effects are expressed as standardized effect sizes (Cohen’s d, or log odds ratios for choice-share outcomes) with 95% confidence intervals. </w:t>
      </w:r>
      <w:r>
        <w:rPr>
          <w:rFonts w:ascii="Times New Roman" w:cs="Times New Roman" w:eastAsia="Times New Roman" w:hAnsi="Times New Roman"/>
          <w:b/>
          <w:bCs/>
          <w:sz w:val="24"/>
          <w:szCs w:val="24"/>
        </w:rPr>
        <w:t xml:space="preserve">Directional recovery</w:t>
      </w:r>
      <w:r>
        <w:rPr>
          <w:rFonts w:ascii="Times New Roman" w:cs="Times New Roman" w:eastAsia="Times New Roman" w:hAnsi="Times New Roman"/>
          <w:sz w:val="24"/>
          <w:szCs w:val="24"/>
        </w:rPr>
        <w:t xml:space="preserve"> is the proportion of phenomenon–model cells whose twin effect has the sign predicted by theory, reported with an exact binomial confidence interval. </w:t>
      </w:r>
      <w:r>
        <w:rPr>
          <w:rFonts w:ascii="Times New Roman" w:cs="Times New Roman" w:eastAsia="Times New Roman" w:hAnsi="Times New Roman"/>
          <w:b/>
          <w:bCs/>
          <w:sz w:val="24"/>
          <w:szCs w:val="24"/>
        </w:rPr>
        <w:t xml:space="preserve">Magnitude accuracy</w:t>
      </w:r>
      <w:r>
        <w:rPr>
          <w:rFonts w:ascii="Times New Roman" w:cs="Times New Roman" w:eastAsia="Times New Roman" w:hAnsi="Times New Roman"/>
          <w:sz w:val="24"/>
          <w:szCs w:val="24"/>
        </w:rPr>
        <w:t xml:space="preserve"> is the difference between twin and human effect sizes, with a bootstrap interval clustered by item, and the ratio is reported only when the human effect’s confidence interval excludes zero. This matters in practice: the human organ-donation default effect in the public data is close to zero (d ≈ 0.10, CI including 0), so a ratio would be unstable. </w:t>
      </w:r>
      <w:r>
        <w:rPr>
          <w:rFonts w:ascii="Times New Roman" w:cs="Times New Roman" w:eastAsia="Times New Roman" w:hAnsi="Times New Roman"/>
          <w:b/>
          <w:bCs/>
          <w:sz w:val="24"/>
          <w:szCs w:val="24"/>
        </w:rPr>
        <w:t xml:space="preserve">Interaction recovery</w:t>
      </w:r>
      <w:r>
        <w:rPr>
          <w:rFonts w:ascii="Times New Roman" w:cs="Times New Roman" w:eastAsia="Times New Roman" w:hAnsi="Times New Roman"/>
          <w:sz w:val="24"/>
          <w:szCs w:val="24"/>
        </w:rPr>
        <w:t xml:space="preserve"> is the share of theory-predicted moderator contrasts reproduced in sign and significance. </w:t>
      </w:r>
      <w:r>
        <w:rPr>
          <w:rFonts w:ascii="Times New Roman" w:cs="Times New Roman" w:eastAsia="Times New Roman" w:hAnsi="Times New Roman"/>
          <w:b/>
          <w:bCs/>
          <w:sz w:val="24"/>
          <w:szCs w:val="24"/>
        </w:rPr>
        <w:t xml:space="preserve">Heterogeneity recovery</w:t>
      </w:r>
      <w:r>
        <w:rPr>
          <w:rFonts w:ascii="Times New Roman" w:cs="Times New Roman" w:eastAsia="Times New Roman" w:hAnsi="Times New Roman"/>
          <w:sz w:val="24"/>
          <w:szCs w:val="24"/>
        </w:rPr>
        <w:t xml:space="preserve"> compares the variance and distributional distance (Wasserstein) of twin and human responses and, where individual data exist, individual-level correlations. The </w:t>
      </w:r>
      <w:r>
        <w:rPr>
          <w:rFonts w:ascii="Times New Roman" w:cs="Times New Roman" w:eastAsia="Times New Roman" w:hAnsi="Times New Roman"/>
          <w:b/>
          <w:bCs/>
          <w:sz w:val="24"/>
          <w:szCs w:val="24"/>
        </w:rPr>
        <w:t xml:space="preserve">contamination test</w:t>
      </w:r>
      <w:r>
        <w:rPr>
          <w:rFonts w:ascii="Times New Roman" w:cs="Times New Roman" w:eastAsia="Times New Roman" w:hAnsi="Times New Roman"/>
          <w:sz w:val="24"/>
          <w:szCs w:val="24"/>
        </w:rPr>
        <w:t xml:space="preserve"> is the difference-in-differences Δ = (d_twin,iso − d_twin,classic) − (d_human,iso − d_human,classic), where the human term is estimated from published tests of cover-story and context variation in the benchmark literature. A ratio of effects (novel/classic) is reported as a secondary descriptive index, because it is unstable when the classic effect is small. A negative Δ with a confidence interval excluding zero supports H2.</w:t>
      </w:r>
    </w:p>
    <w:p>
      <w:pPr>
        <w:spacing w:line="480"/>
        <w:ind w:firstLine="720"/>
      </w:pPr>
      <w:r>
        <w:rPr>
          <w:rFonts w:ascii="Times New Roman" w:cs="Times New Roman" w:eastAsia="Times New Roman" w:hAnsi="Times New Roman"/>
          <w:sz w:val="24"/>
          <w:szCs w:val="24"/>
        </w:rPr>
        <w:t xml:space="preserve">Table 1 gives the operational decision rule for each hypothesis. Thresholds are fixed before any model output is inspected. Because the design involves many phenomenon–model–stimulus cells, we control the false discovery rate within each hypothesis family using the Benjamini–Hochberg procedure (Benjamini and Hochberg 1995) and report all cells irrespective of significance. Replicability differs across the six phenomena, so benchmark uncertainty is propagated into every comparison, and results are also reported separately for phenomena with strong and weak replication records. The pre-registration will be time-stamped before data generation (Nosek et al. 2018), and deviations will be documented.</w:t>
      </w:r>
    </w:p>
    <w:p>
      <w:pPr>
        <w:keepNext/>
        <w:spacing w:after="80" w:before="120"/>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Hypotheses, tests, and pre-registered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100"/>
        <w:gridCol w:w="2060"/>
      </w:tblGrid>
      <w:tr>
        <w:trPr>
          <w:tblHeader/>
        </w:trPr>
        <w:tc>
          <w:tcPr>
            <w:tcW w:type="dxa" w:w="7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Hyp.</w:t>
            </w:r>
          </w:p>
        </w:tc>
        <w:tc>
          <w:tcPr>
            <w:tcW w:type="dxa" w:w="35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Primary test</w:t>
            </w:r>
          </w:p>
        </w:tc>
        <w:tc>
          <w:tcPr>
            <w:tcW w:type="dxa" w:w="310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Pre-registered decision rule</w:t>
            </w:r>
          </w:p>
        </w:tc>
        <w:tc>
          <w:tcPr>
            <w:tcW w:type="dxa" w:w="2060"/>
            <w:tcBorders>
              <w:top w:val="single" w:color="000000" w:sz="4"/>
              <w:left w:val="single" w:color="000000" w:sz="4"/>
              <w:bottom w:val="single" w:color="000000" w:sz="4"/>
              <w:right w:val="single" w:color="000000" w:sz="4"/>
            </w:tcBorders>
            <w:shd w:fill="E7E7E7"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Supports H if</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H1</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Sign concordance; twin − human effect-size difference among sign-correct cells, classic items</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 Concordance ≥ 0.80 with exact 95% CI lower bound above 0.50; (b) twin − human difference &gt; 0</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 and (b) hold; difference CI excludes 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H2</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Difference-in-differences Δ (Section 3.5), classic vs. isomorphic and post-cutoff items</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One-sided test of Δ &lt; 0, FDR-controlled across phenomena</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Δ &lt; 0 with CI excluding 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H3</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Recovery rate of predicted interactions vs. main effects</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Paired difference in recovery rates, bootstrap CI</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Interaction rate lower; CI excludes 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H4</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Average-effect error and heterogeneity recovery, individual vs. persona twins</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absolute error of effect size; variance ratio and Wasserstein distance</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Lower error for individual twins; no gain in heterogeneity</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H5</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Spearman rank correlation with meta-analytic effects; coverage of meta-analytic CIs</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ρ &gt; 0 with CI excluding 0; share of twin effects within CI</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Positive ρ and coverage below nominal</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H6</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Bias magnitude by training stage and resource setting; correlation with hallucination rate</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Mixed-effects model with model-family random intercepts</w:t>
            </w:r>
          </w:p>
        </w:tc>
        <w:tc>
          <w:tcPr>
            <w:tcW w:type="dxa" w:w="206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Ordered stage effects; constraint effects on bias and hallucination in the same direction</w:t>
            </w:r>
          </w:p>
        </w:tc>
      </w:tr>
    </w:tbl>
    <w:p>
      <w:pPr>
        <w:spacing w:after="200"/>
      </w:pPr>
    </w:p>
    <w:p>
      <w:pPr>
        <w:pStyle w:val="Heading1"/>
        <w:keepNext/>
        <w:spacing w:after="0" w:before="240" w:line="480"/>
      </w:pPr>
      <w:r>
        <w:rPr>
          <w:rFonts w:ascii="Times New Roman" w:cs="Times New Roman" w:eastAsia="Times New Roman" w:hAnsi="Times New Roman"/>
          <w:b/>
          <w:bCs/>
          <w:sz w:val="24"/>
          <w:szCs w:val="24"/>
        </w:rPr>
        <w:t xml:space="preserve">4. Results</w:t>
      </w:r>
    </w:p>
    <w:p>
      <w:pPr>
        <w:spacing w:line="480"/>
        <w:ind w:firstLine="720"/>
      </w:pPr>
      <w:r>
        <w:rPr>
          <w:rFonts w:ascii="Times New Roman" w:cs="Times New Roman" w:eastAsia="Times New Roman" w:hAnsi="Times New Roman"/>
          <w:sz w:val="24"/>
          <w:szCs w:val="24"/>
        </w:rPr>
        <w:t xml:space="preserve">[This section is to be completed after data generation. It should follow the order of Table 1: (i) directional and magnitude recovery by phenomenon, model, and twin architecture (Figure 1, forest plot of twin-to-human effect-size ratios); (ii) interaction and heterogeneity recovery; (iii) the contamination test by phenomenon and stimulus class; (iv) platform-item comparison with meta-analytic intervals and rank-order correlation; (v) training-stage and resource-constraint effects and their covariation with hallucination rates. Each hypothesis should be reported as supported, partially supported, or not supported according to the pre-registered rule, and unsupported hypotheses should be reported with equal prominence. Robustness checks should include alternative prompt templates, alternative effect-size metrics, and exclusion of the most likely contaminated items.]</w:t>
      </w:r>
    </w:p>
    <w:p>
      <w:pPr>
        <w:pStyle w:val="Heading1"/>
        <w:keepNext/>
        <w:spacing w:after="0" w:before="240" w:line="480"/>
      </w:pPr>
      <w:r>
        <w:rPr>
          <w:rFonts w:ascii="Times New Roman" w:cs="Times New Roman" w:eastAsia="Times New Roman" w:hAnsi="Times New Roman"/>
          <w:b/>
          <w:bCs/>
          <w:sz w:val="24"/>
          <w:szCs w:val="24"/>
        </w:rPr>
        <w:t xml:space="preserve">5. Discussion</w:t>
      </w:r>
    </w:p>
    <w:p>
      <w:pPr>
        <w:pStyle w:val="Heading2"/>
        <w:keepNext/>
        <w:spacing w:after="0" w:before="120" w:line="480"/>
      </w:pPr>
      <w:r>
        <w:rPr>
          <w:rFonts w:ascii="Times New Roman" w:cs="Times New Roman" w:eastAsia="Times New Roman" w:hAnsi="Times New Roman"/>
          <w:b/>
          <w:bCs/>
          <w:i/>
          <w:iCs/>
          <w:sz w:val="24"/>
          <w:szCs w:val="24"/>
        </w:rPr>
        <w:t xml:space="preserve">5.1 Implications for IS Theory and Methodology</w:t>
      </w:r>
    </w:p>
    <w:p>
      <w:pPr>
        <w:spacing w:line="480"/>
        <w:ind w:firstLine="720"/>
      </w:pPr>
      <w:r>
        <w:rPr>
          <w:rFonts w:ascii="Times New Roman" w:cs="Times New Roman" w:eastAsia="Times New Roman" w:hAnsi="Times New Roman"/>
          <w:sz w:val="24"/>
          <w:szCs w:val="24"/>
        </w:rPr>
        <w:t xml:space="preserve">[To be completed with results. The discussion should address (a) which fidelity dimensions held and which failed, and which of the accounts in Section 2.3 the pattern of failures favors; (b) what the contamination test implies for how much of published twin validation reflects generalization; and (c) a decision framework stating, for each class of use (exploratory design screening, effect-size forecasting, moderator testing, heterogeneity estimation), whether twins are adequate and what validation a study should report before relying on them. This is the paper’s main contribution to the methodology of behavioral IS research and should be stated in terms of conditions, not a general verdict.]</w:t>
      </w:r>
    </w:p>
    <w:p>
      <w:pPr>
        <w:pStyle w:val="Heading2"/>
        <w:keepNext/>
        <w:spacing w:after="0" w:before="120" w:line="480"/>
      </w:pPr>
      <w:r>
        <w:rPr>
          <w:rFonts w:ascii="Times New Roman" w:cs="Times New Roman" w:eastAsia="Times New Roman" w:hAnsi="Times New Roman"/>
          <w:b/>
          <w:bCs/>
          <w:i/>
          <w:iCs/>
          <w:sz w:val="24"/>
          <w:szCs w:val="24"/>
        </w:rPr>
        <w:t xml:space="preserve">5.2 Implications for Practice and Platform Governance</w:t>
      </w:r>
    </w:p>
    <w:p>
      <w:pPr>
        <w:spacing w:line="480"/>
        <w:ind w:firstLine="720"/>
      </w:pPr>
      <w:r>
        <w:rPr>
          <w:rFonts w:ascii="Times New Roman" w:cs="Times New Roman" w:eastAsia="Times New Roman" w:hAnsi="Times New Roman"/>
          <w:sz w:val="24"/>
          <w:szCs w:val="24"/>
        </w:rPr>
        <w:t xml:space="preserve">[To be completed with results. If twins overestimate magnitudes, as H1 and H5 predict, then using them to size expected lift from a default or decoy would systematically overstate the benefit and could understate the consumer-protection concerns attached to dark patterns. The discussion should state how practitioners and regulators can use twins as screening tools while keeping field experiments for magnitude estimation, and should note that the same capability that makes twins useful for design also makes them useful for optimizing manipulative interfaces at scale.]</w:t>
      </w:r>
    </w:p>
    <w:p>
      <w:pPr>
        <w:pStyle w:val="Heading1"/>
        <w:keepNext/>
        <w:spacing w:after="0" w:before="240" w:line="480"/>
      </w:pPr>
      <w:r>
        <w:rPr>
          <w:rFonts w:ascii="Times New Roman" w:cs="Times New Roman" w:eastAsia="Times New Roman" w:hAnsi="Times New Roman"/>
          <w:b/>
          <w:bCs/>
          <w:sz w:val="24"/>
          <w:szCs w:val="24"/>
        </w:rPr>
        <w:t xml:space="preserve">6. Limitations and Conclusion</w:t>
      </w:r>
    </w:p>
    <w:p>
      <w:pPr>
        <w:spacing w:line="480"/>
        <w:ind w:firstLine="720"/>
      </w:pPr>
      <w:r>
        <w:rPr>
          <w:rFonts w:ascii="Times New Roman" w:cs="Times New Roman" w:eastAsia="Times New Roman" w:hAnsi="Times New Roman"/>
          <w:sz w:val="24"/>
          <w:szCs w:val="24"/>
        </w:rPr>
        <w:t xml:space="preserve">Several limitations bound the inferences. First, the platform items are matched to meta-analytic categories but not to the specific populations, stakes, and attention conditions of real platforms, so tests against meta-analytic intervals assess the plausibility of effect sizes, not their predictive accuracy for a given site. Second, public human data for novel paradigms exist only for some phenomena (Table 2). For loss framing and anchoring the contamination test rests on the assumption that human attenuation under cover-story change is captured by the published context-variation literature, and for choice overload no item-level human benchmark exists. We report these results as secondary. In addition, both item-level datasets draw on US online panels, so conclusions about fidelity are conditional on that population. Third, contamination control is necessarily incomplete, since training corpora are undisclosed and isomorphic items may still resemble training text. Fourth, models change rapidly, so results describe specific model versions, and we provide the design and code precisely so that tests can be repeated. Fifth, the human literature itself has known replicability problems, which we address through benchmark uncertainty and the strong/weak replication split. Finally, evidence of functional similarity between LLMs and human cognition does not establish common mechanisms.</w:t>
      </w:r>
    </w:p>
    <w:p>
      <w:pPr>
        <w:spacing w:line="480"/>
        <w:ind w:firstLine="720"/>
      </w:pPr>
      <w:r>
        <w:rPr>
          <w:rFonts w:ascii="Times New Roman" w:cs="Times New Roman" w:eastAsia="Times New Roman" w:hAnsi="Times New Roman"/>
          <w:sz w:val="24"/>
          <w:szCs w:val="24"/>
        </w:rPr>
        <w:t xml:space="preserve">LLM-based digital twins hold substantial promise for IS research and platform design, but their theoretical fidelity is an open empirical question. This paper moves beyond qualitative recovery of classic effects to a systematic, pre-registered evaluation of magnitude accuracy, condition-dependence, contamination, and platform relevance against public human benchmarks. Its aim is to establish clearer standards for when synthetic agents can legitimately substitute for, or merely complement, human participants in information systems research.</w:t>
      </w:r>
    </w:p>
    <w:p>
      <w:r>
        <w:br w:type="page"/>
      </w:r>
    </w:p>
    <w:p>
      <w:pPr>
        <w:spacing w:after="12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Aher GV, Arriaga RI, Kalai AT (2023) Using large language models to simulate multiple humans and replicate human subject studies. Proc. 40th Internat. Conf. Machine Learn. (PMLR), 337–371.</w:t>
      </w:r>
    </w:p>
    <w:p>
      <w:pPr>
        <w:spacing w:line="480"/>
        <w:ind w:left="720" w:hanging="720"/>
      </w:pPr>
      <w:r>
        <w:rPr>
          <w:rFonts w:ascii="Times New Roman" w:cs="Times New Roman" w:eastAsia="Times New Roman" w:hAnsi="Times New Roman"/>
          <w:sz w:val="24"/>
          <w:szCs w:val="24"/>
        </w:rPr>
        <w:t xml:space="preserve">Argyle LP, Busby EC, Fulda N, Gubler JR, Rytting C, Wingate D (2023) Out of one, many: Using language models to simulate human samples. Political Analysis 31(3):337–351.</w:t>
      </w:r>
    </w:p>
    <w:p>
      <w:pPr>
        <w:spacing w:line="480"/>
        <w:ind w:left="720" w:hanging="720"/>
      </w:pPr>
      <w:r>
        <w:rPr>
          <w:rFonts w:ascii="Times New Roman" w:cs="Times New Roman" w:eastAsia="Times New Roman" w:hAnsi="Times New Roman"/>
          <w:sz w:val="24"/>
          <w:szCs w:val="24"/>
        </w:rPr>
        <w:t xml:space="preserve">Benjamini Y, Hochberg Y (1995) Controlling the false discovery rate: A practical and powerful approach to multiple testing. J. Royal Statist. Soc. Ser. B 57(1):289–300.</w:t>
      </w:r>
    </w:p>
    <w:p>
      <w:pPr>
        <w:spacing w:line="480"/>
        <w:ind w:left="720" w:hanging="720"/>
      </w:pPr>
      <w:r>
        <w:rPr>
          <w:rFonts w:ascii="Times New Roman" w:cs="Times New Roman" w:eastAsia="Times New Roman" w:hAnsi="Times New Roman"/>
          <w:sz w:val="24"/>
          <w:szCs w:val="24"/>
        </w:rPr>
        <w:t xml:space="preserve">Binz M, Akata E, Bethge M, et al. (2025) A foundation model to predict and capture human cognition. Nature 644:1002–1009.</w:t>
      </w:r>
    </w:p>
    <w:p>
      <w:pPr>
        <w:spacing w:line="480"/>
        <w:ind w:left="720" w:hanging="720"/>
      </w:pPr>
      <w:r>
        <w:rPr>
          <w:rFonts w:ascii="Times New Roman" w:cs="Times New Roman" w:eastAsia="Times New Roman" w:hAnsi="Times New Roman"/>
          <w:sz w:val="24"/>
          <w:szCs w:val="24"/>
        </w:rPr>
        <w:t xml:space="preserve">Brown AL, Imai T, Vieider FM, Camerer CF (2024) Meta-analysis of empirical estimates of loss aversion. J. Econom. Literature 62(2):485–516.</w:t>
      </w:r>
    </w:p>
    <w:p>
      <w:pPr>
        <w:spacing w:line="480"/>
        <w:ind w:left="720" w:hanging="720"/>
      </w:pPr>
      <w:r>
        <w:rPr>
          <w:rFonts w:ascii="Times New Roman" w:cs="Times New Roman" w:eastAsia="Times New Roman" w:hAnsi="Times New Roman"/>
          <w:sz w:val="24"/>
          <w:szCs w:val="24"/>
        </w:rPr>
        <w:t xml:space="preserve">Carlini N, Tramèr F, Wallace E, et al. (2021) Extracting training data from large language models. 30th USENIX Security Sympos. (USENIX Association, Berkeley, CA), 2633–2650.</w:t>
      </w:r>
    </w:p>
    <w:p>
      <w:pPr>
        <w:spacing w:line="480"/>
        <w:ind w:left="720" w:hanging="720"/>
      </w:pPr>
      <w:r>
        <w:rPr>
          <w:rFonts w:ascii="Times New Roman" w:cs="Times New Roman" w:eastAsia="Times New Roman" w:hAnsi="Times New Roman"/>
          <w:sz w:val="24"/>
          <w:szCs w:val="24"/>
        </w:rPr>
        <w:t xml:space="preserve">Carlini N, Ippolito D, Jagielski M, et al. (2023) Quantifying memorization across neural language models. Internat. Conf. Learn. Representations.</w:t>
      </w:r>
    </w:p>
    <w:p>
      <w:pPr>
        <w:spacing w:line="480"/>
        <w:ind w:left="720" w:hanging="720"/>
      </w:pPr>
      <w:r>
        <w:rPr>
          <w:rFonts w:ascii="Times New Roman" w:cs="Times New Roman" w:eastAsia="Times New Roman" w:hAnsi="Times New Roman"/>
          <w:sz w:val="24"/>
          <w:szCs w:val="24"/>
        </w:rPr>
        <w:t xml:space="preserve">Friston K (2010) The free-energy principle: A unified brain theory? Nature Rev. Neuroscience 11(2):127–138.</w:t>
      </w:r>
    </w:p>
    <w:p>
      <w:pPr>
        <w:spacing w:line="480"/>
        <w:ind w:left="720" w:hanging="720"/>
      </w:pPr>
      <w:r>
        <w:rPr>
          <w:rFonts w:ascii="Times New Roman" w:cs="Times New Roman" w:eastAsia="Times New Roman" w:hAnsi="Times New Roman"/>
          <w:sz w:val="24"/>
          <w:szCs w:val="24"/>
        </w:rPr>
        <w:t xml:space="preserve">Güth W, Schmittberger R, Schwarze B (1982) An experimental analysis of ultimatum bargaining. J. Econom. Behav. Organ. 3(4):367–388.</w:t>
      </w:r>
    </w:p>
    <w:p>
      <w:pPr>
        <w:spacing w:line="480"/>
        <w:ind w:left="720" w:hanging="720"/>
      </w:pPr>
      <w:r>
        <w:rPr>
          <w:rFonts w:ascii="Times New Roman" w:cs="Times New Roman" w:eastAsia="Times New Roman" w:hAnsi="Times New Roman"/>
          <w:sz w:val="24"/>
          <w:szCs w:val="24"/>
        </w:rPr>
        <w:t xml:space="preserve">Horton JJ, Filippas A, Manning BS (2023) Large language models as simulated economic agents: What can we learn from homo silicus? NBER Working Paper 31122, National Bureau of Economic Research, Cambridge, MA.</w:t>
      </w:r>
    </w:p>
    <w:p>
      <w:pPr>
        <w:spacing w:line="480"/>
        <w:ind w:left="720" w:hanging="720"/>
      </w:pPr>
      <w:r>
        <w:rPr>
          <w:rFonts w:ascii="Times New Roman" w:cs="Times New Roman" w:eastAsia="Times New Roman" w:hAnsi="Times New Roman"/>
          <w:sz w:val="24"/>
          <w:szCs w:val="24"/>
        </w:rPr>
        <w:t xml:space="preserve">Huber J, Payne JW, Puto C (1982) Adding asymmetrically dominated alternatives: Violations of regularity and the similarity hypothesis. J. Consumer Res. 9(1):90–98.</w:t>
      </w:r>
    </w:p>
    <w:p>
      <w:pPr>
        <w:spacing w:line="480"/>
        <w:ind w:left="720" w:hanging="720"/>
      </w:pPr>
      <w:r>
        <w:rPr>
          <w:rFonts w:ascii="Times New Roman" w:cs="Times New Roman" w:eastAsia="Times New Roman" w:hAnsi="Times New Roman"/>
          <w:sz w:val="24"/>
          <w:szCs w:val="24"/>
        </w:rPr>
        <w:t xml:space="preserve">Iyengar SS, Lepper MR (2000) When choice is demotivating: Can one desire too much of a good thing? J. Personality Soc. Psych. 79(6):995–1006.</w:t>
      </w:r>
    </w:p>
    <w:p>
      <w:pPr>
        <w:spacing w:line="480"/>
        <w:ind w:left="720" w:hanging="720"/>
      </w:pPr>
      <w:r>
        <w:rPr>
          <w:rFonts w:ascii="Times New Roman" w:cs="Times New Roman" w:eastAsia="Times New Roman" w:hAnsi="Times New Roman"/>
          <w:sz w:val="24"/>
          <w:szCs w:val="24"/>
        </w:rPr>
        <w:t xml:space="preserve">Jachimowicz JM, Duncan S, Weber EU, Johnson EJ (2019) When and why defaults influence decisions: A meta-analysis of default effects. Behavioural Public Policy 3(2):159–186.</w:t>
      </w:r>
    </w:p>
    <w:p>
      <w:pPr>
        <w:spacing w:line="480"/>
        <w:ind w:left="720" w:hanging="720"/>
      </w:pPr>
      <w:r>
        <w:rPr>
          <w:rFonts w:ascii="Times New Roman" w:cs="Times New Roman" w:eastAsia="Times New Roman" w:hAnsi="Times New Roman"/>
          <w:sz w:val="24"/>
          <w:szCs w:val="24"/>
        </w:rPr>
        <w:t xml:space="preserve">Ji Z, Lee N, Frieske R, et al. (2023) Survey of hallucination in natural language generation. ACM Comput. Surveys 55(12):1–38.</w:t>
      </w:r>
    </w:p>
    <w:p>
      <w:pPr>
        <w:spacing w:line="480"/>
        <w:ind w:left="720" w:hanging="720"/>
      </w:pPr>
      <w:r>
        <w:rPr>
          <w:rFonts w:ascii="Times New Roman" w:cs="Times New Roman" w:eastAsia="Times New Roman" w:hAnsi="Times New Roman"/>
          <w:sz w:val="24"/>
          <w:szCs w:val="24"/>
        </w:rPr>
        <w:t xml:space="preserve">Kahneman D (2011) Thinking, Fast and Slow (Farrar, Straus and Giroux, New York).</w:t>
      </w:r>
    </w:p>
    <w:p>
      <w:pPr>
        <w:spacing w:line="480"/>
        <w:ind w:left="720" w:hanging="720"/>
      </w:pPr>
      <w:r>
        <w:rPr>
          <w:rFonts w:ascii="Times New Roman" w:cs="Times New Roman" w:eastAsia="Times New Roman" w:hAnsi="Times New Roman"/>
          <w:sz w:val="24"/>
          <w:szCs w:val="24"/>
        </w:rPr>
        <w:t xml:space="preserve">Kahneman D, Tversky A (1979) Prospect theory: An analysis of decision under risk. Econometrica 47(2):263–291.</w:t>
      </w:r>
    </w:p>
    <w:p>
      <w:pPr>
        <w:spacing w:line="480"/>
        <w:ind w:left="720" w:hanging="720"/>
      </w:pPr>
      <w:r>
        <w:rPr>
          <w:rFonts w:ascii="Times New Roman" w:cs="Times New Roman" w:eastAsia="Times New Roman" w:hAnsi="Times New Roman"/>
          <w:sz w:val="24"/>
          <w:szCs w:val="24"/>
        </w:rPr>
        <w:t xml:space="preserve">Klein RA, Ratliff KA, Vianello M, et al. (2014) Investigating variation in replicability: A “many labs” replication project. Soc. Psych. 45(3):142–152.</w:t>
      </w:r>
    </w:p>
    <w:p>
      <w:pPr>
        <w:spacing w:line="480"/>
        <w:ind w:left="720" w:hanging="720"/>
      </w:pPr>
      <w:r>
        <w:rPr>
          <w:rFonts w:ascii="Times New Roman" w:cs="Times New Roman" w:eastAsia="Times New Roman" w:hAnsi="Times New Roman"/>
          <w:sz w:val="24"/>
          <w:szCs w:val="24"/>
        </w:rPr>
        <w:t xml:space="preserve">Klein RA, Vianello M, Hasselman F, et al. (2018) Many Labs 2: Investigating variation in replicability across samples and settings. Adv. Methods Practices Psych. Sci. 1(4):443–490.</w:t>
      </w:r>
    </w:p>
    <w:p>
      <w:pPr>
        <w:spacing w:line="480"/>
        <w:ind w:left="720" w:hanging="720"/>
      </w:pPr>
      <w:r>
        <w:rPr>
          <w:rFonts w:ascii="Times New Roman" w:cs="Times New Roman" w:eastAsia="Times New Roman" w:hAnsi="Times New Roman"/>
          <w:sz w:val="24"/>
          <w:szCs w:val="24"/>
        </w:rPr>
        <w:t xml:space="preserve">Lieder F, Griffiths TL (2020) Resource-rational analysis: Understanding human cognition as the optimal use of limited computational resources. Behav. Brain Sci. 43:e1.</w:t>
      </w:r>
    </w:p>
    <w:p>
      <w:pPr>
        <w:spacing w:line="480"/>
        <w:ind w:left="720" w:hanging="720"/>
      </w:pPr>
      <w:r>
        <w:rPr>
          <w:rFonts w:ascii="Times New Roman" w:cs="Times New Roman" w:eastAsia="Times New Roman" w:hAnsi="Times New Roman"/>
          <w:sz w:val="24"/>
          <w:szCs w:val="24"/>
        </w:rPr>
        <w:t xml:space="preserve">Louie K, Khaw MW, Glimcher PW (2013) Normalization is a general neural mechanism for context-dependent decision making. Proc. Natl. Acad. Sci. USA 110(15):6139–6144.</w:t>
      </w:r>
    </w:p>
    <w:p>
      <w:pPr>
        <w:spacing w:line="480"/>
        <w:ind w:left="720" w:hanging="720"/>
      </w:pPr>
      <w:r>
        <w:rPr>
          <w:rFonts w:ascii="Times New Roman" w:cs="Times New Roman" w:eastAsia="Times New Roman" w:hAnsi="Times New Roman"/>
          <w:sz w:val="24"/>
          <w:szCs w:val="24"/>
        </w:rPr>
        <w:t xml:space="preserve">Mathur A, Acar G, Friedman MJ, et al. (2019) Dark patterns at scale: Findings from a crawl of 11K shopping websites. Proc. ACM Human-Computer Interaction 3(CSCW):81.</w:t>
      </w:r>
    </w:p>
    <w:p>
      <w:pPr>
        <w:spacing w:line="480"/>
        <w:ind w:left="720" w:hanging="720"/>
      </w:pPr>
      <w:r>
        <w:rPr>
          <w:rFonts w:ascii="Times New Roman" w:cs="Times New Roman" w:eastAsia="Times New Roman" w:hAnsi="Times New Roman"/>
          <w:sz w:val="24"/>
          <w:szCs w:val="24"/>
        </w:rPr>
        <w:t xml:space="preserve">Nosek BA, Ebersole CR, DeHaven AC, Mellor DT (2018) The preregistration revolution. Proc. Natl. Acad. Sci. USA 115(11):2600–2605.</w:t>
      </w:r>
    </w:p>
    <w:p>
      <w:pPr>
        <w:spacing w:line="480"/>
        <w:ind w:left="720" w:hanging="720"/>
      </w:pPr>
      <w:r>
        <w:rPr>
          <w:rFonts w:ascii="Times New Roman" w:cs="Times New Roman" w:eastAsia="Times New Roman" w:hAnsi="Times New Roman"/>
          <w:sz w:val="24"/>
          <w:szCs w:val="24"/>
        </w:rPr>
        <w:t xml:space="preserve">Peng T, Gui G, Brucks M, et al. (2026) Digital twins are funhouse mirrors: Five systematic distortions. Preprint, submitted September 19, arXiv:2509.19088.</w:t>
      </w:r>
    </w:p>
    <w:p>
      <w:pPr>
        <w:spacing w:line="480"/>
        <w:ind w:left="720" w:hanging="720"/>
      </w:pPr>
      <w:r>
        <w:rPr>
          <w:rFonts w:ascii="Times New Roman" w:cs="Times New Roman" w:eastAsia="Times New Roman" w:hAnsi="Times New Roman"/>
          <w:sz w:val="24"/>
          <w:szCs w:val="24"/>
        </w:rPr>
        <w:t xml:space="preserve">Scheibehenne B, Greifeneder R, Todd PM (2010) Can there ever be too many options? A meta-analytic review of choice overload. J. Consumer Res. 37(3):409–425.</w:t>
      </w:r>
    </w:p>
    <w:p>
      <w:pPr>
        <w:spacing w:line="480"/>
        <w:ind w:left="720" w:hanging="720"/>
      </w:pPr>
      <w:r>
        <w:rPr>
          <w:rFonts w:ascii="Times New Roman" w:cs="Times New Roman" w:eastAsia="Times New Roman" w:hAnsi="Times New Roman"/>
          <w:sz w:val="24"/>
          <w:szCs w:val="24"/>
        </w:rPr>
        <w:t xml:space="preserve">Schneider C, Weinmann M, vom Brocke J (2018) Digital nudging: Guiding online user choices through interface design. Comm. ACM 61(7):67–73.</w:t>
      </w:r>
    </w:p>
    <w:p>
      <w:pPr>
        <w:spacing w:line="480"/>
        <w:ind w:left="720" w:hanging="720"/>
      </w:pPr>
      <w:r>
        <w:rPr>
          <w:rFonts w:ascii="Times New Roman" w:cs="Times New Roman" w:eastAsia="Times New Roman" w:hAnsi="Times New Roman"/>
          <w:sz w:val="24"/>
          <w:szCs w:val="24"/>
        </w:rPr>
        <w:t xml:space="preserve">Thaler RH, Sunstein CR (2008) Nudge: Improving Decisions About Health, Wealth, and Happiness (Yale University Press, New Haven, CT).</w:t>
      </w:r>
    </w:p>
    <w:p>
      <w:pPr>
        <w:spacing w:line="480"/>
        <w:ind w:left="720" w:hanging="720"/>
      </w:pPr>
      <w:r>
        <w:rPr>
          <w:rFonts w:ascii="Times New Roman" w:cs="Times New Roman" w:eastAsia="Times New Roman" w:hAnsi="Times New Roman"/>
          <w:sz w:val="24"/>
          <w:szCs w:val="24"/>
        </w:rPr>
        <w:t xml:space="preserve">Toubia O, Gui GZ, Peng T, Merlau DJ, Li A, Chen H (2025) Twin-2K-500: A data set for building digital twins of over 2,000 people based on their answers to over 500 questions. Marketing Sci.</w:t>
      </w:r>
    </w:p>
    <w:p>
      <w:pPr>
        <w:spacing w:line="480"/>
        <w:ind w:left="720" w:hanging="720"/>
      </w:pPr>
      <w:r>
        <w:rPr>
          <w:rFonts w:ascii="Times New Roman" w:cs="Times New Roman" w:eastAsia="Times New Roman" w:hAnsi="Times New Roman"/>
          <w:sz w:val="24"/>
          <w:szCs w:val="24"/>
        </w:rPr>
        <w:t xml:space="preserve">Tversky A, Kahneman D (1974) Judgment under uncertainty: Heuristics and biases. Science 185(4157):1124–1131.</w:t>
      </w:r>
    </w:p>
    <w:p>
      <w:pPr>
        <w:spacing w:line="480"/>
        <w:ind w:left="720" w:hanging="720"/>
      </w:pPr>
      <w:r>
        <w:rPr>
          <w:rFonts w:ascii="Times New Roman" w:cs="Times New Roman" w:eastAsia="Times New Roman" w:hAnsi="Times New Roman"/>
          <w:sz w:val="24"/>
          <w:szCs w:val="24"/>
        </w:rPr>
        <w:t xml:space="preserve">Wang S, Hunt K, Tang S, Joseph K (2026) When can LLM digital twins reduce human measurement? From behavioral fidelity to statistical substitutability. Preprint, submitted September 7, arXiv:2609.07987.</w:t>
      </w:r>
    </w:p>
    <w:p>
      <w:pPr>
        <w:spacing w:line="480"/>
        <w:ind w:left="720" w:hanging="720"/>
      </w:pPr>
      <w:r>
        <w:rPr>
          <w:rFonts w:ascii="Times New Roman" w:cs="Times New Roman" w:eastAsia="Times New Roman" w:hAnsi="Times New Roman"/>
          <w:sz w:val="24"/>
          <w:szCs w:val="24"/>
        </w:rPr>
        <w:t xml:space="preserve">Weinmann M, Schneider C, vom Brocke J (2016) Digital nudging. Bus. Inform. Systems Engrg. 58(6):433–436.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2026-10-26T16:57:20.059Z</dcterms:created>
  <dcterms:modified xsi:type="dcterms:W3CDTF">2026-10-26T16:57:20.059Z</dcterms:modified>
</cp:coreProperties>
</file>

<file path=docProps/custom.xml><?xml version="1.0" encoding="utf-8"?>
<Properties xmlns="http://schemas.openxmlformats.org/officeDocument/2006/custom-properties" xmlns:vt="http://schemas.openxmlformats.org/officeDocument/2006/docPropsVTypes"/>
</file>