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calibrating the mean to a historical average repairs the mean, but a baseline that uses no model information fits as well or better, so in this task the model supplies a level and little else. Promotion effects have the right sign in most settings, yet their size varies by an order of magnitude with model and prompt, and the absolute lift in purchase probability is overstated in 15 of 16 configurations (median about tenfold). Treating the simulator as a decision-support artifact at the interface of information systems and marketing analytics, we show why the Poisson–gamma result becomes a managerial problem when heterogeneity is generated instead of estimated, read the propositions as design constraints and a calibration mechanism, derive design principles and an evaluation protocol, and show that the overstated lifts would lead a firm to approve promotions that a randomized test rejects. We close with organizational implications for validating and governing synthetic data in analytics systems.</w:t>
      </w:r>
    </w:p>
    <w:p>
      <w:pPr>
        <w:pStyle w:val="BodyText"/>
      </w:pPr>
      <w:r>
        <w:rPr>
          <w:bCs/>
          <w:b/>
        </w:rPr>
        <w:t xml:space="preserve">Keywords:</w:t>
      </w:r>
      <w:r>
        <w:t xml:space="preserve"> </w:t>
      </w:r>
      <w:r>
        <w:t xml:space="preserve">synthetic customers, large language models, IT artifact, decision support systems, design science, purchase counts, overdispersion, customer heterogeneity,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The question is also one for information systems research. A synthetic-customer simulator is an IT artifact in the sense of a system that organizations design, deploy, and use to support decisions (Orlikowski and Iacono 2001, Hevner et al. 2004). Its value does not lie in the language model itself but in the decisions it supports, so the relevant test is task–technology fit (Goodhue and Thompson 1995): does the artifact reproduce the properties of customer behavior on which the decision depends? For promotion planning, those properties are the share of customers who do not buy, the weight of heavy buyers, and the absolute size of an effect. We therefore treat the elicitation design, meaning how the model is asked, how its answers become counts, and where heterogeneity comes from, as the artifact’s design variable, and ask which designs fit which decisions.</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which is marketed as a</w:t>
      </w:r>
      <w:r>
        <w:t xml:space="preserve"> </w:t>
      </w:r>
      <w:r>
        <w:t xml:space="preserve">“</w:t>
      </w:r>
      <w:r>
        <w:t xml:space="preserve">digital twin</w:t>
      </w:r>
      <w:r>
        <w:t xml:space="preserve">”</w:t>
      </w:r>
      <w:r>
        <w:t xml:space="preserve"> </w:t>
      </w:r>
      <w:r>
        <w:t xml:space="preserve">of a customer base. A twin is only as useful as the properties it preserves. If it preserves averages but not the spread of behavior, the systems built on it inherit a bias that looks like data but is not. Fluent, plausible output also invites reliance beyond what the system warrants (Lee and See 2004), so the limits of AI-based decision support are not a technical footnote but a question of how organizations should validate and use such outputs. We contribute to that question by showing, for a quantity that analytics systems depend on, which design choices preserve the property that matters and which do not.</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explain why a familiar statistical result becomes a new managerial problem when behavior is generated rather than estimated (a bound set by the firm’s data assets, a validation paradox, silent failure, and shifting components), and we add a result on customer concentration (Proposition 3). Fifth, we translate these findings into design principles for synthetic-customer systems and a diagnostic evaluation protocol, and we show in a stylized example how the overstated lifts would change a go/no-go decision.</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theoretical-framework-and-hypotheses"/>
    <w:p>
      <w:pPr>
        <w:pStyle w:val="Heading1"/>
      </w:pPr>
      <w:r>
        <w:t xml:space="preserve">3. Theoretical Framework and Hypotheses</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from-propositions-to-system-mechanisms"/>
    <w:p>
      <w:pPr>
        <w:pStyle w:val="Heading2"/>
      </w:pPr>
      <w:r>
        <w:t xml:space="preserve">3.7 From propositions to system mechanisms</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Proposition 1 and Proposition 2 therefore correspond to a separation of responsibilities between the language model, which supplies the level of a customer’s expected behavior, and the statistical layer, which supplies and calibrates the spread.</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 customer rates be gamma distributed with mean</w:t>
      </w:r>
      <w:r>
        <w:t xml:space="preserve"> </w:t>
      </w:r>
      <m:oMath>
        <m:r>
          <m:t>μ</m:t>
        </m:r>
      </m:oMath>
      <w:r>
        <w:t xml:space="preserve"> </w:t>
      </w:r>
      <w:r>
        <w:t xml:space="preserve">and squared coefficient of variation</w:t>
      </w:r>
      <w:r>
        <w:t xml:space="preserve"> </w:t>
      </w:r>
      <m:oMath>
        <m:r>
          <m:t>α</m:t>
        </m:r>
      </m:oMath>
      <w:r>
        <w:t xml:space="preserve">, and let</w:t>
      </w:r>
      <w:r>
        <w:t xml:space="preserve"> </w:t>
      </w:r>
      <m:oMath>
        <m:sSub>
          <m:e>
            <m:r>
              <m:t>S</m:t>
            </m:r>
          </m:e>
          <m:sub>
            <m:r>
              <m:t>q</m:t>
            </m:r>
          </m:sub>
        </m:sSub>
        <m:d>
          <m:dPr>
            <m:begChr m:val="("/>
            <m:endChr m:val=")"/>
            <m:sepChr m:val=""/>
            <m:grow/>
          </m:dPr>
          <m:e>
            <m:r>
              <m:t>α</m:t>
            </m:r>
          </m:e>
        </m:d>
      </m:oMath>
      <w:r>
        <w:t xml:space="preserve"> </w:t>
      </w:r>
      <w:r>
        <w:t xml:space="preserve">denote the share of all expected purchases made by the fraction</w:t>
      </w:r>
      <w:r>
        <w:t xml:space="preserve"> </w:t>
      </w:r>
      <m:oMath>
        <m:r>
          <m:t>q</m:t>
        </m:r>
      </m:oMath>
      <w:r>
        <w:t xml:space="preserve"> </w:t>
      </w:r>
      <w:r>
        <w:t xml:space="preserve">of customers with the highest rates. With shape</w:t>
      </w:r>
      <w:r>
        <w:t xml:space="preserve"> </w:t>
      </w:r>
      <m:oMath>
        <m:r>
          <m:t>k</m:t>
        </m:r>
        <m:r>
          <m:rPr>
            <m:sty m:val="p"/>
          </m:rPr>
          <m:t>=</m:t>
        </m:r>
        <m:r>
          <m:t>1</m:t>
        </m:r>
        <m:r>
          <m:rPr>
            <m:sty m:val="p"/>
          </m:rPr>
          <m:t>/</m:t>
        </m:r>
        <m:r>
          <m:t>α</m:t>
        </m:r>
      </m:oMath>
      <w:r>
        <w:t xml:space="preserve">,</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gamma distribution function with shape</w:t>
      </w:r>
      <w:r>
        <w:t xml:space="preserve"> </w:t>
      </w:r>
      <m:oMath>
        <m:r>
          <m:t>k</m:t>
        </m:r>
      </m:oMath>
      <w:r>
        <w:t xml:space="preserve"> </w:t>
      </w:r>
      <w:r>
        <w:t xml:space="preserve">and unit scale.</w:t>
      </w:r>
      <w:r>
        <w:t xml:space="preserve"> </w:t>
      </w:r>
      <m:oMath>
        <m:sSub>
          <m:e>
            <m:r>
              <m:t>S</m:t>
            </m:r>
          </m:e>
          <m:sub>
            <m:r>
              <m:t>q</m:t>
            </m:r>
          </m:sub>
        </m:sSub>
      </m:oMath>
      <w:r>
        <w:t xml:space="preserve"> </w:t>
      </w:r>
      <w:r>
        <w:t xml:space="preserve">increases in</w:t>
      </w:r>
      <w:r>
        <w:t xml:space="preserve"> </w:t>
      </w:r>
      <m:oMath>
        <m:r>
          <m:t>α</m:t>
        </m:r>
      </m:oMath>
      <w:r>
        <w:t xml:space="preserve"> </w:t>
      </w:r>
      <w:r>
        <w:t xml:space="preserve">and tends to</w:t>
      </w:r>
      <w:r>
        <w:t xml:space="preserve"> </w:t>
      </w:r>
      <m:oMath>
        <m:r>
          <m:t>q</m:t>
        </m:r>
      </m:oMath>
      <w:r>
        <w:t xml:space="preserve"> </w:t>
      </w:r>
      <w:r>
        <w:t xml:space="preserve">as</w:t>
      </w:r>
      <w:r>
        <w:t xml:space="preserve"> </w:t>
      </w:r>
      <m:oMath>
        <m:r>
          <m:t>α</m:t>
        </m:r>
        <m:r>
          <m:rPr>
            <m:sty m:val="p"/>
          </m:rPr>
          <m:t>→</m:t>
        </m:r>
        <m:r>
          <m:t>0</m:t>
        </m:r>
      </m:oMath>
      <w:r>
        <w:t xml:space="preserve">. A deterministic persona-conditioned simulator has</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&lt;</m:t>
        </m:r>
        <m:sSup>
          <m:e>
            <m:r>
              <m:t>c</m:t>
            </m:r>
          </m:e>
          <m:sup>
            <m:r>
              <m:t>2</m:t>
            </m:r>
          </m:sup>
        </m:sSup>
      </m:oMath>
      <w:r>
        <w:t xml:space="preserve"> </w:t>
      </w:r>
      <w:r>
        <w:t xml:space="preserve">(Proposition 1), so the concentration it can represent is at most</w:t>
      </w:r>
      <w:r>
        <w:t xml:space="preserve"> </w:t>
      </w:r>
      <m:oMath>
        <m:sSub>
          <m:e>
            <m:r>
              <m:t>S</m:t>
            </m:r>
          </m:e>
          <m:sub>
            <m:r>
              <m:t>q</m:t>
            </m:r>
          </m:sub>
        </m:sSub>
        <m:d>
          <m:dPr>
            <m:begChr m:val="("/>
            <m:endChr m:val=")"/>
            <m:sepChr m:val=""/>
            <m:grow/>
          </m:dPr>
          <m:e>
            <m:sSup>
              <m:e>
                <m:r>
                  <m:t>c</m:t>
                </m:r>
              </m:e>
              <m:sup>
                <m:r>
                  <m:t>2</m:t>
                </m:r>
              </m:sup>
            </m:sSup>
          </m:e>
        </m:d>
      </m:oMath>
      <w:r>
        <w:t xml:space="preserve">.</w:t>
      </w:r>
    </w:p>
    <w:p>
      <w:pPr>
        <w:pStyle w:val="BodyText"/>
      </w:pPr>
      <w:r>
        <w:rPr>
          <w:iCs/>
          <w:i/>
        </w:rPr>
        <w:t xml:space="preserve">Proof.</w:t>
      </w:r>
      <w:r>
        <w:t xml:space="preserve"> </w:t>
      </w:r>
      <w:r>
        <w:t xml:space="preserve">The expected purchases contributed by customers with rate above</w:t>
      </w:r>
      <w:r>
        <w:t xml:space="preserve"> </w:t>
      </w:r>
      <m:oMath>
        <m:r>
          <m:t>x</m:t>
        </m:r>
      </m:oMath>
      <w:r>
        <w:t xml:space="preserve"> </w:t>
      </w:r>
      <w:r>
        <w:t xml:space="preserve">are proportional to</w:t>
      </w:r>
      <w:r>
        <w:t xml:space="preserve"> </w:t>
      </w:r>
      <m:oMath>
        <m:nary>
          <m:naryPr>
            <m:chr m:val="∫"/>
            <m:limLoc m:val="subSup"/>
            <m:subHide m:val="off"/>
            <m:supHide m:val="off"/>
          </m:naryPr>
          <m:sub>
            <m:r>
              <m:t>x</m:t>
            </m:r>
          </m:sub>
          <m:sup>
            <m:r>
              <m:rPr>
                <m:sty m:val="p"/>
              </m:rPr>
              <m:t>∞</m:t>
            </m:r>
          </m:sup>
          <m:e>
            <m:r>
              <m:t>λ</m:t>
            </m:r>
          </m:e>
        </m:nary>
        <m:r>
          <m:t> </m:t>
        </m:r>
        <m:sSub>
          <m:e>
            <m:r>
              <m:t>f</m:t>
            </m:r>
          </m:e>
          <m:sub>
            <m:r>
              <m:t>k</m:t>
            </m:r>
          </m:sub>
        </m:sSub>
        <m:d>
          <m:dPr>
            <m:begChr m:val="("/>
            <m:endChr m:val=")"/>
            <m:sepChr m:val=""/>
            <m:grow/>
          </m:dPr>
          <m:e>
            <m:r>
              <m:t>λ</m:t>
            </m:r>
          </m:e>
        </m:d>
        <m:r>
          <m:t> </m:t>
        </m:r>
        <m:r>
          <m:t>d</m:t>
        </m:r>
        <m:r>
          <m:t>λ</m:t>
        </m:r>
      </m:oMath>
      <w:r>
        <w:t xml:space="preserve">, and</w:t>
      </w:r>
      <w:r>
        <w:t xml:space="preserve"> </w:t>
      </w:r>
      <m:oMath>
        <m:r>
          <m:t>λ</m:t>
        </m:r>
        <m:sSub>
          <m:e>
            <m:r>
              <m:t>f</m:t>
            </m:r>
          </m:e>
          <m:sub>
            <m:r>
              <m:t>k</m:t>
            </m:r>
          </m:sub>
        </m:sSub>
        <m:d>
          <m:dPr>
            <m:begChr m:val="("/>
            <m:endChr m:val=")"/>
            <m:sepChr m:val=""/>
            <m:grow/>
          </m:dPr>
          <m:e>
            <m:r>
              <m:t>λ</m:t>
            </m:r>
          </m:e>
        </m:d>
      </m:oMath>
      <w:r>
        <w:t xml:space="preserve"> </w:t>
      </w:r>
      <w:r>
        <w:t xml:space="preserve">is proportional to the gamma density with shape</w:t>
      </w:r>
      <w:r>
        <w:t xml:space="preserve"> </w:t>
      </w:r>
      <m:oMath>
        <m:r>
          <m:t>k</m:t>
        </m:r>
        <m:r>
          <m:rPr>
            <m:sty m:val="p"/>
          </m:rPr>
          <m:t>+</m:t>
        </m:r>
        <m:r>
          <m:t>1</m:t>
        </m:r>
      </m:oMath>
      <w:r>
        <w:t xml:space="preserve">, which gives the stated form. Monotonicity in</w:t>
      </w:r>
      <w:r>
        <w:t xml:space="preserve"> </w:t>
      </w:r>
      <m:oMath>
        <m:r>
          <m:t>α</m:t>
        </m:r>
      </m:oMath>
      <w:r>
        <w:t xml:space="preserve"> </w:t>
      </w:r>
      <w:r>
        <w:t xml:space="preserve">follows because a gamma distribution with a smaller shape is larger in the convex (Lorenz) order, and the limit follows from the degeneracy of the rate distribution as</w:t>
      </w:r>
      <w:r>
        <w:t xml:space="preserve"> </w:t>
      </w:r>
      <m:oMath>
        <m:r>
          <m:t>k</m:t>
        </m:r>
        <m:r>
          <m:rPr>
            <m:sty m:val="p"/>
          </m:rPr>
          <m:t>→</m:t>
        </m:r>
        <m:r>
          <m:rPr>
            <m:sty m:val="p"/>
          </m:rPr>
          <m:t>∞</m:t>
        </m:r>
      </m:oMath>
      <w:r>
        <w:t xml:space="preserve">. The last statement applies Proposition 1.</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the top tenth of customers account for 52% of expected purchases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A simulator that carries only the persona-described heterogeneity of the demographic experiment (</w:t>
      </w:r>
      <m:oMath>
        <m:sSup>
          <m:e>
            <m:r>
              <m:t>c</m:t>
            </m:r>
          </m:e>
          <m:sup>
            <m:r>
              <m:t>2</m:t>
            </m:r>
          </m:sup>
        </m:sSup>
        <m:r>
          <m:rPr>
            <m:sty m:val="p"/>
          </m:rPr>
          <m:t>=</m:t>
        </m:r>
        <m:r>
          <m:t>0.006</m:t>
        </m:r>
      </m:oMath>
      <w:r>
        <w:t xml:space="preserve">) represents a share of 11%. Decisions that depend on concentration, such as how deeply to target a promotion, how to set loyalty tiers, or how to size a budget ceiling for heavy buyers, are therefore biased in a known direction when the spread is lost. The direction of the bias, not only its size, is predictable,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email experiment the first three models were run on three seeds and the five newer models on one.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for the three models run on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1.73, zero share at most 0.01)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and has ratios of 0.06 to 0.30. Describing a distribution reaches ratios of 3.44 to 6.11, and its intervals contain the ceiling of 5.01 in 10 of 16 cells (5 of the 8 anchored cells); its zero share (0.03 to 0.15) matches the small real share of 0.03 in 8 of 16 cells. The hybrid matches the reference ratio in 10 of 16 cells, but its mean in only 3 of 16: the model’s</w:t>
      </w:r>
      <w:r>
        <w:t xml:space="preserve"> </w:t>
      </w:r>
      <m:oMath>
        <m:r>
          <m:t>λ</m:t>
        </m:r>
      </m:oMath>
      <w:r>
        <w:t xml:space="preserve"> </w:t>
      </w:r>
      <w:r>
        <w:t xml:space="preserve">is usually too low (4.28 to 7.17 in the cells that miss, against 7.83). It matches the zero share in none of the 16 cells (0.07 to 0.15 against 0.03), because Poisson counts with a gamma multiplier produce more zeros than these households, and so it matches all four of mean, ratio, zero share, and</w:t>
      </w:r>
      <w:r>
        <w:t xml:space="preserve"> </w:t>
      </w:r>
      <m:oMath>
        <m:r>
          <m:t>α</m:t>
        </m:r>
      </m:oMath>
      <w:r>
        <w:t xml:space="preserve"> </w:t>
      </w:r>
      <w:r>
        <w:t xml:space="preserve">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900 customers for GPT-4o-mini, Llama-3.3-70B, and Haiku 5.5, which were run on three seeds). Lift = probability with the email minus probability without it; gap = lift of the men’s email minus lift of the women’s email; intervals are 95% paired bootstrap intervals over customers (real values: normal approximation). RR = risk ratio; for the models run on three seeds it is the mean of the three per-seed ratios, and the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in the yes/no format for visits (0.60 to 0.69 in all three seeds). For the three models run on three seeds, the risk ratio exceeded one in all 24 cells of the two further seeds (smallest lower bound 1.00).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25 (for example +0.169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only 15 cells, the largest simulated visit gap is +0.013, and in three cells (Haiku 5.5 without the anchor for visits, and GPT-4o-mini in both prompt variants for purchases) the women’s email is rated significantly higher.</w:t>
      </w:r>
    </w:p>
    <w:p>
      <w:pPr>
        <w:pStyle w:val="BodyText"/>
      </w:pPr>
      <w:r>
        <w:t xml:space="preserve">Direct yes/no answers are not usable for rare events. In 15 of 32 yes/no cells of the first seed (and in 13 of 24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+0.007 to +0.55,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and compared it with the same share in the reference. In the reference the top tenth account for 65% of purchases in the low-mean setting, 39% in the high-mean setting, and 30% for the demographic households. For a population without heterogeneity the share is 10% or, in the low-mean setting, slightly above because most counts are zero and the counts of the rest are discrete.</w:t>
      </w:r>
    </w:p>
    <w:p>
      <w:pPr>
        <w:pStyle w:val="BodyText"/>
      </w:pPr>
      <w:r>
        <w:t xml:space="preserve">The prediction is borne out. Direct answers and daily simulation cannot represent concentration. In the 91 cells of these two designs in which a meaningful share can be computed, the top-decile share is below the reference in every one and the interval excludes the reference. It lies between 0.10 and 0.49 in the low-mean setting (the highest value is the overdispersed DeepSeek-V4-Pro cell for direct answers), between 0.10 and 0.18 in the high-mean setting, and between 0.10 and 0.16 for the demographic households, that is, practically at the 10% that a population without heterogeneity would give. We excluded five low-mean cells in which almost every simulated customer made no purchase, where the share is 1.00 or undefined only because there is almost nothing to distribute. Describing a distribution recovers part of the concentration (0.30 to 0.52 in the low-mean setting against 0.65, and 0.27 to 0.36 in the high-mean setting against 0.39), and its interval excludes the reference in 16 of 16 and 15 of 16 cells. For the demographic households, whose reference concentration is low, it lies within the interval of the reference in 11 of 16 cells. The hybrid design reproduces concentration in 39 of 48 cells (11 of 16, 13 of 16,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own customer file, and to keep the external gamma multiplier of Proposition 2. We tested this offline on the stored expected counts of design D, in every model-and-prompt cell, with a fresh simulation of the counts (so the figures differ slightly from those in Sections 5.2 to 5.5). We added a baseline that uses no information from the model: every customer receives the reference mean, and the same gamma multiplier supplies the entire dispersion. This baseline is the reference distribution itself, up to sampling, and it shows what the model adds.</w:t>
      </w:r>
    </w:p>
    <w:p>
      <w:pPr>
        <w:pStyle w:val="BodyText"/>
      </w:pPr>
      <w:r>
        <w:t xml:space="preserve">Calibration does what it is meant to do for the mean. The mean matches the reference in 44 of 48 cells after calibration, against 19 of 48 before (13 of 16 against 9 in the low-mean setting, 15 against 6 in the high-mean setting, and 16 against 4 for the demographic households). It does not, however, make the design match the reference on all four statistics at once. The number of cells that match on mean, variance-to-mean ratio, zero share, and</w:t>
      </w:r>
      <w:r>
        <w:t xml:space="preserve"> </w:t>
      </w:r>
      <m:oMath>
        <m:r>
          <m:t>α</m:t>
        </m:r>
      </m:oMath>
      <w:r>
        <w:t xml:space="preserve"> </w:t>
      </w:r>
      <w:r>
        <w:t xml:space="preserve">together is 14 of 48 after calibration and 10 of 48 before, and 19 of 48 for the baseline with no model information (low-mean setting: 12, 7, and 15 of 16; high-mean setting: 2, 3, and 4 of 16; demographic households: 0 in all three). The remaining mismatches are mostly in the zero share, and they do not come from the model. A Poisson–gamma distribution with the reference mean and dispersion implies a zero share of 0.23 in the high-mean setting (real 0.19) and of 0.07 for the demographic households (real 0.03), so the parametric family itself misses the zeros of these empirical distributions, and the baseline shows the same misses.</w:t>
      </w:r>
    </w:p>
    <w:p>
      <w:pPr>
        <w:pStyle w:val="BodyText"/>
      </w:pPr>
      <w:r>
        <w:t xml:space="preserve">The squared coefficient of variation of the model’s expected counts, which is the heterogeneity that the model contributes, ranged from 0.00 to 0.75 in the low-mean setting (against</w:t>
      </w:r>
      <w:r>
        <w:t xml:space="preserve"> </w:t>
      </w:r>
      <m:oMath>
        <m:r>
          <m:t>α</m:t>
        </m:r>
        <m:r>
          <m:rPr>
            <m:sty m:val="p"/>
          </m:rPr>
          <m:t>=</m:t>
        </m:r>
        <m:r>
          <m:t>3.05</m:t>
        </m:r>
      </m:oMath>
      <w:r>
        <w:t xml:space="preserve">), from 0.00 to 1.00 in the high-mean setting (against 1.42; the largest value is Llama with the anchor), and from 0.00 to 0.07 for the demographic households (against 0.71). With rank correlations to real counts near zero (Section 5.5), this heterogeneity is not informative about which customers buy more. The evidence therefore supports a narrow reading of the model’s role. In this task it supplies a level, and a model-free level taken from the organization’s data does as well or better. Whether a model contributes more when the personas carry informative history, such as past purchases,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3 of 32 cells, and in all three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the number of cells matching on all four statistics rises only from 10 to 14 of 48, and a baseline that uses no model information matches in 19 of 48.</w:t>
            </w:r>
          </w:p>
        </w:tc>
      </w:tr>
      <w:tr>
        <w:tc>
          <w:tcPr/>
          <w:p>
            <w:pPr>
              <w:pStyle w:val="Compact"/>
              <w:spacing w:before="20" w:after="20" w:line="240" w:lineRule="auto"/>
              <w:ind w:firstLine="0"/>
              <w:jc w:val="left"/>
            </w:pPr>
            <w:r>
              <w:rPr>
                <w:rFonts w:ascii="Times New Roman" w:hAnsi="Times New Roman"/>
                <w:sz w:val="17"/>
              </w:rPr>
              <w:t xml:space="preserve">Exploratory: concentration of purchases among heavy buyers (Proposition 3).</w:t>
            </w:r>
          </w:p>
        </w:tc>
        <w:tc>
          <w:tcPr/>
          <w:p>
            <w:pPr>
              <w:pStyle w:val="Compact"/>
              <w:spacing w:before="20" w:after="20" w:line="240" w:lineRule="auto"/>
              <w:ind w:firstLine="0"/>
              <w:jc w:val="left"/>
            </w:pPr>
            <w:r>
              <w:rPr>
                <w:rFonts w:ascii="Times New Roman" w:hAnsi="Times New Roman"/>
                <w:sz w:val="17"/>
              </w:rPr>
              <w:t xml:space="preserve">Supported. The top-decile share of purchases is practically at the 10% of a homogeneous population for direct and daily designs (below the reference in all 91 interpretable cells), is partly recovered by describing a distribution, and is matched by the hybrid design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5"/>
    <w:bookmarkEnd w:id="56"/>
    <w:bookmarkStart w:id="63" w:name="discussion"/>
    <w:p>
      <w:pPr>
        <w:pStyle w:val="Heading1"/>
      </w:pPr>
      <w:r>
        <w:t xml:space="preserve">6. Discussion</w:t>
      </w:r>
    </w:p>
    <w:bookmarkStart w:id="57"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42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Gemini 3.1 Flash-Lite, Mistral Large 4) do not escape the collapse of direct answers, and none of them supplies a reliably accurate mean for the hybrid design: the mean matched in 13 of 48 cells, and the cells in which all four statistics matched were scattered across models and prompts.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p>
      <w:pPr>
        <w:pStyle w:val="BodyText"/>
      </w:pPr>
      <w:r>
        <w:t xml:space="preserve">A further implication concerns the limits of AI-based decision support and of the</w:t>
      </w:r>
      <w:r>
        <w:t xml:space="preserve"> </w:t>
      </w:r>
      <w:r>
        <w:t xml:space="preserve">“</w:t>
      </w:r>
      <w:r>
        <w:t xml:space="preserve">digital twin</w:t>
      </w:r>
      <w:r>
        <w:t xml:space="preserve">”</w:t>
      </w:r>
      <w:r>
        <w:t xml:space="preserve"> </w:t>
      </w:r>
      <w:r>
        <w:t xml:space="preserve">idea. A twin is usually understood as a replica that can stand in for the original in a decision. Our evidence supports a narrower reading. At the level of the individual customer, the demographic personas carried almost no information about real counts (rank correlations between -0.17 and +0.16),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tail, and the absolute size of an effect. We view this as the main point for information systems research on generative AI in decision support. Evaluation should be stated in terms of the decision-relevant properties of the artifact’s output, because fluency and aggregate plausibility, which are what users see, do not indicate them.</w:t>
      </w:r>
    </w:p>
    <w:bookmarkEnd w:id="57"/>
    <w:bookmarkStart w:id="58"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Rescaling the model’s rates to the historical mean repaired the mean in 44 of 48 cells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8"/>
    <w:bookmarkStart w:id="59" w:name="implications-for-practice"/>
    <w:p>
      <w:pPr>
        <w:pStyle w:val="Heading2"/>
      </w:pPr>
      <w:r>
        <w:t xml:space="preserve">6.3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level only, calibrate the level, and test the model against a baseline without it.</w:t>
      </w:r>
      <w:r>
        <w:t xml:space="preserve"> </w:t>
      </w:r>
      <w:r>
        <w:t xml:space="preserve">Inject the remaining heterogeneity externally, calibrated according to Proposition 2 on a historical or pilot sample, and rescale the model’s rates to the historical mean. In our data the uncalibrated mean matched the reference in only 13 of 48 hybrid cells, calibration raised this to 44, and a baseline that used the historical mean alone fitted as well or better, so the value of the model has to be shown, not assumed.</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0.065,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9"/>
    <w:bookmarkStart w:id="60"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five specific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ten times the randomized value. In the stylized example of Section 6.3, with a cost of 1 and a margin of 50 per purchase,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median simulated lift of 0.065 predicts</w:t>
      </w:r>
      <w:r>
        <w:t xml:space="preserve"> </w:t>
      </w:r>
      <m:oMath>
        <m:r>
          <m:rPr>
            <m:sty m:val="p"/>
          </m:rPr>
          <m:t>+</m:t>
        </m:r>
        <m:r>
          <m:t>2.25</m:t>
        </m:r>
      </m:oMath>
      <w:r>
        <w:t xml:space="preserve"> </w:t>
      </w:r>
      <w:r>
        <w:t xml:space="preserve">per customer, a profit of about 225,000. The gap between forecast and outcome is therefore about 290,000 for a single campaign, and it has a sign that favors launching. The error is systematic, not noisy, so it does not average out over campaigns.</w:t>
      </w:r>
    </w:p>
    <w:p>
      <w:pPr>
        <w:pStyle w:val="BodyText"/>
      </w:pPr>
      <w:r>
        <w:rPr>
          <w:iCs/>
          <w:i/>
        </w:rPr>
        <w:t xml:space="preserve">False precision.</w:t>
      </w:r>
      <w:r>
        <w:t xml:space="preserve"> </w:t>
      </w:r>
      <w:r>
        <w:t xml:space="preserve">The simulated lifts often came with narrow intervals, and the intervals excluded the real value in most configurations. A system that reports a tight interval around a wrong number invites more confidence than one that reports a wide one.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The failure is then self-concealing. We did not observe this process, but it follows from the validation paradox, and it is the reason why we recommend that synthetic pre-tests be paired with a continuing stream of real tests and not substitute for it.</w:t>
      </w:r>
    </w:p>
    <w:p>
      <w:pPr>
        <w:pStyle w:val="BodyText"/>
      </w:pPr>
      <w:r>
        <w:rPr>
          <w:iCs/>
          <w:i/>
        </w:rPr>
        <w:t xml:space="preserve">Propagation.</w:t>
      </w:r>
      <w:r>
        <w:t xml:space="preserve"> </w:t>
      </w:r>
      <w:r>
        <w:t xml:space="preserve">Synthetic customers that are used as inputs to forecasts, budget models, or other learned systems carry their compressed spread with them. Concentration is lost (Proposition 3), the share of non-buyers is distorted, and the result enters downstream decisions as if it were observed data. The cost is then not one wrong decision but a bias built into the planning system, whose source is hard to trace afterward.</w:t>
      </w:r>
    </w:p>
    <w:p>
      <w:pPr>
        <w:pStyle w:val="BodyText"/>
      </w:pPr>
      <w:r>
        <w:rPr>
          <w:iCs/>
          <w:i/>
        </w:rPr>
        <w:t xml:space="preserve">Unassigned accountability.</w:t>
      </w:r>
      <w:r>
        <w:t xml:space="preserve"> </w:t>
      </w:r>
      <w:r>
        <w:t xml:space="preserve">When a decision rests on a vendor’s model, a prompt written by an analyst, and a calibration step maintained by another team, no one owns the error. The organization should assign responsibility for the acceptance test of Section 6.5 before the system is used, not after the first costly outcome. A digital twin that no one is accountable for validating is a liability presented as an asset.</w:t>
      </w:r>
    </w:p>
    <w:p>
      <w:pPr>
        <w:pStyle w:val="BodyText"/>
      </w:pPr>
      <w:r>
        <w:t xml:space="preserve">These risks do not argue against the technology. They argue against using it as a replacement for evidence rather than as a complement to it, and against purchasing decisions that are based on demonstrations of fluency and plausible averages, which are the properties our experiments show to be least informative about decision quality.</w:t>
      </w:r>
    </w:p>
    <w:bookmarkEnd w:id="60"/>
    <w:bookmarkStart w:id="61" w:name="X94616b3a30dccc1fe21684587130f01609b39ab"/>
    <w:p>
      <w:pPr>
        <w:pStyle w:val="Heading2"/>
      </w:pPr>
      <w:r>
        <w:t xml:space="preserve">6.5 Organizational implications: validating and using synthetic data in marketing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61"/>
    <w:bookmarkStart w:id="62"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and the email experiment for the five newer models rests on one seed. The three transaction settings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2"/>
    <w:bookmarkEnd w:id="63"/>
    <w:bookmarkStart w:id="64"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although a baseline that uses the historical mean alone does about as well.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 For the design of such systems, the evidence points to separating the level, which the model can supply, from the spread, which must come from an external calibrated source, and to evaluating the artifact against the decision it is meant to support.</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5"/>
    <w:bookmarkStart w:id="66"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6"/>
    <w:bookmarkStart w:id="67"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0.87*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2.95*</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2.46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3.74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14.72*</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6.54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0.60*</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3.22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2.49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3.51*</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2.27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2.74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-0.35*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2.25</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10.30*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4.57*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4.42*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6.76*</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5.51*</w:t>
            </w:r>
          </w:p>
        </w:tc>
        <w:tc>
          <w:tcPr/>
          <w:p>
            <w:pPr>
              <w:pStyle w:val="Compact"/>
              <w:spacing w:before="20" w:after="20" w:line="240" w:lineRule="auto"/>
              <w:ind w:firstLine="0"/>
              <w:jc w:val="left"/>
            </w:pPr>
            <w:r>
              <w:rPr>
                <w:rFonts w:ascii="Times New Roman" w:hAnsi="Times New Roman"/>
                <w:sz w:val="17"/>
              </w:rPr>
              <w:t xml:space="preserve">8.72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5.02</w:t>
            </w:r>
          </w:p>
        </w:tc>
        <w:tc>
          <w:tcPr/>
          <w:p>
            <w:pPr>
              <w:pStyle w:val="Compact"/>
              <w:spacing w:before="20" w:after="20" w:line="240" w:lineRule="auto"/>
              <w:ind w:firstLine="0"/>
              <w:jc w:val="left"/>
            </w:pPr>
            <w:r>
              <w:rPr>
                <w:rFonts w:ascii="Times New Roman" w:hAnsi="Times New Roman"/>
                <w:sz w:val="17"/>
              </w:rPr>
              <w:t xml:space="preserve">8.62</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7.77*</w:t>
            </w:r>
          </w:p>
        </w:tc>
        <w:tc>
          <w:tcPr/>
          <w:p>
            <w:pPr>
              <w:pStyle w:val="Compact"/>
              <w:spacing w:before="20" w:after="20" w:line="240" w:lineRule="auto"/>
              <w:ind w:firstLine="0"/>
              <w:jc w:val="left"/>
            </w:pPr>
            <w:r>
              <w:rPr>
                <w:rFonts w:ascii="Times New Roman" w:hAnsi="Times New Roman"/>
                <w:sz w:val="17"/>
              </w:rPr>
              <w:t xml:space="preserve">1.10*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8.94*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5.81*</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7.65*</w:t>
            </w:r>
          </w:p>
        </w:tc>
        <w:tc>
          <w:tcPr/>
          <w:p>
            <w:pPr>
              <w:pStyle w:val="Compact"/>
              <w:spacing w:before="20" w:after="20" w:line="240" w:lineRule="auto"/>
              <w:ind w:firstLine="0"/>
              <w:jc w:val="left"/>
            </w:pPr>
            <w:r>
              <w:rPr>
                <w:rFonts w:ascii="Times New Roman" w:hAnsi="Times New Roman"/>
                <w:sz w:val="17"/>
              </w:rPr>
              <w:t xml:space="preserve">9.43</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7.61</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11.74*</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6.50*</w:t>
            </w:r>
          </w:p>
        </w:tc>
        <w:tc>
          <w:tcPr/>
          <w:p>
            <w:pPr>
              <w:pStyle w:val="Compact"/>
              <w:spacing w:before="20" w:after="20" w:line="240" w:lineRule="auto"/>
              <w:ind w:firstLine="0"/>
              <w:jc w:val="left"/>
            </w:pPr>
            <w:r>
              <w:rPr>
                <w:rFonts w:ascii="Times New Roman" w:hAnsi="Times New Roman"/>
                <w:sz w:val="17"/>
              </w:rPr>
              <w:t xml:space="preserve">3.65*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8.69*</w:t>
            </w:r>
          </w:p>
        </w:tc>
        <w:tc>
          <w:tcPr/>
          <w:p>
            <w:pPr>
              <w:pStyle w:val="Compact"/>
              <w:spacing w:before="20" w:after="20" w:line="240" w:lineRule="auto"/>
              <w:ind w:firstLine="0"/>
              <w:jc w:val="left"/>
            </w:pPr>
            <w:r>
              <w:rPr>
                <w:rFonts w:ascii="Times New Roman" w:hAnsi="Times New Roman"/>
                <w:sz w:val="17"/>
              </w:rPr>
              <w:t xml:space="preserve">12.15*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1.28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w:t>
            </w:r>
          </w:p>
        </w:tc>
        <w:tc>
          <w:tcPr/>
          <w:p>
            <w:pPr>
              <w:pStyle w:val="Compact"/>
              <w:spacing w:before="20" w:after="20" w:line="240" w:lineRule="auto"/>
              <w:ind w:firstLine="0"/>
              <w:jc w:val="left"/>
            </w:pPr>
            <w:r>
              <w:rPr>
                <w:rFonts w:ascii="Times New Roman" w:hAnsi="Times New Roman"/>
                <w:sz w:val="17"/>
              </w:rPr>
              <w:t xml:space="preserve">3.75*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6.95</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8.56*</w:t>
            </w:r>
          </w:p>
        </w:tc>
        <w:tc>
          <w:tcPr/>
          <w:p>
            <w:pPr>
              <w:pStyle w:val="Compact"/>
              <w:spacing w:before="20" w:after="20" w:line="240" w:lineRule="auto"/>
              <w:ind w:firstLine="0"/>
              <w:jc w:val="left"/>
            </w:pPr>
            <w:r>
              <w:rPr>
                <w:rFonts w:ascii="Times New Roman" w:hAnsi="Times New Roman"/>
                <w:sz w:val="17"/>
              </w:rPr>
              <w:t xml:space="preserve">2.45*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8.28*</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7.95*</w:t>
            </w:r>
          </w:p>
        </w:tc>
        <w:tc>
          <w:tcPr/>
          <w:p>
            <w:pPr>
              <w:pStyle w:val="Compact"/>
              <w:spacing w:before="20" w:after="20" w:line="240" w:lineRule="auto"/>
              <w:ind w:firstLine="0"/>
              <w:jc w:val="left"/>
            </w:pPr>
            <w:r>
              <w:rPr>
                <w:rFonts w:ascii="Times New Roman" w:hAnsi="Times New Roman"/>
                <w:sz w:val="17"/>
              </w:rPr>
              <w:t xml:space="preserve">4.75*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4.36*</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4.98</w:t>
            </w:r>
          </w:p>
        </w:tc>
        <w:tc>
          <w:tcPr/>
          <w:p>
            <w:pPr>
              <w:pStyle w:val="Compact"/>
              <w:spacing w:before="20" w:after="20" w:line="240" w:lineRule="auto"/>
              <w:ind w:firstLine="0"/>
              <w:jc w:val="left"/>
            </w:pPr>
            <w:r>
              <w:rPr>
                <w:rFonts w:ascii="Times New Roman" w:hAnsi="Times New Roman"/>
                <w:sz w:val="17"/>
              </w:rPr>
              <w:t xml:space="preserve">4.83*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1.40</w:t>
            </w:r>
          </w:p>
        </w:tc>
      </w:tr>
    </w:tbl>
    <w:p>
      <w:pPr>
        <w:pStyle w:val="BodyText"/>
        <w:spacing w:line="240" w:lineRule="auto"/>
        <w:ind w:firstLine="0"/>
      </w:pPr>
      <w:r>
        <w:rPr>
          <w:iCs/>
          <w:i/>
        </w:rPr>
        <w:t xml:space="preserve">Table B2. High-mean setting, 600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10.40*</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6.64*</w:t>
            </w:r>
          </w:p>
        </w:tc>
        <w:tc>
          <w:tcPr/>
          <w:p>
            <w:pPr>
              <w:pStyle w:val="Compact"/>
              <w:spacing w:before="20" w:after="20" w:line="240" w:lineRule="auto"/>
              <w:ind w:firstLine="0"/>
              <w:jc w:val="left"/>
            </w:pPr>
            <w:r>
              <w:rPr>
                <w:rFonts w:ascii="Times New Roman" w:hAnsi="Times New Roman"/>
                <w:sz w:val="17"/>
              </w:rPr>
              <w:t xml:space="preserve">4.66*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4.53*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10.16*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7.31*</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6.87*</w:t>
            </w:r>
          </w:p>
        </w:tc>
        <w:tc>
          <w:tcPr/>
          <w:p>
            <w:pPr>
              <w:pStyle w:val="Compact"/>
              <w:spacing w:before="20" w:after="20" w:line="240" w:lineRule="auto"/>
              <w:ind w:firstLine="0"/>
              <w:jc w:val="left"/>
            </w:pPr>
            <w:r>
              <w:rPr>
                <w:rFonts w:ascii="Times New Roman" w:hAnsi="Times New Roman"/>
                <w:sz w:val="17"/>
              </w:rPr>
              <w:t xml:space="preserve">6.65</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7.89</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7.00*</w:t>
            </w:r>
          </w:p>
        </w:tc>
        <w:tc>
          <w:tcPr/>
          <w:p>
            <w:pPr>
              <w:pStyle w:val="Compact"/>
              <w:spacing w:before="20" w:after="20" w:line="240" w:lineRule="auto"/>
              <w:ind w:firstLine="0"/>
              <w:jc w:val="left"/>
            </w:pPr>
            <w:r>
              <w:rPr>
                <w:rFonts w:ascii="Times New Roman" w:hAnsi="Times New Roman"/>
                <w:sz w:val="17"/>
              </w:rPr>
              <w:t xml:space="preserve">4.79*</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5.09*</w:t>
            </w:r>
          </w:p>
        </w:tc>
        <w:tc>
          <w:tcPr/>
          <w:p>
            <w:pPr>
              <w:pStyle w:val="Compact"/>
              <w:spacing w:before="20" w:after="20" w:line="240" w:lineRule="auto"/>
              <w:ind w:firstLine="0"/>
              <w:jc w:val="left"/>
            </w:pPr>
            <w:r>
              <w:rPr>
                <w:rFonts w:ascii="Times New Roman" w:hAnsi="Times New Roman"/>
                <w:sz w:val="17"/>
              </w:rPr>
              <w:t xml:space="preserve">4.69*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9.46*</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7.17*</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6.98*</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8.57*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3.53*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5.83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7.50</w:t>
            </w:r>
          </w:p>
        </w:tc>
        <w:tc>
          <w:tcPr/>
          <w:p>
            <w:pPr>
              <w:pStyle w:val="Compact"/>
              <w:spacing w:before="20" w:after="20" w:line="240" w:lineRule="auto"/>
              <w:ind w:firstLine="0"/>
              <w:jc w:val="left"/>
            </w:pPr>
            <w:r>
              <w:rPr>
                <w:rFonts w:ascii="Times New Roman" w:hAnsi="Times New Roman"/>
                <w:sz w:val="17"/>
              </w:rPr>
              <w:t xml:space="preserve">6.31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10.25*</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6.62*</w:t>
            </w:r>
          </w:p>
        </w:tc>
        <w:tc>
          <w:tcPr/>
          <w:p>
            <w:pPr>
              <w:pStyle w:val="Compact"/>
              <w:spacing w:before="20" w:after="20" w:line="240" w:lineRule="auto"/>
              <w:ind w:firstLine="0"/>
              <w:jc w:val="left"/>
            </w:pPr>
            <w:r>
              <w:rPr>
                <w:rFonts w:ascii="Times New Roman" w:hAnsi="Times New Roman"/>
                <w:sz w:val="17"/>
              </w:rPr>
              <w:t xml:space="preserve">3.44*</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7.41</w:t>
            </w:r>
          </w:p>
        </w:tc>
        <w:tc>
          <w:tcPr/>
          <w:p>
            <w:pPr>
              <w:pStyle w:val="Compact"/>
              <w:spacing w:before="20" w:after="20" w:line="240" w:lineRule="auto"/>
              <w:ind w:firstLine="0"/>
              <w:jc w:val="left"/>
            </w:pPr>
            <w:r>
              <w:rPr>
                <w:rFonts w:ascii="Times New Roman" w:hAnsi="Times New Roman"/>
                <w:sz w:val="17"/>
              </w:rPr>
              <w:t xml:space="preserve">6.53</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6.88*</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7.18*</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6.07*</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9.24*</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4.93*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7.30*</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8.74*</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6.18*</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5.41*</w:t>
            </w:r>
          </w:p>
        </w:tc>
        <w:tc>
          <w:tcPr/>
          <w:p>
            <w:pPr>
              <w:pStyle w:val="Compact"/>
              <w:spacing w:before="20" w:after="20" w:line="240" w:lineRule="auto"/>
              <w:ind w:firstLine="0"/>
              <w:jc w:val="left"/>
            </w:pPr>
            <w:r>
              <w:rPr>
                <w:rFonts w:ascii="Times New Roman" w:hAnsi="Times New Roman"/>
                <w:sz w:val="17"/>
              </w:rPr>
              <w:t xml:space="preserve">5.11*</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0.76</w:t>
            </w:r>
          </w:p>
        </w:tc>
      </w:tr>
    </w:tbl>
    <w:p>
      <w:pPr>
        <w:pStyle w:val="BodyText"/>
        <w:spacing w:line="240" w:lineRule="auto"/>
        <w:ind w:firstLine="0"/>
      </w:pPr>
      <w:r>
        <w:rPr>
          <w:iCs/>
          <w:i/>
        </w:rPr>
        <w:t xml:space="preserve">Table B3. Persona experiment with real household demographics, 600 household-windows per cell. Reference row: real distribution of the 801 households (10,413 household-windows). * the 95% bootstrap interval excludes the reference value.</w:t>
      </w:r>
    </w:p>
    <w:bookmarkEnd w:id="67"/>
    <w:bookmarkStart w:id="68"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2026-10-17T09:25:25Z</dcterms:created>
  <dcterms:modified xsi:type="dcterms:W3CDTF">2026-10-17T09:25:25Z</dcterms:modified>
</cp:coreProperties>
</file>

<file path=docProps/custom.xml><?xml version="1.0" encoding="utf-8"?>
<Properties xmlns="http://schemas.openxmlformats.org/officeDocument/2006/custom-properties" xmlns:vt="http://schemas.openxmlformats.org/officeDocument/2006/docPropsVTypes"/>
</file>