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b/>
          <w:bCs/>
          <w:i w:val="false"/>
          <w:iCs w:val="false"/>
          <w:color w:val="000000"/>
          <w:sz w:val="32"/>
          <w:szCs w:val="32"/>
        </w:rPr>
        <w:t xml:space="preserve">Cover letter and contribution statement</w:t>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Senior Editor, Information Systems Research</w:t>
      </w:r>
    </w:p>
    <w:p>
      <w:pPr>
        <w:spacing w:after="200" w:before="0" w:line="276"/>
        <w:jc w:val="both"/>
      </w:pPr>
      <w:r>
        <w:rPr>
          <w:rFonts w:ascii="Times New Roman" w:cs="Times New Roman" w:eastAsia="Times New Roman" w:hAnsi="Times New Roman"/>
          <w:b w:val="false"/>
          <w:bCs w:val="false"/>
          <w:i w:val="false"/>
          <w:iCs w:val="false"/>
          <w:color w:val="000000"/>
          <w:sz w:val="22"/>
          <w:szCs w:val="22"/>
        </w:rPr>
        <w:t xml:space="preserve">Please consider the enclosed Research Note, “The Sampling Temperature Is Not the Decision State: Effective Decision Temperature and the Governance of LLM Agents.” Author identifiers have been removed from the manuscript for double-anonymous review, and the abstract is under 300 words. This letter also contains the contribution statement required since June 1, 2023.</w:t>
      </w:r>
    </w:p>
    <w:p>
      <w:pPr>
        <w:pStyle w:val="Heading1"/>
      </w:pPr>
      <w:r>
        <w:rPr>
          <w:rFonts w:ascii="Times New Roman" w:cs="Times New Roman" w:eastAsia="Times New Roman" w:hAnsi="Times New Roman"/>
          <w:b/>
          <w:bCs/>
          <w:i w:val="false"/>
          <w:iCs w:val="false"/>
          <w:color w:val="1F4E79"/>
          <w:sz w:val="26"/>
          <w:szCs w:val="26"/>
        </w:rPr>
        <w:t xml:space="preserve">Contribution statement (under 500 words)</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The note contributes to information systems research on delegation to agentic artifacts (Baird &amp; Maruping, 2021; Berente, Gu, Recker, &amp; Santhanam, 2021). That literature assigns rights and responsibilities on evidence of capability and treats autonomy, learning, and inscrutability as the managerial problem. What it does not offer the organization is a construct for the decision state an agent is in when a task is left with it. We supply one.</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The bridge we build is a formal correspondence, not a metaphor with felt experience. Sampling a token from a softmax is a random-utility choice with Gumbel-distributed shocks, and so it follows the logit rule of quantal response theory (McFadden, 1974; McKelvey &amp; Palfrey, 1995). We define effective decision temperature, Teff, as the temperature at which observed tokens are best explained by a clean-context reference valuation of the same task. Teff is identified only because the reference differs from the sampling distribution. Entropy describes concentration, while Teff describes whether concentrated choices track task value. Rigid failure is low entropy with elevated Teff.</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Four propositions follow, and we state the performance prediction conditionally rather than as a general law of temperature. Pressure raises Teff above the nominal sampling temperature. An inverted-U in accuracy appears only when an off-path attractor is sticky at low temperature and escapable at moderate temperature. Content contamination strengthens pressure when it sits near a dominant token. A context reset addresses context-level distortion but not a change in weights. State-contingent delegation is an implication of observable states, conditional on oversight capacity, reversibility, error costs, and alarm trust; it is not a tested finding.</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A four-stage illustration shows that the indicators can be computed. On synthetic logits, Teff separates from nominal temperature under pressure, and the inverted-U appears only for an attractor built to be sticky and escapable. On SmolLM2-135M-Instruct, the same rule reads next-token log-probabilities: pressure lifts Teff far above a nominal T = 0.15 and the model locks in to a repeated letter, but no accuracy inverted-U appears because the planted error is either absorbed or too sticky to escape. On Qwen2.5-3B-Instruct and 7B-Instruct, which solve the task, an off-path attractor of intermediate strength does produce an inverted-U, with its peak near T = 2 to 2.5, while contamination has no clear effect. The operational point is that a dashboard reporting only the decoding parameter misreads the agent’s decision state.</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For practice and policy, the note argues against taking a use statistic or a sampling hyperparameter as evidence that delegated work is under control. Incident playbooks that always reset, or that retrain whenever output looks wrong, do not match the source of the distortion. The broader discourse on generative-agent governance needs a state variable that can be estimated, along with a clear statement of what occupation-level or network claims would require. The note specifies those tests but does not claim to have run them.</w:t>
      </w:r>
    </w:p>
    <w:p>
      <w:pPr>
        <w:pStyle w:val="Heading1"/>
      </w:pPr>
      <w:r>
        <w:rPr>
          <w:rFonts w:ascii="Times New Roman" w:cs="Times New Roman" w:eastAsia="Times New Roman" w:hAnsi="Times New Roman"/>
          <w:b/>
          <w:bCs/>
          <w:i w:val="false"/>
          <w:iCs w:val="false"/>
          <w:color w:val="1F4E79"/>
          <w:sz w:val="26"/>
          <w:szCs w:val="26"/>
        </w:rPr>
        <w:t xml:space="preserve">Suggested Senior Editors</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The ScholarOne form asks for two preferred Senior Editors. Please nominate editors whose portfolios cover AI in organizations, digital artifacts, or IS design and governance, and avoid anyone at the authors’ institution or a recent coauthor. Replace the placeholders below before upload.</w:t>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Preferred SE 1: [name, affiliation, one-sentence fit].</w:t>
      </w:r>
    </w:p>
    <w:p>
      <w:pPr>
        <w:spacing w:after="200" w:before="0" w:line="276"/>
        <w:jc w:val="both"/>
      </w:pPr>
      <w:r>
        <w:rPr>
          <w:rFonts w:ascii="Times New Roman" w:cs="Times New Roman" w:eastAsia="Times New Roman" w:hAnsi="Times New Roman"/>
          <w:b w:val="false"/>
          <w:bCs w:val="false"/>
          <w:i w:val="false"/>
          <w:iCs w:val="false"/>
          <w:color w:val="000000"/>
          <w:sz w:val="22"/>
          <w:szCs w:val="22"/>
        </w:rPr>
        <w:t xml:space="preserve">Preferred SE 2: [name, affiliation, one-sentence fit].</w:t>
      </w:r>
    </w:p>
    <w:p>
      <w:pPr>
        <w:pStyle w:val="Heading1"/>
      </w:pPr>
      <w:r>
        <w:rPr>
          <w:rFonts w:ascii="Times New Roman" w:cs="Times New Roman" w:eastAsia="Times New Roman" w:hAnsi="Times New Roman"/>
          <w:b/>
          <w:bCs/>
          <w:i w:val="false"/>
          <w:iCs w:val="false"/>
          <w:color w:val="1F4E79"/>
          <w:sz w:val="26"/>
          <w:szCs w:val="26"/>
        </w:rPr>
        <w:t xml:space="preserve">Article type and certifications</w:t>
      </w:r>
    </w:p>
    <w:p>
      <w:pPr>
        <w:spacing w:after="200" w:before="0" w:line="276"/>
        <w:jc w:val="both"/>
      </w:pPr>
      <w:r>
        <w:rPr>
          <w:rFonts w:ascii="Times New Roman" w:cs="Times New Roman" w:eastAsia="Times New Roman" w:hAnsi="Times New Roman"/>
          <w:b w:val="false"/>
          <w:bCs w:val="false"/>
          <w:i w:val="false"/>
          <w:iCs w:val="false"/>
          <w:color w:val="000000"/>
          <w:sz w:val="22"/>
          <w:szCs w:val="22"/>
        </w:rPr>
        <w:t xml:space="preserve">Article type: Research Note. The manuscript is not a special-issue submission, has not previously been submitted to Information Systems Research, and is not under review elsewhere. Generative AI was used to help revise structure and prose; the authors reviewed the text, the reported cell means, and the code paths, and they take responsibility for the content. Code and cell-level files for the open-weight runs will be deposited on acceptance, or in an anonymized repository at submission if the office requires it. The clean-context reference must be recomputed on any rerun, since Teff estimated from the sampling logits recovers only nominal temperature.</w:t>
      </w:r>
    </w:p>
    <w:p>
      <w:pPr>
        <w:pStyle w:val="Heading1"/>
      </w:pPr>
      <w:r>
        <w:rPr>
          <w:rFonts w:ascii="Times New Roman" w:cs="Times New Roman" w:eastAsia="Times New Roman" w:hAnsi="Times New Roman"/>
          <w:b/>
          <w:bCs/>
          <w:i w:val="false"/>
          <w:iCs w:val="false"/>
          <w:color w:val="1F4E79"/>
          <w:sz w:val="26"/>
          <w:szCs w:val="26"/>
        </w:rPr>
        <w:t xml:space="preserve">What this revision deliberately does not claim</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An earlier draft framed the paper as a theory of multi-agent stability governance, with eight propositions and three design principles, and attached a 135M measurement note as illustration. That package asked Information Systems Research to accept untested network and delegation propositions as contributions. This version narrows the claim to the identification of Teff. It states the inverted-U as a boundary regime rather than a failed general law, replaces affective language with content contamination, and moves contagion and circuit breakers to an agenda table. The SmolLM2 alphabet task remains a measurement check and is not evidence about organizational delegation. We would rather have the note reviewed on that narrower claim than desk-rejected over a title the data cannot support.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b w:val="false"/>
        <w:bCs w:val="false"/>
        <w:i w:val="false"/>
        <w:iCs w:val="false"/>
        <w:color w:val="666666"/>
        <w:sz w:val="16"/>
        <w:szCs w:val="16"/>
      </w:rPr>
      <w:t xml:space="preserve">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120"/>
    </w:pPr>
    <w:r>
      <w:rPr>
        <w:rFonts w:ascii="Times New Roman" w:cs="Times New Roman" w:eastAsia="Times New Roman" w:hAnsi="Times New Roman"/>
        <w:b w:val="false"/>
        <w:bCs w:val="false"/>
        <w:i/>
        <w:iCs/>
        <w:color w:val="1F4E79"/>
        <w:sz w:val="18"/>
        <w:szCs w:val="18"/>
      </w:rPr>
      <w:t xml:space="preserve">Cover letter  ·  Information Systems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2026-10-04T22:43:59.350Z</dcterms:created>
  <dcterms:modified xsi:type="dcterms:W3CDTF">2026-10-04T22:43:59.350Z</dcterms:modified>
</cp:coreProperties>
</file>

<file path=docProps/custom.xml><?xml version="1.0" encoding="utf-8"?>
<Properties xmlns="http://schemas.openxmlformats.org/officeDocument/2006/custom-properties" xmlns:vt="http://schemas.openxmlformats.org/officeDocument/2006/docPropsVTypes"/>
</file>