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i w:val="false"/>
          <w:iCs w:val="false"/>
          <w:smallCaps/>
          <w:color w:val="1F4E79"/>
          <w:sz w:val="18"/>
          <w:szCs w:val="18"/>
        </w:rPr>
        <w:t xml:space="preserve">RESEARCH NOTE</w:t>
      </w:r>
    </w:p>
    <w:p>
      <w:pPr>
        <w:spacing w:after="200" w:before="40"/>
      </w:pPr>
      <w:r>
        <w:rPr>
          <w:rFonts w:ascii="Times New Roman" w:cs="Times New Roman" w:eastAsia="Times New Roman" w:hAnsi="Times New Roman"/>
          <w:b/>
          <w:bCs/>
          <w:i w:val="false"/>
          <w:iCs w:val="false"/>
          <w:smallCaps w:val="false"/>
          <w:color w:val="000000"/>
          <w:sz w:val="32"/>
          <w:szCs w:val="32"/>
        </w:rPr>
        <w:t xml:space="preserve">The Sampling Temperature Is Not the Decision State: Effective Decision Temperature and the Governance of LLM Agents</w:t>
      </w:r>
    </w:p>
    <w:p>
      <w:pPr>
        <w:spacing w:after="200" w:before="0" w:line="276"/>
        <w:jc w:val="both"/>
      </w:pPr>
      <w:r>
        <w:rPr>
          <w:rFonts w:ascii="Times New Roman" w:cs="Times New Roman" w:eastAsia="Times New Roman" w:hAnsi="Times New Roman"/>
          <w:b w:val="false"/>
          <w:bCs w:val="false"/>
          <w:i/>
          <w:iCs/>
          <w:smallCaps w:val="false"/>
          <w:color w:val="000000"/>
          <w:sz w:val="20"/>
          <w:szCs w:val="20"/>
        </w:rPr>
        <w:t xml:space="preserve">Prepared for </w:t>
      </w:r>
      <w:r>
        <w:rPr>
          <w:rFonts w:ascii="Times New Roman" w:cs="Times New Roman" w:eastAsia="Times New Roman" w:hAnsi="Times New Roman"/>
          <w:b w:val="false"/>
          <w:bCs w:val="false"/>
          <w:i/>
          <w:iCs/>
          <w:smallCaps w:val="false"/>
          <w:color w:val="000000"/>
          <w:sz w:val="20"/>
          <w:szCs w:val="20"/>
        </w:rPr>
        <w:t xml:space="preserve">Information Systems Research</w:t>
      </w:r>
      <w:r>
        <w:rPr>
          <w:rFonts w:ascii="Times New Roman" w:cs="Times New Roman" w:eastAsia="Times New Roman" w:hAnsi="Times New Roman"/>
          <w:b w:val="false"/>
          <w:bCs w:val="false"/>
          <w:i/>
          <w:iCs/>
          <w:smallCaps w:val="false"/>
          <w:color w:val="000000"/>
          <w:sz w:val="20"/>
          <w:szCs w:val="20"/>
        </w:rPr>
        <w:t xml:space="preserve">. Author identifiers are omitted for double-anonymous review. A contribution statement appears in the cover letter, as required since June 2023.</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Abstract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Organizations increasingly hand work to large language model (LLM) agents, yet they still treat failures as software defects, as though reliability were a fixed property of the code. For an autoregressive agent it often is not. Research on agentic artifacts theorizes delegation and the problems of autonomy, learning, and inscrutability, but lacks a construct for the decision state of a delegated task.</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Sampling a token from a softmax is a random-utility choice with Gumbel-distributed shocks and follows the logit rule of quantal response theory. Effective decision temperature, Teff, is the temperature at which observed tokens are best explained by a clean-context reference valuation of the same task. It recovers the nominal sampling temperature when context leaves valuations alone and rises when pressure warps logits away from task value. Entropy describes concentration; Teff describes whether concentrated choices track task value. Rigid instability is low entropy with elevated Teff. The construct makes no claim about machine experience.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Pressure raises Teff above the nominal temperature. An inverted-U between nominal temperature and accuracy appears only when an off-path attractor is sticky at low temperature and escapable at moderate temperature. Content contamination should strengthen pressure near a dominant token. A context reset addresses context-level distortion, not a change in weights. Contagion and state-contingent delegation are implications, not tests.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On synthetic logits, Teff separates from nominal temperature under pressure. On SmolLM2-135M-Instruct, pressure lifts Teff far above a nominal T = 0.15 and no inverted-U appears. On Qwen2.5-3B-Instruct and 7B-Instruct, which solve the task, a planted off-path letter of intermediate strength produces an inverted-U peaking near T = 2 to 2.5, a weak one does not, and contamination has no clear effect. A dashboard reporting only the decoding parameter misreads the agent’s decision state.</w:t>
      </w:r>
    </w:p>
    <w:p>
      <w:pPr>
        <w:spacing w:after="80" w:before="0" w:line="276"/>
        <w:jc w:val="both"/>
      </w:pPr>
      <w:r>
        <w:rPr>
          <w:rFonts w:ascii="Times New Roman" w:cs="Times New Roman" w:eastAsia="Times New Roman" w:hAnsi="Times New Roman"/>
          <w:b/>
          <w:bCs/>
          <w:i/>
          <w:iCs/>
          <w:smallCaps w:val="false"/>
          <w:color w:val="000000"/>
          <w:sz w:val="22"/>
          <w:szCs w:val="22"/>
        </w:rPr>
        <w:t xml:space="preserve">Keywords: </w:t>
      </w:r>
      <w:r>
        <w:rPr>
          <w:rFonts w:ascii="Times New Roman" w:cs="Times New Roman" w:eastAsia="Times New Roman" w:hAnsi="Times New Roman"/>
          <w:b w:val="false"/>
          <w:bCs w:val="false"/>
          <w:i/>
          <w:iCs/>
          <w:smallCaps w:val="false"/>
          <w:color w:val="000000"/>
          <w:sz w:val="22"/>
          <w:szCs w:val="22"/>
        </w:rPr>
        <w:t xml:space="preserve">agentic IS artifacts; large language models; bounded rationality; quantal response; effective decision temperature; AI governance; delegation</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1. Introduction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Organizations are shifting from using AI as a tool to delegating work to it. LLM agents draft text, triage requests, call tools, and pass intermediate artifacts to other agents, frequently with little human oversight. Information systems research has started to theorize this shift. Agentic IS artifacts act on behalf of people, who in turn delegate rights and responsibilities to them (Baird &amp; Maruping, 2021), and managing them is difficult because of their autonomy, learning, and inscrutability (Berente, Gu, Recker, &amp; Santhanam, 2021). Practice has not kept pace with this theory. When an error is found, a prompt gets patched or a model gets retrained, and the incident is closed. Behind that routine sits an assumption that the failure is an independent, stable property of the system.</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For an autoregressive agent, that assumption often breaks down. The same weights can perform well in one context and collapse in another. The collapse takes one of two recognizable forms: rigid lock-in to a repeated, erroneous continuation (Holtzman, Buys, Du, Forbes, &amp; Choi, 2020), or disorganized output whose choice distribution no longer follows the task. In a chain of agents, one agent’s output becomes the next agent’s input, so a local state can turn into someone else’s context. Current IS theory can tell an organization whether it may delegate a class of task. It cannot tell the organization whether the agent is, right now, in a state where that delegation is still warranted.</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Machine learning research measures the uncertainty of individual responses (Kadavath et al., 2022; Farquhar, Kossen, Kuhn, &amp; Gal, 2024) and catalogs multi-agent failures once they have occurred (Cemri et al., 2025). These streams can say that a particular output is unreliable, or classify a failure after the fact. They leave open why the same agent drifts between reliable and unreliable states, how that drift can be read from the choice rule the agent actually uses, and what an organization should monitor if it wants to step in before the output is already wrong. These are questions about decision-making and its governance.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We ask a narrower question than the phenomenon invites. How can an organization observe the decision state of an LLM agent, as distinct from the sampling temperature an operator sets, and what does that distinction mean for delegation? Our answer theorizes through a formal correspondence rather than an analogy with felt experience (Ketokivi, Mantere, &amp; Cornelissen, 2017). Drawing a token from a softmax is equivalent to adding Gumbel noise, scaled by temperature, to each logit and picking the largest (McFadden, 1974; McKelvey &amp; Palfrey, 1995). One parameter thus describes both the sampler and the noise in a boundedly rational choice. The correspondence is only as strong as the assumption that logits can be read as valuations, so we specify the reference that makes that reading identifiable. We do not claim that the agent has an affective state.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note makes three contributions. First, it brings the agent’s decision state into the governance of agentic IS artifacts, locating that state in a quantity, effective decision temperature, which is latent in human choice but can be estimated for an LLM once a clean-context reference is fixed. Second, it separates what the correspondence predicts from what it does not. Pressure and contamination should lift Teff above the nominal temperature, whereas an interior performance band in nominal temperature is a special case rather than a default, and we state the attractor condition at the outset. Third, it shows that the indicators can be computed both on the theory’s own choice rule and on the next-token log-probabilities of three pretrained open-weight models (135M, 3B, and 7B parameters), and it reports where the predictions hold and where they fail. Network contagion, circuit breakers, and state-contingent delegation are design implications of observable states. They form an agenda, not findings.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note proceeds as follows. Section 2 lays out the softmax identity and positions it against IS research on delegation and against existing uncertainty measures. Section 3 defines the constructs and four propositions. Section 4 reports the measurement illustration, Section 5 draws out the governance implication and its boundary conditions, and Section 6 sets out what would have to be shown before that implication could count as evidence.</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2. Theoretical Foundations</w:t>
      </w:r>
    </w:p>
    <w:p>
      <w:pPr>
        <w:pStyle w:val="Heading2"/>
        <w:spacing w:after="120" w:before="280"/>
      </w:pPr>
      <w:r>
        <w:rPr>
          <w:rFonts w:ascii="Times New Roman" w:cs="Times New Roman" w:eastAsia="Times New Roman" w:hAnsi="Times New Roman"/>
          <w:b/>
          <w:bCs/>
          <w:color w:val="1F4E79"/>
          <w:sz w:val="24"/>
          <w:szCs w:val="24"/>
        </w:rPr>
        <w:t xml:space="preserve">2.1 Delegation to an artifact whose behavior is state-dependent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Agentic IS artifacts differ from earlier information systems because they perceive, decide, and act with some autonomy (Baird &amp; Maruping, 2021). Governance therefore has to address not just whether they work but how they decide. Berente et al. (2021) name autonomy, learning, and inscrutability as the facets that make AI hard to manage, and each takes a state-dependent form in an LLM agent. With autonomy, a failure can run for many steps before anyone notices. With learning, whether through fine-tuning or the accumulation of context within a task, behavior can drift from the behavior on which the decision to delegate was based. With inscrutability, output quality is often the first sign of that drift.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Organizations typically decide once, on evidence of capability, whether to delegate a task. If behavior depends on an internal state that changes, that evidence is incomplete: the question is no longer only whether an agent can do a task but whether it is currently in a state to do it. Once agents are chained, the system also takes on the interactive complexity and tight coupling that Perrow (1984) identified as the roots of normal accidents. We use that point to motivate why a local state matters, though we do not test network transmission here.</w:t>
      </w:r>
    </w:p>
    <w:p>
      <w:pPr>
        <w:pStyle w:val="Heading2"/>
        <w:spacing w:after="120" w:before="280"/>
      </w:pPr>
      <w:r>
        <w:rPr>
          <w:rFonts w:ascii="Times New Roman" w:cs="Times New Roman" w:eastAsia="Times New Roman" w:hAnsi="Times New Roman"/>
          <w:b/>
          <w:bCs/>
          <w:color w:val="1F4E79"/>
          <w:sz w:val="24"/>
          <w:szCs w:val="24"/>
        </w:rPr>
        <w:t xml:space="preserve">2.2 The softmax identity</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Simon (1955) argued that decision-makers choose under limits of information and computation. Quantal response theory formalizes one such limit. Instead of always picking the best action, an agent picks action i with a probability that rises smoothly with its utility ui (McKelvey &amp; Palfrey, 1995). The standard form is the logit rule, with precision λ:</w:t>
      </w:r>
    </w:p>
    <w:p>
      <w:pPr>
        <w:spacing w:after="80" w:before="80"/>
        <w:jc w:val="center"/>
      </w:pPr>
      <w:r>
        <w:rPr>
          <w:rFonts w:ascii="Times New Roman" w:cs="Times New Roman" w:eastAsia="Times New Roman" w:hAnsi="Times New Roman"/>
          <w:b w:val="false"/>
          <w:bCs w:val="false"/>
          <w:i/>
          <w:iCs/>
          <w:smallCaps w:val="false"/>
          <w:color w:val="000000"/>
          <w:sz w:val="22"/>
          <w:szCs w:val="22"/>
        </w:rPr>
        <w:t xml:space="preserve">P(i) = exp(λ ui) / Σj exp(λ uj).</w:t>
      </w:r>
    </w:p>
    <w:p>
      <w:pPr>
        <w:spacing w:after="140" w:before="0"/>
        <w:jc w:val="center"/>
      </w:pPr>
      <w:r>
        <w:rPr>
          <w:rFonts w:ascii="Times New Roman" w:cs="Times New Roman" w:eastAsia="Times New Roman" w:hAnsi="Times New Roman"/>
          <w:b w:val="false"/>
          <w:bCs w:val="false"/>
          <w:i w:val="false"/>
          <w:iCs w:val="false"/>
          <w:smallCaps w:val="false"/>
          <w:color w:val="000000"/>
          <w:sz w:val="20"/>
          <w:szCs w:val="20"/>
        </w:rPr>
        <w:t xml:space="preserve">(1)</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An LLM chooses its next token using the same functional form. Given logits z over a vocabulary and a temperature T:</w:t>
      </w:r>
    </w:p>
    <w:p>
      <w:pPr>
        <w:spacing w:after="80" w:before="80"/>
        <w:jc w:val="center"/>
      </w:pPr>
      <w:r>
        <w:rPr>
          <w:rFonts w:ascii="Times New Roman" w:cs="Times New Roman" w:eastAsia="Times New Roman" w:hAnsi="Times New Roman"/>
          <w:b w:val="false"/>
          <w:bCs w:val="false"/>
          <w:i/>
          <w:iCs/>
          <w:smallCaps w:val="false"/>
          <w:color w:val="000000"/>
          <w:sz w:val="22"/>
          <w:szCs w:val="22"/>
        </w:rPr>
        <w:t xml:space="preserve">P(y) = exp(zy / T) / Σv exp(zv / T).</w:t>
      </w:r>
    </w:p>
    <w:p>
      <w:pPr>
        <w:spacing w:after="140" w:before="0"/>
        <w:jc w:val="center"/>
      </w:pPr>
      <w:r>
        <w:rPr>
          <w:rFonts w:ascii="Times New Roman" w:cs="Times New Roman" w:eastAsia="Times New Roman" w:hAnsi="Times New Roman"/>
          <w:b w:val="false"/>
          <w:bCs w:val="false"/>
          <w:i w:val="false"/>
          <w:iCs w:val="false"/>
          <w:smallCaps w:val="false"/>
          <w:color w:val="000000"/>
          <w:sz w:val="20"/>
          <w:szCs w:val="20"/>
        </w:rPr>
        <w:t xml:space="preserve">(2)</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Setting λ = 1/T makes the two rules identical in form. At low temperature the agent behaves almost like a deterministic maximizer; at high temperature its choice is barely guided by the logits. The uncertainty of a single choice is its entropy, H = −Σ pi log pi, which falls toward zero as T approaches zero and rises toward the log of the support as T grows. For an LLM agent both the distribution and the chosen token can be observed, and that observability is what allows a behavioral construct to become an operational one.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Sharing an equation does not by itself build a theoretical bridge. Two results give us reason to read the equation as a choice rule rather than a coincidence of functional forms. The first is that drawing a token from the softmax is equivalent to adding independent Gumbel noise, scaled by T, to each logit and taking the largest. This is the random-utility derivation of the logit (McFadden, 1974), and it makes temperature the scale of the random component, just as 1/λ is in quantal response theory. The second is that a language model fine-tuned under a penalty for departing from a reference policy converges to a policy whose log-probability ratio to that reference equals, up to a constant, a scaled reward (Rafailov et al., 2023). Under that training regime, log-probabilities carry value information in a precise sense.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Neither result turns logits into task utilities automatically. What they establish is that the logit rule is the right model of the sampling process, and that a valuation can be recovered once a reference is specified. Effective decision temperature rests on that second step. We make no claim about machine experience. Tokens can look like threat rigidity (Staw, Sandelands, &amp; Dutton, 1981) or a collapse of sensemaking (Weick, 1993) without the agent having either, and resemblance to human behavior may simply be role play (Shanahan, McDonell, &amp; Reynolds, 2023). All the theory claims is that the same decision parameter describes a distortion of choice relative to a stated reference, and we treat that as something to estimate rather than assume.</w:t>
      </w:r>
    </w:p>
    <w:p>
      <w:pPr>
        <w:pStyle w:val="Heading2"/>
        <w:spacing w:after="120" w:before="280"/>
      </w:pPr>
      <w:r>
        <w:rPr>
          <w:rFonts w:ascii="Times New Roman" w:cs="Times New Roman" w:eastAsia="Times New Roman" w:hAnsi="Times New Roman"/>
          <w:b/>
          <w:bCs/>
          <w:color w:val="1F4E79"/>
          <w:sz w:val="24"/>
          <w:szCs w:val="24"/>
        </w:rPr>
        <w:t xml:space="preserve">2.3 What uncertainty measures do not identify</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Models are partly able to judge whether they know an answer (Kadavath et al., 2022), and semantic entropy detects one class of hallucinations (Kuhn, Gal, &amp; Farquhar, 2023; Farquhar et al., 2024). Failure taxonomies, for their part, classify specification faults, inter-agent misalignment, and weak verification after the fact (Cemri et al., 2025). We use token entropy as an indicator but do not treat it as a decision state. Entropy describes concentration; it does not say whether the concentrated mass sits on task value. A greedy loop and a correct greedy solution can have similar entropy. Teff is the quantity that tells them apart, and only relative to a reference that was not used to generate the choices. If Teff is estimated from the same logits that produced the sample, it recovers the nominal temperature by construction and carries no information.</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3. Constructs and Propositions</w:t>
      </w:r>
    </w:p>
    <w:p>
      <w:pPr>
        <w:pStyle w:val="Heading2"/>
        <w:spacing w:after="120" w:before="280"/>
      </w:pPr>
      <w:r>
        <w:rPr>
          <w:rFonts w:ascii="Times New Roman" w:cs="Times New Roman" w:eastAsia="Times New Roman" w:hAnsi="Times New Roman"/>
          <w:b/>
          <w:bCs/>
          <w:color w:val="1F4E79"/>
          <w:sz w:val="24"/>
          <w:szCs w:val="24"/>
        </w:rPr>
        <w:t xml:space="preserve">3.1 Effective decision temperature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Table 1 defines four constructs. We do not treat contagion as a construct in this note, because it follows from coupling. Section 5 discusses it as an implication, not as a measured object.</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1.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cantSplit/>
          <w:tblHeader/>
        </w:trPr>
        <w:tc>
          <w:tcPr>
            <w:tcW w:type="dxa" w:w="22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Construct</w:t>
            </w:r>
          </w:p>
        </w:tc>
        <w:tc>
          <w:tcPr>
            <w:tcW w:type="dxa" w:w="368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Definition</w:t>
            </w:r>
          </w:p>
        </w:tc>
        <w:tc>
          <w:tcPr>
            <w:tcW w:type="dxa" w:w="348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Indicator</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Contextual pressure</w:t>
            </w:r>
          </w:p>
        </w:tc>
        <w:tc>
          <w:tcPr>
            <w:tcW w:type="dxa" w:w="36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Inputs impose mutually unsatisfiable demands, penalties, or constraints.</w:t>
            </w:r>
          </w:p>
        </w:tc>
        <w:tc>
          <w:tcPr>
            <w:tcW w:type="dxa" w:w="34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Count or rating of contradictions in the prompt, fixed before output.</w:t>
            </w:r>
          </w:p>
        </w:tc>
      </w:tr>
      <w:tr>
        <w:trPr>
          <w:cantSplit/>
          <w:tblHeader w:val="false"/>
        </w:trPr>
        <w:tc>
          <w:tcPr>
            <w:tcW w:type="dxa" w:w="22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Content contamination</w:t>
            </w:r>
          </w:p>
        </w:tc>
        <w:tc>
          <w:tcPr>
            <w:tcW w:type="dxa" w:w="36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Negatively valenced or defensive content in the current context, or, separately, in the weights.</w:t>
            </w:r>
          </w:p>
        </w:tc>
        <w:tc>
          <w:tcPr>
            <w:tcW w:type="dxa" w:w="34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Share of such content; for weights, distance from a reference model. Not an affective state.</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Effective decision temperature (Teff)</w:t>
            </w:r>
          </w:p>
        </w:tc>
        <w:tc>
          <w:tcPr>
            <w:tcW w:type="dxa" w:w="36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Temperature at which observed tokens are best explained by a clean-context reference valuation.</w:t>
            </w:r>
          </w:p>
        </w:tc>
        <w:tc>
          <w:tcPr>
            <w:tcW w:type="dxa" w:w="34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Maximum-likelihood T given reference logits vt. Report with the log-likelihood of the fit.</w:t>
            </w:r>
          </w:p>
        </w:tc>
      </w:tr>
      <w:tr>
        <w:trPr>
          <w:cantSplit/>
          <w:tblHeader w:val="false"/>
        </w:trPr>
        <w:tc>
          <w:tcPr>
            <w:tcW w:type="dxa" w:w="22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Agent instability</w:t>
            </w:r>
          </w:p>
        </w:tc>
        <w:tc>
          <w:tcPr>
            <w:tcW w:type="dxa" w:w="36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Output leaves its functional band: rigid (low-entropy lock-in off the task) or chaotic (high-entropy incoherence).</w:t>
            </w:r>
          </w:p>
        </w:tc>
        <w:tc>
          <w:tcPr>
            <w:tcW w:type="dxa" w:w="34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Token entropy, repetition, lock-in to a planted token, coherence with the reference path.</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Notes. Content contamination replaces affective contamination. It refers to the valence of the content being processed, not to an internal emotion. Teff is identified only through a reference that is not the sampling distribution.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Formally,</w:t>
      </w:r>
    </w:p>
    <w:p>
      <w:pPr>
        <w:spacing w:after="80" w:before="80"/>
        <w:jc w:val="center"/>
      </w:pPr>
      <w:r>
        <w:rPr>
          <w:rFonts w:ascii="Times New Roman" w:cs="Times New Roman" w:eastAsia="Times New Roman" w:hAnsi="Times New Roman"/>
          <w:b w:val="false"/>
          <w:bCs w:val="false"/>
          <w:i/>
          <w:iCs/>
          <w:smallCaps w:val="false"/>
          <w:color w:val="000000"/>
          <w:sz w:val="22"/>
          <w:szCs w:val="22"/>
        </w:rPr>
        <w:t xml:space="preserve">Teff = arg min over T of  − Σt log pref(yt | vt, T),</w:t>
      </w:r>
    </w:p>
    <w:p>
      <w:pPr>
        <w:spacing w:after="140" w:before="0"/>
        <w:jc w:val="center"/>
      </w:pPr>
      <w:r>
        <w:rPr>
          <w:rFonts w:ascii="Times New Roman" w:cs="Times New Roman" w:eastAsia="Times New Roman" w:hAnsi="Times New Roman"/>
          <w:b w:val="false"/>
          <w:bCs w:val="false"/>
          <w:i w:val="false"/>
          <w:iCs w:val="false"/>
          <w:smallCaps w:val="false"/>
          <w:color w:val="000000"/>
          <w:sz w:val="20"/>
          <w:szCs w:val="20"/>
        </w:rPr>
        <w:t xml:space="preserve">(3)</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where yt is the token chosen at step t and pref is the softmax probability of that token when the model’s logits are replaced by a reference valuation vt. We define vt as the logits the same model produces at step t on the same task and history once the pressure and contamination text has been removed. This counterfactual is easy to build in an experiment and can be approximated in an instrumented deployment. Two alternatives answer different questions: the log-probabilities of an unmodified reference model isolate parameter-level change, and an external verifier isolates task value wherever a scoring rule exists. Under this definition, Teff departs from nominal T exactly when context changes valuations relative to the reference, and a functioning agent has Teff near the nominal temperature. Because Teff captures only scale, a poor log-likelihood means that no temperature rationalizes the choices, which is itself a signal about state.</w:t>
      </w:r>
    </w:p>
    <w:p>
      <w:pPr>
        <w:pStyle w:val="Heading2"/>
        <w:spacing w:after="120" w:before="280"/>
      </w:pPr>
      <w:r>
        <w:rPr>
          <w:rFonts w:ascii="Times New Roman" w:cs="Times New Roman" w:eastAsia="Times New Roman" w:hAnsi="Times New Roman"/>
          <w:b/>
          <w:bCs/>
          <w:color w:val="1F4E79"/>
          <w:sz w:val="24"/>
          <w:szCs w:val="24"/>
        </w:rPr>
        <w:t xml:space="preserve">3.2 Propositions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Contextual pressure is a property of the input and is fixed before any output; instability is a property of the output. The proposition is therefore not true by definition. Contradictory demands leave no continuation that satisfies the whole context, so probability mass either piles onto a few locally attractive tokens or spreads across incompatible ones. Either way, choices follow the clean-context valuation less closely than the sampling temperature would imply.</w:t>
      </w:r>
    </w:p>
    <w:p>
      <w:pPr>
        <w:spacing w:after="160" w:before="0" w:line="276"/>
        <w:jc w:val="both"/>
      </w:pPr>
      <w:r>
        <w:rPr>
          <w:rFonts w:ascii="Times New Roman" w:cs="Times New Roman" w:eastAsia="Times New Roman" w:hAnsi="Times New Roman"/>
          <w:b/>
          <w:bCs/>
          <w:i/>
          <w:iCs/>
          <w:smallCaps w:val="false"/>
          <w:color w:val="000000"/>
          <w:sz w:val="22"/>
          <w:szCs w:val="22"/>
        </w:rPr>
        <w:t xml:space="preserve">Proposition 1. </w:t>
      </w:r>
      <w:r>
        <w:rPr>
          <w:rFonts w:ascii="Times New Roman" w:cs="Times New Roman" w:eastAsia="Times New Roman" w:hAnsi="Times New Roman"/>
          <w:b w:val="false"/>
          <w:bCs w:val="false"/>
          <w:i/>
          <w:iCs/>
          <w:smallCaps w:val="false"/>
          <w:color w:val="000000"/>
          <w:sz w:val="22"/>
          <w:szCs w:val="22"/>
        </w:rPr>
        <w:t xml:space="preserve">Contextual pressure increases agent instability by raising effective decision temperature above the nominal sampling temperature.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Bounded rationality does not imply that performance is always interior in temperature. An inverted-U appears only when three task conditions hold together. First, the agent can start on the correct path at low T, so accuracy is not already at the floor. Second, an early off-path token is written back into the context and warps the next logits. Third, the resulting attractor is sticky enough that greedy decoding cannot leave it, yet leaky enough that moderate noise can. With no attractor, a greedy agent that starts on-path stays on-path, and accuracy falls as T rises. If the attractor is too weak, low T absorbs the error; if it is too strong, mid-range T cannot recover. These regimes are the proposition.</w:t>
      </w:r>
    </w:p>
    <w:p>
      <w:pPr>
        <w:spacing w:after="160" w:before="0" w:line="276"/>
        <w:jc w:val="both"/>
      </w:pPr>
      <w:r>
        <w:rPr>
          <w:rFonts w:ascii="Times New Roman" w:cs="Times New Roman" w:eastAsia="Times New Roman" w:hAnsi="Times New Roman"/>
          <w:b/>
          <w:bCs/>
          <w:i/>
          <w:iCs/>
          <w:smallCaps w:val="false"/>
          <w:color w:val="000000"/>
          <w:sz w:val="22"/>
          <w:szCs w:val="22"/>
        </w:rPr>
        <w:t xml:space="preserve">Proposition 2. </w:t>
      </w:r>
      <w:r>
        <w:rPr>
          <w:rFonts w:ascii="Times New Roman" w:cs="Times New Roman" w:eastAsia="Times New Roman" w:hAnsi="Times New Roman"/>
          <w:b w:val="false"/>
          <w:bCs w:val="false"/>
          <w:i/>
          <w:iCs/>
          <w:smallCaps w:val="false"/>
          <w:color w:val="000000"/>
          <w:sz w:val="22"/>
          <w:szCs w:val="22"/>
        </w:rPr>
        <w:t xml:space="preserve">On compounding tasks that the agent can solve, and only when an off-path attractor is sticky at low T and escapable at moderate T, the relationship between nominal temperature and task performance is inverted-U shaped. Absent an attractor, or given an attractor that is too weak or too strong, accuracy does not have an interior peak. Teff and rigidity can still move.</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2. Boundary regimes for Proposition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cantSplit/>
          <w:tblHeader/>
        </w:trPr>
        <w:tc>
          <w:tcPr>
            <w:tcW w:type="dxa" w:w="2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Regime</w:t>
            </w:r>
          </w:p>
        </w:tc>
        <w:tc>
          <w:tcPr>
            <w:tcW w:type="dxa" w:w="242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Starts on-path?</w:t>
            </w:r>
          </w:p>
        </w:tc>
        <w:tc>
          <w:tcPr>
            <w:tcW w:type="dxa" w:w="242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Attractor</w:t>
            </w:r>
          </w:p>
        </w:tc>
        <w:tc>
          <w:tcPr>
            <w:tcW w:type="dxa" w:w="242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Accuracy vs. T</w:t>
            </w:r>
          </w:p>
        </w:tc>
      </w:tr>
      <w:tr>
        <w:trPr>
          <w:cantSplit/>
          <w:tblHeader w:val="false"/>
        </w:trPr>
        <w:tc>
          <w:tcPr>
            <w:tcW w:type="dxa" w:w="2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No attractor</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None</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Monotone decline</w:t>
            </w:r>
          </w:p>
        </w:tc>
      </w:tr>
      <w:tr>
        <w:trPr>
          <w:cantSplit/>
          <w:tblHeader w:val="false"/>
        </w:trPr>
        <w:tc>
          <w:tcPr>
            <w:tcW w:type="dxa" w:w="21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Weak</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Absorbed at low T</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Near-monotone; error repaired</w:t>
            </w:r>
          </w:p>
        </w:tc>
      </w:tr>
      <w:tr>
        <w:trPr>
          <w:cantSplit/>
          <w:tblHeader w:val="false"/>
        </w:trPr>
        <w:tc>
          <w:tcPr>
            <w:tcW w:type="dxa" w:w="2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Sticky, escapable</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Locks at low T, leaks at mid T</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Inverted-U</w:t>
            </w:r>
          </w:p>
        </w:tc>
      </w:tr>
      <w:tr>
        <w:trPr>
          <w:cantSplit/>
          <w:tblHeader w:val="false"/>
        </w:trPr>
        <w:tc>
          <w:tcPr>
            <w:tcW w:type="dxa" w:w="21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Too strong</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 then knocked off</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Locks across mid T</w:t>
            </w:r>
          </w:p>
        </w:tc>
        <w:tc>
          <w:tcPr>
            <w:tcW w:type="dxa" w:w="242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Floor; no interior peak</w:t>
            </w:r>
          </w:p>
        </w:tc>
      </w:tr>
      <w:tr>
        <w:trPr>
          <w:cantSplit/>
          <w:tblHeader w:val="false"/>
        </w:trPr>
        <w:tc>
          <w:tcPr>
            <w:tcW w:type="dxa" w:w="2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Unsolvable</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Irrelevant</w:t>
            </w:r>
          </w:p>
        </w:tc>
        <w:tc>
          <w:tcPr>
            <w:tcW w:type="dxa" w:w="242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Accuracy uninformative</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The inverted-U is the third row, not the default. We state Proposition 2 with these regimes built in rather than qualifying it after a failed test.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Negative content changes which continuations look locally attractive. On its own it can tilt phrasing without collapsing the policy. Under pressure, though, that tilt supplies the dominant token onto which a narrowing distribution can lock. We would expect the interaction to be stronger when the contaminated content is close to a dominant token (a repeated letter, a refusal, an apology) than when it is diffuse sentiment.</w:t>
      </w:r>
    </w:p>
    <w:p>
      <w:pPr>
        <w:spacing w:after="160" w:before="0" w:line="276"/>
        <w:jc w:val="both"/>
      </w:pPr>
      <w:r>
        <w:rPr>
          <w:rFonts w:ascii="Times New Roman" w:cs="Times New Roman" w:eastAsia="Times New Roman" w:hAnsi="Times New Roman"/>
          <w:b/>
          <w:bCs/>
          <w:i/>
          <w:iCs/>
          <w:smallCaps w:val="false"/>
          <w:color w:val="000000"/>
          <w:sz w:val="22"/>
          <w:szCs w:val="22"/>
        </w:rPr>
        <w:t xml:space="preserve">Proposition 3. </w:t>
      </w:r>
      <w:r>
        <w:rPr>
          <w:rFonts w:ascii="Times New Roman" w:cs="Times New Roman" w:eastAsia="Times New Roman" w:hAnsi="Times New Roman"/>
          <w:b w:val="false"/>
          <w:bCs w:val="false"/>
          <w:i/>
          <w:iCs/>
          <w:smallCaps w:val="false"/>
          <w:color w:val="000000"/>
          <w:sz w:val="22"/>
          <w:szCs w:val="22"/>
        </w:rPr>
        <w:t xml:space="preserve">Content contamination strengthens the effect of contextual pressure on instability. The strengthening is greater when the contaminated content is close to a dominant response than when it is diffuse negative valence.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source of the distortion determines whether an intervention can work. Context-level contamination is a property of what the agent is reading, so clearing the window or reframing the request changes that reading and should bring Teff back toward the clean-context reference. Parameter-level contamination is a property of the weights. There the same linguistic intervention changes only the prompt, not the valuation that the prompt is projected onto.</w:t>
      </w:r>
    </w:p>
    <w:p>
      <w:pPr>
        <w:spacing w:after="160" w:before="0" w:line="276"/>
        <w:jc w:val="both"/>
      </w:pPr>
      <w:r>
        <w:rPr>
          <w:rFonts w:ascii="Times New Roman" w:cs="Times New Roman" w:eastAsia="Times New Roman" w:hAnsi="Times New Roman"/>
          <w:b/>
          <w:bCs/>
          <w:i/>
          <w:iCs/>
          <w:smallCaps w:val="false"/>
          <w:color w:val="000000"/>
          <w:sz w:val="22"/>
          <w:szCs w:val="22"/>
        </w:rPr>
        <w:t xml:space="preserve">Proposition 4. </w:t>
      </w:r>
      <w:r>
        <w:rPr>
          <w:rFonts w:ascii="Times New Roman" w:cs="Times New Roman" w:eastAsia="Times New Roman" w:hAnsi="Times New Roman"/>
          <w:b w:val="false"/>
          <w:bCs w:val="false"/>
          <w:i/>
          <w:iCs/>
          <w:smallCaps w:val="false"/>
          <w:color w:val="000000"/>
          <w:sz w:val="22"/>
          <w:szCs w:val="22"/>
        </w:rPr>
        <w:t xml:space="preserve">Instability from context-level contamination is reduced by a context reset or a reframe. Instability from parameter-level contamination persists after both and requires a change in weights.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We state no propositions on early-warning autocorrelation, network contagion, circuit breakers, or the organizational cost of state-contingent delegation, since each would need a design that this note does not run. Section 5 records them as implications that inherit the identification conditions above.</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4. Measurement Illustration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identity between softmax sampling and the logit rule makes the constructs computable, but it does not turn a synthetic agent into a test of the theory. We report four stages. Stage 1 implements the choice rule on logits we specify ourselves, so that the indicators can be read off a known process. Stage 2 applies the same measurement rule to HuggingFaceTB/SmolLM2-135M-Instruct, run in full precision on a CPU machine with no GPU and 1.9 GB of RAM, which ruled out larger models. Stage 3 repeats the test on Qwen2.5-3B-Instruct, run in bfloat16 on a different CPU machine with 15 GB of RAM, on a task that this model solves, to see whether the inverted-U of Proposition 2 appears when the agent starts on-path. Stage 1 shows that the indicators register distortions built into the logits. Stage 2 shows that they can be computed from real log-probabilities and that they separate under pressure, and that no inverted-U appears on the small model. Stage 3 shows an inverted-U on the larger model for attractors of intermediate strength. Stage 4 repeats Stage 3 on a 7B model with a different inference stack. None of the stages confirms the propositions as general claims.</w:t>
      </w:r>
    </w:p>
    <w:p>
      <w:pPr>
        <w:pStyle w:val="Heading2"/>
        <w:spacing w:after="120" w:before="280"/>
      </w:pPr>
      <w:r>
        <w:rPr>
          <w:rFonts w:ascii="Times New Roman" w:cs="Times New Roman" w:eastAsia="Times New Roman" w:hAnsi="Times New Roman"/>
          <w:b/>
          <w:bCs/>
          <w:color w:val="1F4E79"/>
          <w:sz w:val="24"/>
          <w:szCs w:val="24"/>
        </w:rPr>
        <w:t xml:space="preserve">4.1 Stage 1: known logits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A 16-action softmax agent followed P(i) = softmax(z / T). Task utilities favored a five-step cycle. Pressure added a mutually unsatisfiable second cycle, and contamination lifted defensive tokens and reinforced them once chosen. At step 2 we injected a one-step false premise, and each chosen action became the next state. The design crossed pressure, contamination, and twelve temperatures from 0.15 to 3.00, with 50 replications of a 24-step horizon (N = 2,400). Teff used the uncontaminated task utilities as the reference. The directional gaps in Table 3 follow from the design, so we report no significance tests. What is informative is how far Teff separates from nominal T and the task condition under which an inverted-U appears.</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3. Synthetic agent at nominal T = 0.93 (50 replications).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cantSplit/>
          <w:tblHeader/>
        </w:trPr>
        <w:tc>
          <w:tcPr>
            <w:tcW w:type="dxa" w:w="28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Condition</w:t>
            </w:r>
          </w:p>
        </w:tc>
        <w:tc>
          <w:tcPr>
            <w:tcW w:type="dxa" w:w="164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P(instability)</w:t>
            </w:r>
          </w:p>
        </w:tc>
        <w:tc>
          <w:tcPr>
            <w:tcW w:type="dxa" w:w="164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Accuracy</w:t>
            </w:r>
          </w:p>
        </w:tc>
        <w:tc>
          <w:tcPr>
            <w:tcW w:type="dxa" w:w="164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Entropy</w:t>
            </w:r>
          </w:p>
        </w:tc>
        <w:tc>
          <w:tcPr>
            <w:tcW w:type="dxa" w:w="164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w:t>
            </w:r>
          </w:p>
        </w:tc>
      </w:tr>
      <w:tr>
        <w:trPr>
          <w:cantSplit/>
          <w:tblHeader w:val="false"/>
        </w:trPr>
        <w:tc>
          <w:tcPr>
            <w:tcW w:type="dxa" w:w="2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Neutral / clean</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0.97</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0.89</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0.91</w:t>
            </w:r>
          </w:p>
        </w:tc>
      </w:tr>
      <w:tr>
        <w:trPr>
          <w:cantSplit/>
          <w:tblHeader w:val="false"/>
        </w:trPr>
        <w:tc>
          <w:tcPr>
            <w:tcW w:type="dxa" w:w="28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Neutral / contaminated</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0.90</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1.14</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1.06</w:t>
            </w:r>
          </w:p>
        </w:tc>
      </w:tr>
      <w:tr>
        <w:trPr>
          <w:cantSplit/>
          <w:tblHeader w:val="false"/>
        </w:trPr>
        <w:tc>
          <w:tcPr>
            <w:tcW w:type="dxa" w:w="2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 clean</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0.38</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0.48</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1.48</w:t>
            </w:r>
          </w:p>
        </w:tc>
        <w:tc>
          <w:tcPr>
            <w:tcW w:type="dxa" w:w="164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2.49</w:t>
            </w:r>
          </w:p>
        </w:tc>
      </w:tr>
      <w:tr>
        <w:trPr>
          <w:cantSplit/>
          <w:tblHeader w:val="false"/>
        </w:trPr>
        <w:tc>
          <w:tcPr>
            <w:tcW w:type="dxa" w:w="28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 contaminated</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0.58</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0.38</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1.61</w:t>
            </w:r>
          </w:p>
        </w:tc>
        <w:tc>
          <w:tcPr>
            <w:tcW w:type="dxa" w:w="164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3.37</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Instability flags low entropy with poor coherence or repetition, or high entropy with poor coherence. The gaps follow from the design.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In the neutral, uncontaminated cell, accuracy is essentially perfect at low T and declines as T rises. No inverted-U appears, because a greedy agent that starts on-path has nothing to escape. Under joint pressure and contamination, accuracy is 0.18 at T = 0.15, rises to 0.37 at T = 0.67, and falls toward chance at high T. This is the third row of Table 2, and it appears because we specified the attractor to be sticky at low T and leaky at mid T. With neutral, clean prompts, Teff tracks nominal T. When pressure and contamination warp the logits away from task value, Teff lies above the diagonal. The rise at the lowest nominal temperatures is the signature of rigid instability: the agent’s own distribution is concentrated, but on tokens the reference does not favor.</w:t>
      </w:r>
    </w:p>
    <w:p>
      <w:pPr>
        <w:pStyle w:val="Heading2"/>
        <w:spacing w:after="120" w:before="280"/>
      </w:pPr>
      <w:r>
        <w:rPr>
          <w:rFonts w:ascii="Times New Roman" w:cs="Times New Roman" w:eastAsia="Times New Roman" w:hAnsi="Times New Roman"/>
          <w:b/>
          <w:bCs/>
          <w:color w:val="1F4E79"/>
          <w:sz w:val="24"/>
          <w:szCs w:val="24"/>
        </w:rPr>
        <w:t xml:space="preserve">4.2 Stage 2: open-weight log-probabilities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Stage 2 asks whether entropy, Teff, and lock-in can be read from a pretrained model, and what a valid test of Proposition 2 would require of the task. For a fixed action set, we read next-token log-probabilities z and sample from softmax(z / T). Teff is the maximum-likelihood temperature that rationalizes the observed sequence when the reference is the same model’s clean-context scores, with the pressure and contamination text removed. Estimating Teff from the sampling logits would recover only nominal T.</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4. Open-weight experiments. All runs use SmolLM2-135M-Instruct.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cantSplit/>
          <w:tblHeader/>
        </w:trPr>
        <w:tc>
          <w:tcPr>
            <w:tcW w:type="dxa" w:w="22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Item</w:t>
            </w:r>
          </w:p>
        </w:tc>
        <w:tc>
          <w:tcPr>
            <w:tcW w:type="dxa" w:w="2387"/>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Experiment 1</w:t>
            </w:r>
          </w:p>
        </w:tc>
        <w:tc>
          <w:tcPr>
            <w:tcW w:type="dxa" w:w="2387"/>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Experiment 2</w:t>
            </w:r>
          </w:p>
        </w:tc>
        <w:tc>
          <w:tcPr>
            <w:tcW w:type="dxa" w:w="2386"/>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Experiment 3</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Task</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16-action order policy</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Sequence A B C → D E F G H</w:t>
            </w:r>
          </w:p>
        </w:tc>
        <w:tc>
          <w:tcPr>
            <w:tcW w:type="dxa" w:w="2386"/>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Same as Experiment 2</w:t>
            </w:r>
          </w:p>
        </w:tc>
      </w:tr>
      <w:tr>
        <w:trPr>
          <w:cantSplit/>
          <w:tblHeader w:val="false"/>
        </w:trPr>
        <w:tc>
          <w:tcPr>
            <w:tcW w:type="dxa" w:w="22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Solvable at low T?</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 (clean acc ≈ 0.10)</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 (clean acc = 1.00)</w:t>
            </w:r>
          </w:p>
        </w:tc>
        <w:tc>
          <w:tcPr>
            <w:tcW w:type="dxa" w:w="2386"/>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Yes; X absorbed</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Trajectories</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144 (two cells missing)</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480</w:t>
            </w:r>
          </w:p>
        </w:tc>
        <w:tc>
          <w:tcPr>
            <w:tcW w:type="dxa" w:w="2386"/>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240</w:t>
            </w:r>
          </w:p>
        </w:tc>
      </w:tr>
      <w:tr>
        <w:trPr>
          <w:cantSplit/>
          <w:tblHeader w:val="false"/>
        </w:trPr>
        <w:tc>
          <w:tcPr>
            <w:tcW w:type="dxa" w:w="22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Planted token</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Out-of-stock note</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A at step 2, warped cells</w:t>
            </w:r>
          </w:p>
        </w:tc>
        <w:tc>
          <w:tcPr>
            <w:tcW w:type="dxa" w:w="2386"/>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X at step 2, all compounding runs</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Accuracy inverted-U</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 (floor)</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 (no recovery)</w:t>
            </w:r>
          </w:p>
        </w:tc>
        <w:tc>
          <w:tcPr>
            <w:tcW w:type="dxa" w:w="2386"/>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 (X too weak)</w:t>
            </w:r>
          </w:p>
        </w:tc>
      </w:tr>
      <w:tr>
        <w:trPr>
          <w:cantSplit/>
          <w:tblHeader w:val="false"/>
        </w:trPr>
        <w:tc>
          <w:tcPr>
            <w:tcW w:type="dxa" w:w="22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Teff separation</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Partial</w:t>
            </w:r>
          </w:p>
        </w:tc>
        <w:tc>
          <w:tcPr>
            <w:tcW w:type="dxa" w:w="2387"/>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Large</w:t>
            </w:r>
          </w:p>
        </w:tc>
        <w:tc>
          <w:tcPr>
            <w:tcW w:type="dxa" w:w="2386"/>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Large</w:t>
            </w:r>
          </w:p>
        </w:tc>
      </w:tr>
      <w:tr>
        <w:trPr>
          <w:cantSplit/>
          <w:tblHeader w:val="false"/>
        </w:trPr>
        <w:tc>
          <w:tcPr>
            <w:tcW w:type="dxa" w:w="22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Low-T rigidity</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Partial</w:t>
            </w:r>
          </w:p>
        </w:tc>
        <w:tc>
          <w:tcPr>
            <w:tcW w:type="dxa" w:w="2387"/>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lock-in to A = 1.00 under pressure</w:t>
            </w:r>
          </w:p>
        </w:tc>
        <w:tc>
          <w:tcPr>
            <w:tcW w:type="dxa" w:w="2386"/>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lock-in to A = 0.98 under pressure</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Experiment 1 is a measurement check only. Accuracy cannot identify Proposition 2 on a task the model does not solve.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Experiment 1 mapped a fulfillment policy onto letter codes. The 135M model almost never carries out the policy when prompts are clean, so accuracy stays between 0.04 and 0.21. Under joint pressure and contamination, Teff still rises above nominal T (0.59 against T = 0.3; 2.82 against T = 1.0). Since the model never starts on-path, Proposition 2 should not be read from this series; it falls in the last row of Table 2.</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Experiment 2 uses raw continuation. The correct continuation of the prefix “Sequence A B C” is D E F G H, and a probe shows that D is the next-letter mode, so accuracy of 1.0 is possible at low T when prompts are clean. In the compounding condition, the sampled letter is written back into the prefix; in the non-compounding condition, the prefix is reset to the gold continuation after every step. Warped cells plant A at step 2. The design yields 4 × 2 × 6 × 10 = 480 trajectories.</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5. Experiment 2, clean prompts. Compounding versus non-compounding.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cantSplit/>
          <w:tblHeader/>
        </w:trPr>
        <w:tc>
          <w:tcPr>
            <w:tcW w:type="dxa" w:w="156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w:t>
            </w:r>
          </w:p>
        </w:tc>
        <w:tc>
          <w:tcPr>
            <w:tcW w:type="dxa" w:w="195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Comp. accuracy</w:t>
            </w:r>
          </w:p>
        </w:tc>
        <w:tc>
          <w:tcPr>
            <w:tcW w:type="dxa" w:w="195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Non-comp. accuracy</w:t>
            </w:r>
          </w:p>
        </w:tc>
        <w:tc>
          <w:tcPr>
            <w:tcW w:type="dxa" w:w="195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Comp. Teff</w:t>
            </w:r>
          </w:p>
        </w:tc>
        <w:tc>
          <w:tcPr>
            <w:tcW w:type="dxa" w:w="195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Non-comp. Teff</w:t>
            </w:r>
          </w:p>
        </w:tc>
      </w:tr>
      <w:tr>
        <w:trPr>
          <w:cantSplit/>
          <w:tblHeader w:val="false"/>
        </w:trPr>
        <w:tc>
          <w:tcPr>
            <w:tcW w:type="dxa" w:w="15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r>
      <w:tr>
        <w:trPr>
          <w:cantSplit/>
          <w:tblHeader w:val="false"/>
        </w:trPr>
        <w:tc>
          <w:tcPr>
            <w:tcW w:type="dxa" w:w="156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0.40</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r>
      <w:tr>
        <w:trPr>
          <w:cantSplit/>
          <w:tblHeader w:val="false"/>
        </w:trPr>
        <w:tc>
          <w:tcPr>
            <w:tcW w:type="dxa" w:w="15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r>
      <w:tr>
        <w:trPr>
          <w:cantSplit/>
          <w:tblHeader w:val="false"/>
        </w:trPr>
        <w:tc>
          <w:tcPr>
            <w:tcW w:type="dxa" w:w="156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1.20</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0.72</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1.65</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0.21</w:t>
            </w:r>
          </w:p>
        </w:tc>
      </w:tr>
      <w:tr>
        <w:trPr>
          <w:cantSplit/>
          <w:tblHeader w:val="false"/>
        </w:trPr>
        <w:tc>
          <w:tcPr>
            <w:tcW w:type="dxa" w:w="15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2.00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0.30</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0.84</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3.01</w:t>
            </w:r>
          </w:p>
        </w:tc>
        <w:tc>
          <w:tcPr>
            <w:tcW w:type="dxa" w:w="195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1.24</w:t>
            </w:r>
          </w:p>
        </w:tc>
      </w:tr>
      <w:tr>
        <w:trPr>
          <w:cantSplit/>
          <w:tblHeader w:val="false"/>
        </w:trPr>
        <w:tc>
          <w:tcPr>
            <w:tcW w:type="dxa" w:w="156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3.00</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0.18</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0.48</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5.18</w:t>
            </w:r>
          </w:p>
        </w:tc>
        <w:tc>
          <w:tcPr>
            <w:tcW w:type="dxa" w:w="195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4.35</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Clean accuracy declines with T. Compounding falls faster, because one off-path letter warps the next logits. No inverted-U appears.</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6. Experiment 2, compounding, at T = 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72"/>
        <w:gridCol w:w="1372"/>
        <w:gridCol w:w="1372"/>
        <w:gridCol w:w="1372"/>
        <w:gridCol w:w="1372"/>
      </w:tblGrid>
      <w:tr>
        <w:trPr>
          <w:cantSplit/>
          <w:tblHeader/>
        </w:trPr>
        <w:tc>
          <w:tcPr>
            <w:tcW w:type="dxa" w:w="25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Condition</w:t>
            </w:r>
          </w:p>
        </w:tc>
        <w:tc>
          <w:tcPr>
            <w:tcW w:type="dxa" w:w="1372"/>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Accuracy</w:t>
            </w:r>
          </w:p>
        </w:tc>
        <w:tc>
          <w:tcPr>
            <w:tcW w:type="dxa" w:w="1372"/>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Lock-in to A</w:t>
            </w:r>
          </w:p>
        </w:tc>
        <w:tc>
          <w:tcPr>
            <w:tcW w:type="dxa" w:w="1372"/>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Repetition</w:t>
            </w:r>
          </w:p>
        </w:tc>
        <w:tc>
          <w:tcPr>
            <w:tcW w:type="dxa" w:w="1372"/>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w:t>
            </w:r>
          </w:p>
        </w:tc>
        <w:tc>
          <w:tcPr>
            <w:tcW w:type="dxa" w:w="1372"/>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 − T</w:t>
            </w:r>
          </w:p>
        </w:tc>
      </w:tr>
      <w:tr>
        <w:trPr>
          <w:cantSplit/>
          <w:tblHeader w:val="false"/>
        </w:trPr>
        <w:tc>
          <w:tcPr>
            <w:tcW w:type="dxa" w:w="25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Neutral / clean</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0.05</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−0.10</w:t>
            </w:r>
          </w:p>
        </w:tc>
      </w:tr>
      <w:tr>
        <w:trPr>
          <w:cantSplit/>
          <w:tblHeader w:val="false"/>
        </w:trPr>
        <w:tc>
          <w:tcPr>
            <w:tcW w:type="dxa" w:w="25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 clean</w:t>
            </w:r>
          </w:p>
        </w:tc>
        <w:tc>
          <w:tcPr>
            <w:tcW w:type="dxa" w:w="1372"/>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372"/>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372"/>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372"/>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3.02</w:t>
            </w:r>
          </w:p>
        </w:tc>
        <w:tc>
          <w:tcPr>
            <w:tcW w:type="dxa" w:w="1372"/>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+2.87</w:t>
            </w:r>
          </w:p>
        </w:tc>
      </w:tr>
      <w:tr>
        <w:trPr>
          <w:cantSplit/>
          <w:tblHeader w:val="false"/>
        </w:trPr>
        <w:tc>
          <w:tcPr>
            <w:tcW w:type="dxa" w:w="25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 contaminated</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0.20</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3.59</w:t>
            </w:r>
          </w:p>
        </w:tc>
        <w:tc>
          <w:tcPr>
            <w:tcW w:type="dxa" w:w="1372"/>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+3.44</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Pressure collapses low-T trajectories onto a repeated letter and detaches Teff from nominal T. Mid-range T does not return to D E F G H, so the A attractor is too strong for the third row of Proposition 2.</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Experiment 3 plants X rather than A on every compounding trajectory. It also drops a line that told the model to repeat A, so that lock-in can be attributed to the premise and the pressure prompt. N = 240. In the clean condition, X is absorbed at low T, because the next-letter mode after “Sequence A B C X” is still D. Accuracy of 1.00 at T = 0.15 falls to 0.76 at T = 0.80 and 0.14 at T = 2.00. A small rebound from T = 0.40 (0.68) to T = 0.80 (0.76) is noise at n = 10. Under the pressure prompt, low T collapses onto A even after X is planted (lock-in = 0.98), and Teff − T at T = 0.15 is +3.82. Mid-range T does not recover. X corresponds to the weak-attractor row of Table 2, and A plus pressure to the too-strong row. Neither is the inverted-U row.</w:t>
      </w:r>
    </w:p>
    <w:p>
      <w:pPr>
        <w:pStyle w:val="Heading2"/>
        <w:spacing w:after="120" w:before="280"/>
      </w:pPr>
      <w:r>
        <w:rPr>
          <w:rFonts w:ascii="Times New Roman" w:cs="Times New Roman" w:eastAsia="Times New Roman" w:hAnsi="Times New Roman"/>
          <w:b/>
          <w:bCs/>
          <w:color w:val="1F4E79"/>
          <w:sz w:val="24"/>
          <w:szCs w:val="24"/>
        </w:rPr>
        <w:t xml:space="preserve">4.3 Stage 3: a 3B model on a solvable multi-step task</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Stage 2 left one prediction untested, because the 135M model either never started on-path or met an attractor of the wrong strength. Stage 3 addresses that gap with Qwen2.5-3B-Instruct. The task is again alphabet continuation, which this model completes without error when the prompt is clean: in the unplanted condition accuracy is 1.00 at every temperature up to T = 3.0 (40 to 60 trajectories per cell). The agent writes the alphabet one letter at a time, choosing each next letter from the 26 candidate tokens, and the sampled letter is written back into the context. After “A B” we plant the letter B m more times (m = 0, 2, 3, 4, 6) as an off-path attractor of graded strength, and the agent then chooses six further letters. A step is locally correct when the chosen letter is the alphabetical successor of the letter before it, and a trajectory is strictly correct only if it returns to C D E F G H. Lock-in is the share of steps that repeat the planted letter. Each clean-prompt cell in Table 7 uses 100 trajectories. We chose the ranges of m and T after a short probe of the model’s next-letter distribution, so the results below are exploratory and not pre-registered.</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7. Stage 3, Qwen2.5-3B-Instruct, clean prompt: locally correct accuracy by nominal T and attractor strength m (100 trajectories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cantSplit/>
          <w:tblHeader/>
        </w:trPr>
        <w:tc>
          <w:tcPr>
            <w:tcW w:type="dxa" w:w="18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Nominal T</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2</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3</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4</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6</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0.22</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0.02</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0.78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0.39</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0.29</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0.14</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0.37</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0.61</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0.44</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0.37</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0.42</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0.46</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0.34</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0.29</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0.19</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0.14</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0.13</w:t>
            </w:r>
          </w:p>
        </w:tc>
      </w:tr>
    </w:tbl>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regimes of Table 2 appear in order of attractor strength. With m = 2 the error is absorbed at low T (accuracy 1.00 at T = 0.15), and accuracy then falls monotonically to 0.19 at T = 5.0. With m = 3 and m = 4 the model repeats the planted letter in every trajectory at T = 0.15 (lock-in 1.00, accuracy 0.00), accuracy rises to 0.45 at T = 2.0, and it then declines to 0.13 and 0.14 at T = 5.0. That is an inverted-U. With m = 6 the lock persists to higher temperature (accuracy 0.02 at T = 0.8 and 0.14 at T = 1.2), and the peak moves to T = 2.5 (0.42). Taking the cell standard errors at face value, the peak exceeds both the T = 0.15 cell and the T = 5.0 cell by more than seven standard errors for each of m = 3, 4, and 6, although these comparisons are not adjusted for having picked the peak after the fact. Two details qualify the picture. The peak lies at T ≈ 2 to 2.5, above the T ≈ 0.8 to 1.2 range we had expected. And strict recovery never exceeds 0.19 for m ≥ 3, because an agent that escapes the repeated letter at moderate T often lands on a different wrong letter.</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Table 8 turns to Teff and to the pressure and contamination manipulations at m = 3. In the clean-prompt cells Teff tracks nominal T (2.04 at T = 2.0, 2.88 at T = 3.0), as it must when the reference and the sampling logits coincide. It is not identified at low T, where the reference puts almost all of its mass on one token, and the estimate then sits at the lower edge of the search grid (0.02). The pressure prompt moves the same agent to a Teff of 2.3 to 2.5 at T = 0.4 and T = 1.2, which is about 1.9 to 2.0 and 1.2 to 1.3 above nominal T, and the lift shrinks as T rises (+0.15 for pressure alone and +1.20 for pressure with contamination at T = 3.0). Pressure also changes the form of the failure. Lock-in on the planted letter falls from 0.96 to 0.06 at T = 0.4, but strict recovery is 0.00 in every pressure cell, and the agent now cycles back to earlier letters (repetition 0.31 to 0.43 at T = 0.4). Local accuracy therefore rises under pressure (0.53 against 0.04 at T = 0.4) while the output stays off the task path, which is a reason to report Teff and strict recovery alongside accuracy. Without a planted error the pressure prompt did little: accuracy stays at 0.99 or 1.00 up to T = 0.8, and Teff is not identified at T = 0.15. On this model, then, pressure distorts the logits mainly once an off-path token is already in the context.</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8. Stage 3, planted attractor m = 3, by prompt condition (100 trajectories in clean cells, 50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cantSplit/>
          <w:tblHeader/>
        </w:trPr>
        <w:tc>
          <w:tcPr>
            <w:tcW w:type="dxa" w:w="276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Condition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Acc.</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Strict</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Lock-in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Repetition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 − T</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0.4, clean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+0.04</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0.4, pressure</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2.36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+1.96</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0.4,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−0.09</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0.4, pressure +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2.29</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+1.89</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1.2, clean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0.39</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0.19</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+0.08</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1.2, pressure</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0.39</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2.43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+1.23</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1.2,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1.11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−0.09</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1.2, pressure +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2.50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+1.30</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3, clean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2.88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−0.12</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3, pressure</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3.15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3,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3.33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+0.33</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3, pressure +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4.20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+1.20</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Notes. Acc. is locally correct accuracy; Strict is the share of trajectories that return to C D E F G H. A Teff of 0.02 is the lower edge of the search grid and means the temperature is not identified.</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Contamination alone changes nothing measurable here. Teff − T is −0.09 at T = 0.4 and T = 1.2, and the trajectories lock as they do in the clean cells. Adding contamination to pressure lowers lock-in (0.00 to 0.02 against 0.06 to 0.08) and leaves Teff similar at T = 0.4 and T = 1.2 (2.29 and 2.50 against 2.36 and 2.43). It raises Teff only at T = 3.0 (4.20 against 3.15). Proposition 3 therefore receives no support on this model. Our contaminated text is diffuse negative sentiment, which is the case Proposition 3 says should be weak, and we did not build the near-token case.</w:t>
      </w:r>
    </w:p>
    <w:p>
      <w:pPr>
        <w:pStyle w:val="Heading2"/>
        <w:spacing w:after="120" w:before="280"/>
      </w:pPr>
      <w:r>
        <w:rPr>
          <w:rFonts w:ascii="Times New Roman" w:cs="Times New Roman" w:eastAsia="Times New Roman" w:hAnsi="Times New Roman"/>
          <w:b/>
          <w:bCs/>
          <w:color w:val="1F4E79"/>
          <w:sz w:val="24"/>
          <w:szCs w:val="24"/>
        </w:rPr>
        <w:t xml:space="preserve">4.4 Stage 4: replication on a 7B model</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Stage 4 repeats Stage 3 on Qwen2.5-7B-Instruct, run as an 8-bit quantized GGUF (Q8_0) in llama.cpp on the same CPU machine, with the same task, prompts, and measures. The change of inference stack and the quantization mean that differences from the 3B model should not be attributed to model size alone. The 7B model holds on to the planted letter more strongly, so that m = 2 already locks the agent at low T, and we therefore use m = 1, 2, 3, and 4. Cells use 60 trajectories for T ≤ 2.0 and 40 above (Table 9), and 30 in the unplanted condition, where accuracy is 1.00 at T = 0.15, 1.2, and 3.0.</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9. Stage 4, Qwen2.5-7B-Instruct (Q8_0), clean prompt: locally correct accuracy by nominal T and attractor strength m (60 trajectories per cell for T ≤ 2.0, 40 for T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cantSplit/>
          <w:tblHeader/>
        </w:trPr>
        <w:tc>
          <w:tcPr>
            <w:tcW w:type="dxa" w:w="18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Nominal T</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1</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2</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3</w:t>
            </w:r>
          </w:p>
        </w:tc>
        <w:tc>
          <w:tcPr>
            <w:tcW w:type="dxa" w:w="189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m = 4</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0.01</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1.2</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0.99</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0.16</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0.01</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0.87</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0.47</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0.18</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0.80</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0.39</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0.17</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0.61</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0.37</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0.31</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0.19</w:t>
            </w:r>
          </w:p>
        </w:tc>
      </w:tr>
      <w:tr>
        <w:trPr>
          <w:cantSplit/>
          <w:tblHeader w:val="false"/>
        </w:trPr>
        <w:tc>
          <w:tcPr>
            <w:tcW w:type="dxa" w:w="18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5</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0.13</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0.18</w:t>
            </w:r>
          </w:p>
        </w:tc>
        <w:tc>
          <w:tcPr>
            <w:tcW w:type="dxa" w:w="189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0.16</w:t>
            </w:r>
          </w:p>
        </w:tc>
      </w:tr>
    </w:tbl>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same regimes appear one step lower in m. With m = 1 the error is absorbed at low T, and accuracy declines monotonically from 1.00 to 0.28 at T = 5.0. With m = 2 and m = 3 the agent locks in at low T (accuracy 0.00 at T = 0.15), accuracy rises to 0.48 and 0.39 at T = 2.5, and it falls to 0.13 and 0.18 at T = 5.0, which is an inverted-U. The peak exceeds the T = 0.15 cell by more than six standard errors for both, and the T = 5.0 cell by about five (m = 2) and three (m = 3), without adjustment for choosing the peak after the fact. With m = 4 the lock is too strong for the sampled range: accuracy stays between 0.16 and 0.19 from T = 2.0 to T = 5.0 and shows no interior peak. Strict recovery for m ≥ 2 never exceeds 0.20. The 7B model therefore reproduces the weak, sticky-and-escapable, and too-strong rows of Table 2 within a single model, and the peak again lies at T ≈ 2 to 2.5, above the range we had expected.</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Table 10 gives the pressure and contamination cells at m = 2 (30 trajectories each). Pressure lifts Teff to 3.4 at T = 0.8 and 3.6 at T = 2.0, which is 2.6 and 1.6 above nominal T, as on the 3B model. It also removes the lock-in (0.07 and 0.17 against 0.98 and 0.43 in the clean cells) without producing recovery: strict recovery is 0.07 and 0.00, and the agent cycles through earlier letters (repetition 0.51 and 0.35). Contamination alone leaves Teff at nominal T (−0.04 and −0.33 above it) and does not change the lock at T = 0.8 (0.93), but at T = 2.0 it makes the lock stickier (lock-in 0.72 against 0.43, accuracy 0.24 against 0.47). That is one cell of 30 trajectories, and the contaminated text is diffuse sentiment, so we do not read it as support for Proposition 3. Pressure with contamination behaves like pressure alone at T = 0.8 (Teff − T = +2.44), and at T = 2.0 gives Teff − T = +1.74 with strict recovery of 0.00.</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10. Stage 4, planted attractor m = 2, by prompt condition (clean cells: 60 trajectories; others: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cantSplit/>
          <w:tblHeader/>
        </w:trPr>
        <w:tc>
          <w:tcPr>
            <w:tcW w:type="dxa" w:w="276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Condition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Acc.</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Strict</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Lock-in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Repetition</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w:t>
            </w:r>
          </w:p>
        </w:tc>
        <w:tc>
          <w:tcPr>
            <w:tcW w:type="dxa" w:w="11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Teff − T</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0.8, clean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0.98</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−0.24</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0.8, pressure</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0.51</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3.43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+2.63</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0.8,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0.93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0.76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−0.04</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0.8, pressure +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3.24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+2.44</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2, clean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0.45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2.04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+0.04</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2, pressure</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0.35</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3.63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+1.63</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2,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0.13</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0.72</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0.69</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1.67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−0.33</w:t>
            </w:r>
          </w:p>
        </w:tc>
      </w:tr>
      <w:tr>
        <w:trPr>
          <w:cantSplit/>
          <w:tblHeader w:val="false"/>
        </w:trPr>
        <w:tc>
          <w:tcPr>
            <w:tcW w:type="dxa" w:w="276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T = 2, pressure + contamination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0.27</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0.16</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0.50</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3.74</w:t>
            </w:r>
          </w:p>
        </w:tc>
        <w:tc>
          <w:tcPr>
            <w:tcW w:type="dxa" w:w="11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+1.74</w:t>
            </w:r>
          </w:p>
        </w:tc>
      </w:tr>
    </w:tbl>
    <w:p>
      <w:pPr>
        <w:spacing w:after="160" w:before="40"/>
      </w:pPr>
      <w:r>
        <w:rPr>
          <w:rFonts w:ascii="Times New Roman" w:cs="Times New Roman" w:eastAsia="Times New Roman" w:hAnsi="Times New Roman"/>
          <w:b w:val="false"/>
          <w:bCs w:val="false"/>
          <w:i/>
          <w:iCs/>
          <w:smallCaps w:val="false"/>
          <w:color w:val="000000"/>
          <w:sz w:val="18"/>
          <w:szCs w:val="18"/>
        </w:rPr>
        <w:t xml:space="preserve">Notes. As Table 8. Teff of 0.02 is the lower edge of the search grid.</w:t>
      </w:r>
    </w:p>
    <w:p>
      <w:pPr>
        <w:pStyle w:val="Heading2"/>
        <w:spacing w:after="120" w:before="280"/>
      </w:pPr>
      <w:r>
        <w:rPr>
          <w:rFonts w:ascii="Times New Roman" w:cs="Times New Roman" w:eastAsia="Times New Roman" w:hAnsi="Times New Roman"/>
          <w:b/>
          <w:bCs/>
          <w:color w:val="1F4E79"/>
          <w:sz w:val="24"/>
          <w:szCs w:val="24"/>
        </w:rPr>
        <w:t xml:space="preserve">4.5 What the illustration identifies</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Four statements are supported as measurement claims. First, Teff, entropy, repetition, and lock-in can be computed from synthetic choice probabilities and from the next-token log-probabilities of open-weight models, provided the reference is a clean context and not the sampling logits. Second, pressure lifts Teff above nominal T on a task the model can solve, and the lift is largest at low T, where Teff − T is about 2 on both larger models. Third, on the 3B and 7B models an accuracy inverted-U in nominal temperature appears for planted attractors of intermediate strength (m = 3, 4, 6 on the 3B model; m = 2, 3 on the 7B model) and not for a weak attractor or for none, and the 7B model also shows the too-strong row at m = 4, which is the pattern Proposition 2 describes. Fourth, the separation of Teff from nominal T is large on alphabet continuation and only partial on the unsolvable order policy.</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Two statements are not supported. Proposition 3 receives no support, because contamination leaves Teff at nominal T on both larger models and changes lock-in only in one 7B cell. And the inverted-U is a conditional result: it is absent from the three 135M experiments, where the attractor was too weak or too strong, and its peak on both larger models sits at T ≈ 2 to 2.5, well above the usual decoding range. Accuracy at the peak is below 0.50 and strict recovery below 0.20, so no practitioner would choose such a temperature to repair a locked agent. The result supports the structure of the prediction, not a prescription. Teff is also weakly identified when the reference is saturated, which includes the clean cells at low T. The estimate then sits at the lower edge of the search grid, and the small clean values reported for the 135M model at T = 0.15 may reflect the same limit.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Stage 2 cell means rest on 8 to 10 replications and a horizon of 5 or 6 steps, so standard errors are large, and Experiment 1 is missing two high-T joint cells. Stages 3 and 4 use 30 to 100 replications per cell, but they cover one 3B and one quantized 7B model from a single family, one task family, one prompt wording, and six-step horizons, and their peak comparisons are exploratory. Alphabet continuation sits close to the language-model prior. Nothing here is evidence about production agents, tool use, or organizations.</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5. Implication for Governance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If Teff and entropy can be observed, capability-based delegation is an incomplete rule. In the Baird and Maruping (2021) frame, rights and responsibilities are assigned on evidence that an agent can do a class of task. A task that was correctly delegated while Teff sat near the nominal temperature can be wrongly left with the same agent after pressure has lifted Teff and the trajectory has locked. State-contingent delegation makes the assignment a function of the observed state. When the agent leaves a pre-set band, the task is routed to another agent or returned to a named person, and the record of accountability moves with it.</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This implication is not a finding. Relative to a fixed assignment, it reduces the cost of failure only under four conditions, none of which we observe. Oversight capacity must be able to absorb returned tasks at the rate alarms fire, or the rule simply becomes a queue. The task must still be reversible. The cost of an unstable continuation must exceed the cost of delay. And operators must treat state alarms as informative, not as noise they have learned to ignore (Parasuraman &amp; Riley, 1997). A dashboard that no one is authorized to act on leaves the coupling in place.</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Three design claims follow, and they are mechanisms rather than evaluated artifacts (Gregor, Chandra Kruse, &amp; Seidel, 2020; Hevner, March, Park, &amp; Ram, 2004). State observability instruments raw-logit entropy and Teff against a clean-context reference, with bands estimated on tasks the agent can actually fail through early error. A state-triggered interruption pauses an agent that leaves its band and isolates its outputs from the next agent. It then remediates by reset if the context condition of Proposition 4 holds, or by rollback if the distortion is in the weights. State-contingent delegation routes the task and records who holds it. One practical caveat is that commercial APIs returning only top-token log-probabilities force entropy and Teff to be approximated on a truncated support. That is a boundary condition, not a minor implementation detail.</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For managers, the operational warning is narrower than a call to rebuild AI operations. Watching only nominal temperature, or only accuracy on a task the model cannot solve, hides rigidity. A monitor that reported Teff against a clean-context reference would have told a clean agent near 0.4 apart from a pressured agent near 2.4 at T = 0.4 on the 3B model. Coupling density, circuit breakers, and tacit collusion among rigid pricing agents (Calvano, Calzolari, Denicolò, &amp; Pastorello, 2020) are questions that inherit this measurement; it does not answer them.</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6. What Would Have to Be Shown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Table 11 sets out the evaluation that the present illustration does not provide. We include it so that a null result on alphabet continuation is not read as evidence about organizations, and so that a later paper cannot treat the design claims as already tested.</w:t>
      </w:r>
    </w:p>
    <w:p>
      <w:pPr>
        <w:spacing w:after="80" w:before="160"/>
      </w:pPr>
      <w:r>
        <w:rPr>
          <w:rFonts w:ascii="Times New Roman" w:cs="Times New Roman" w:eastAsia="Times New Roman" w:hAnsi="Times New Roman"/>
          <w:b w:val="false"/>
          <w:bCs w:val="false"/>
          <w:i/>
          <w:iCs/>
          <w:smallCaps w:val="false"/>
          <w:color w:val="000000"/>
          <w:sz w:val="20"/>
          <w:szCs w:val="20"/>
        </w:rPr>
        <w:t xml:space="preserve">Table 11. Tests required before the governance implication is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cantSplit/>
          <w:tblHeader/>
        </w:trPr>
        <w:tc>
          <w:tcPr>
            <w:tcW w:type="dxa" w:w="140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Claim</w:t>
            </w:r>
          </w:p>
        </w:tc>
        <w:tc>
          <w:tcPr>
            <w:tcW w:type="dxa" w:w="398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Required design</w:t>
            </w:r>
          </w:p>
        </w:tc>
        <w:tc>
          <w:tcPr>
            <w:tcW w:type="dxa" w:w="3980"/>
            <w:tcBorders>
              <w:top w:val="single" w:color="BFBFBF" w:sz="4"/>
              <w:left w:val="single" w:color="BFBFBF" w:sz="4"/>
              <w:bottom w:val="single" w:color="BFBFBF" w:sz="4"/>
              <w:right w:val="single" w:color="BFBFBF" w:sz="4"/>
            </w:tcBorders>
            <w:shd w:fill="E7EEF5"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Status here</w:t>
            </w:r>
          </w:p>
        </w:tc>
      </w:tr>
      <w:tr>
        <w:trPr>
          <w:cantSplit/>
          <w:tblHeader w:val="false"/>
        </w:trPr>
        <w:tc>
          <w:tcPr>
            <w:tcW w:type="dxa" w:w="14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P1, P3</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 contamination grid on multi-step tasks a production-scale model can solve, with a pre-registered clean-context reference.</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Pressure effect on Teff replicated on 3B and 7B models; P3 not supported. One model family, one task.</w:t>
            </w:r>
          </w:p>
        </w:tc>
      </w:tr>
      <w:tr>
        <w:trPr>
          <w:cantSplit/>
          <w:tblHeader w:val="false"/>
        </w:trPr>
        <w:tc>
          <w:tcPr>
            <w:tcW w:type="dxa" w:w="14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P2</w:t>
            </w:r>
          </w:p>
        </w:tc>
        <w:tc>
          <w:tcPr>
            <w:tcW w:type="dxa" w:w="39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An attractor shown independently to lock at low T and to leak at moderate T, on a model that starts on-path, replicated across models and tasks.</w:t>
            </w:r>
          </w:p>
        </w:tc>
        <w:tc>
          <w:tcPr>
            <w:tcW w:type="dxa" w:w="39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Inverted-U on 3B and 7B models for intermediate attractors (peak at T ≈ 2 to 2.5); too-strong row on 7B; absent on 135M. Exploratory.</w:t>
            </w:r>
          </w:p>
        </w:tc>
      </w:tr>
      <w:tr>
        <w:trPr>
          <w:cantSplit/>
          <w:tblHeader w:val="false"/>
        </w:trPr>
        <w:tc>
          <w:tcPr>
            <w:tcW w:type="dxa" w:w="14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P4</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Reset and reframe after context-level distortion; the same interventions after a weight change, against a reference model.</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Not run. Only context-level text was manipulated.</w:t>
            </w:r>
          </w:p>
        </w:tc>
      </w:tr>
      <w:tr>
        <w:trPr>
          <w:cantSplit/>
          <w:tblHeader w:val="false"/>
        </w:trPr>
        <w:tc>
          <w:tcPr>
            <w:tcW w:type="dxa" w:w="140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Contagion</w:t>
            </w:r>
          </w:p>
        </w:tc>
        <w:tc>
          <w:tcPr>
            <w:tcW w:type="dxa" w:w="39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Networks varying exposure through intermediate artifacts, shared context, and coupled tool state.</w:t>
            </w:r>
          </w:p>
        </w:tc>
        <w:tc>
          <w:tcPr>
            <w:tcW w:type="dxa" w:w="3980"/>
            <w:tcBorders>
              <w:top w:val="single" w:color="BFBFBF" w:sz="4"/>
              <w:left w:val="single" w:color="BFBFBF" w:sz="4"/>
              <w:bottom w:val="single" w:color="BFBFBF" w:sz="4"/>
              <w:right w:val="single" w:color="BFBFBF" w:sz="4"/>
            </w:tcBorders>
            <w:shd w:fill="F7F9FB"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Not run.</w:t>
            </w:r>
          </w:p>
        </w:tc>
      </w:tr>
      <w:tr>
        <w:trPr>
          <w:cantSplit/>
          <w:tblHeader w:val="false"/>
        </w:trPr>
        <w:tc>
          <w:tcPr>
            <w:tcW w:type="dxa" w:w="140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bCs/>
                <w:i w:val="false"/>
                <w:iCs w:val="false"/>
                <w:smallCaps w:val="false"/>
                <w:color w:val="000000"/>
                <w:sz w:val="17"/>
                <w:szCs w:val="17"/>
              </w:rPr>
              <w:t xml:space="preserve">Delegation</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State-contingent versus capability-based handoff, with oversight capacity and reversibility measured.</w:t>
            </w:r>
          </w:p>
        </w:tc>
        <w:tc>
          <w:tcPr>
            <w:tcW w:type="dxa" w:w="3980"/>
            <w:tcBorders>
              <w:top w:val="single" w:color="BFBFBF" w:sz="4"/>
              <w:left w:val="single" w:color="BFBFBF" w:sz="4"/>
              <w:bottom w:val="single" w:color="BFBFBF" w:sz="4"/>
              <w:right w:val="single" w:color="BFBFBF" w:sz="4"/>
            </w:tcBorders>
            <w:shd w:fill="FFFFFF" w:val="clear"/>
            <w:tcMar>
              <w:top w:type="dxa" w:w="50"/>
              <w:left w:type="dxa" w:w="70"/>
              <w:bottom w:type="dxa" w:w="50"/>
              <w:right w:type="dxa" w:w="70"/>
            </w:tcMar>
            <w:vAlign w:val="center"/>
          </w:tcPr>
          <w:p>
            <w:pPr>
              <w:spacing w:after="0" w:before="0"/>
              <w:jc w:val="left"/>
            </w:pPr>
            <w:r>
              <w:rPr>
                <w:rFonts w:ascii="Times New Roman" w:cs="Times New Roman" w:eastAsia="Times New Roman" w:hAnsi="Times New Roman"/>
                <w:b w:val="false"/>
                <w:bCs w:val="false"/>
                <w:i w:val="false"/>
                <w:iCs w:val="false"/>
                <w:smallCaps w:val="false"/>
                <w:color w:val="000000"/>
                <w:sz w:val="17"/>
                <w:szCs w:val="17"/>
              </w:rPr>
              <w:t xml:space="preserve">Not run. Stated as an implication with four conditions.</w:t>
            </w:r>
          </w:p>
        </w:tc>
      </w:tr>
    </w:tbl>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The first follow-up is to repeat Stages 3 and 4 on other model families and unquantized larger models, with tasks beyond alphabet continuation and several prompt wordings and seeds, so that the location of the peak in T can be tested against bounds fixed in advance. The second is an attractor of the kind Proposition 3 names, a dominant token close to the contaminated content, which we did not construct. Generalization beyond autoregressive transformers, and beyond role-played resemblance to human breakdown, lies outside this note.</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7. Conclusion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Delegating work to an LLM agent on evidence of capability assumes that the agent’s reliability is a stable property. Sampling temperature is the parameter operators set, but it is not the decision state. Because softmax sampling is a Gumbel random-utility choice, that state has a scale, and the scale can be estimated once a clean-context reference valuation is fixed. Effective decision temperature is that estimate. It tracks nominal temperature when context does not warp valuations, and it rises when pressure does, even when the agent’s own entropy is low because it has locked onto a repeated token.</w:t>
      </w:r>
    </w:p>
    <w:p>
      <w:pPr>
        <w:spacing w:after="160" w:before="0" w:line="276"/>
        <w:jc w:val="both"/>
      </w:pPr>
      <w:r>
        <w:rPr>
          <w:rFonts w:ascii="Times New Roman" w:cs="Times New Roman" w:eastAsia="Times New Roman" w:hAnsi="Times New Roman"/>
          <w:b w:val="false"/>
          <w:bCs w:val="false"/>
          <w:i w:val="false"/>
          <w:iCs w:val="false"/>
          <w:smallCaps w:val="false"/>
          <w:color w:val="000000"/>
          <w:sz w:val="22"/>
          <w:szCs w:val="22"/>
        </w:rPr>
        <w:t xml:space="preserve">On a synthetic agent, the indicators register the distortions that were built in, and an accuracy inverted-U appears only for an attractor tuned to be sticky and escapable. On SmolLM2-135M, the same measurement rule reads Teff from next-token log-probabilities, and pressure lifts Teff far above a nominal temperature of 0.15. A weak planted typo is absorbed and a strong planted letter is not escaped, so no inverted-U appears. On Qwen2.5-3B-Instruct and 7B-Instruct, which solve the task, planted attractors of intermediate strength do produce an inverted-U, with a peak near T = 2 to 2.5 and accuracy below 0.50 at the peak, while a weak attractor does not and, on the 7B model, a too-strong one gives no peak. Pressure raises Teff by about 2 at low temperature, whereas contamination has no clear effect, so Proposition 3 is unsupported. The governance claim that follows, to delegate on the observed state and not only on capability, is an implication with four unmet conditions. What the measurement does support is narrower: the decoding temperature an operator sets is not the agent’s decision state.</w:t>
      </w:r>
    </w:p>
    <w:p>
      <w:pPr>
        <w:pStyle w:val="Heading1"/>
        <w:pBdr>
          <w:bottom w:val="single" w:color="1F4E79" w:sz="8" w:space="1"/>
        </w:pBdr>
        <w:spacing w:after="160" w:before="360"/>
      </w:pPr>
      <w:r>
        <w:rPr>
          <w:rFonts w:ascii="Times New Roman" w:cs="Times New Roman" w:eastAsia="Times New Roman" w:hAnsi="Times New Roman"/>
          <w:b/>
          <w:bCs/>
          <w:color w:val="1F4E79"/>
          <w:sz w:val="26"/>
          <w:szCs w:val="26"/>
        </w:rPr>
        <w:t xml:space="preserve">References</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Baird, A., &amp; Maruping, L. M. (2021). The next generation of research on IS use: A theoretical framework of delegation to and from agentic IS artifacts. MIS Quarterly, 45(1), 315–341.</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Berente, N., Gu, B., Recker, J., &amp; Santhanam, R. (2021). Managing artificial intelligence. MIS Quarterly, 45(3), 1433–1450.</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Calvano, E., Calzolari, G., Denicolò, V., &amp; Pastorello, S. (2020). Artificial intelligence, algorithmic pricing, and collusion. American Economic Review, 110(10), 3267–3297.</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Cemri, M., Pan, M. Z., Yang, S., et al. (2025). Why do multi-agent LLM systems fail? arXiv:2503.13657.</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Farquhar, S., Kossen, J., Kuhn, L., &amp; Gal, Y. (2024). Detecting hallucinations in large language models using semantic entropy. Nature, 630, 625–630.</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Gregor, S., Chandra Kruse, L., &amp; Seidel, S. (2020). Research perspectives: The anatomy of a design principle. Journal of the Association for Information Systems, 21(6), 1622–1652.</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Hevner, A. R., March, S. T., Park, J., &amp; Ram, S. (2004). Design science in information systems research. MIS Quarterly, 28(1), 75–105.</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Holtzman, A., Buys, J., Du, L., Forbes, M., &amp; Choi, Y. (2020). The curious case of neural text degeneration. Proceedings of the International Conference on Learning Representations.</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Kadavath, S., Conerly, T., Askell, A., et al. (2022). Language models (mostly) know what they know. arXiv:2207.05221.</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Ketokivi, M., Mantere, S., &amp; Cornelissen, J. (2017). Reasoning by analogy and the progress of theory. Academy of Management Review, 42(4), 637–658.</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Kuhn, L., Gal, Y., &amp; Farquhar, S. (2023). Semantic uncertainty: Linguistic invariances for uncertainty estimation in natural language generation. Proceedings of the International Conference on Learning Representations.</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McFadden, D. (1974). Conditional logit analysis of qualitative choice behavior. In P. Zarembka (Ed.), Frontiers in econometrics (pp. 105–142). Academic Press.</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McKelvey, R. D., &amp; Palfrey, T. R. (1995). Quantal response equilibria for normal form games. Games and Economic Behavior, 10(1), 6–38.</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Parasuraman, R., &amp; Riley, V. (1997). Humans and automation: Use, misuse, disuse, abuse. Human Factors, 39(4), 230–253.</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Perrow, C. (1984). Normal accidents: Living with high-risk technologies. Basic Books.</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Rafailov, R., Sharma, A., Mitchell, E., Ermon, S., Manning, C. D., &amp; Finn, C. (2023). Direct preference optimization: Your language model is secretly a reward model. Advances in Neural Information Processing Systems, 36.</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Shanahan, M., McDonell, K., &amp; Reynolds, L. (2023). Role play with large language models. Nature, 623, 493–498.</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Simon, H. A. (1955). A behavioral model of rational choice. Quarterly Journal of Economics, 69(1), 99–118.</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Staw, B. M., Sandelands, L. E., &amp; Dutton, J. E. (1981). Threat rigidity effects in organizational behavior: A multilevel analysis. Administrative Science Quarterly, 26(4), 501–524.</w:t>
      </w:r>
    </w:p>
    <w:p>
      <w:pPr>
        <w:spacing w:after="80" w:before="0" w:line="240"/>
      </w:pPr>
      <w:r>
        <w:rPr>
          <w:rFonts w:ascii="Times New Roman" w:cs="Times New Roman" w:eastAsia="Times New Roman" w:hAnsi="Times New Roman"/>
          <w:b w:val="false"/>
          <w:bCs w:val="false"/>
          <w:i w:val="false"/>
          <w:iCs w:val="false"/>
          <w:smallCaps w:val="false"/>
          <w:color w:val="000000"/>
          <w:sz w:val="20"/>
          <w:szCs w:val="20"/>
        </w:rPr>
        <w:t xml:space="preserve">Weick, K. E. (1993). The collapse of sensemaking in organizations: The Mann Gulch disaster. Administrative Science Quarterly, 38(4), 628–652.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80"/>
      <w:jc w:val="right"/>
    </w:pPr>
    <w:r>
      <w:rPr>
        <w:rFonts w:ascii="Times New Roman" w:cs="Times New Roman" w:eastAsia="Times New Roman" w:hAnsi="Times New Roman"/>
        <w:b w:val="false"/>
        <w:bCs w:val="false"/>
        <w:i/>
        <w:iCs/>
        <w:smallCaps w:val="false"/>
        <w:color w:val="666666"/>
        <w:sz w:val="16"/>
        <w:szCs w:val="16"/>
      </w:rPr>
      <w:t xml:space="preserve">Effective decision temperature  ·  </w:t>
    </w:r>
    <w:r>
      <w:rPr>
        <w:rFonts w:ascii="Times New Roman" w:cs="Times New Roman" w:eastAsia="Times New Roman" w:hAnsi="Times New Roman"/>
        <w:b w:val="false"/>
        <w:bCs w:val="false"/>
        <w:i w:val="false"/>
        <w:iCs w:val="false"/>
        <w:smallCaps w:val="false"/>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Times New Roman" w:cs="Times New Roman" w:eastAsia="Times New Roman" w:hAnsi="Times New Roman"/>
        <w:b w:val="false"/>
        <w:bCs w:val="false"/>
        <w:i/>
        <w:iCs/>
        <w:smallCaps w:val="false"/>
        <w:color w:val="1F4E79"/>
        <w:sz w:val="18"/>
        <w:szCs w:val="18"/>
      </w:rPr>
      <w:t xml:space="preserve">Information Systems Research</w:t>
    </w:r>
    <w:r>
      <w:rPr>
        <w:rFonts w:ascii="Times New Roman" w:cs="Times New Roman" w:eastAsia="Times New Roman" w:hAnsi="Times New Roman"/>
        <w:b w:val="false"/>
        <w:bCs w:val="false"/>
        <w:i w:val="false"/>
        <w:iCs w:val="false"/>
        <w:smallCaps w:val="false"/>
        <w:color w:val="666666"/>
        <w:sz w:val="18"/>
        <w:szCs w:val="18"/>
      </w:rPr>
      <w:t xml:space="preserve">   ·   Research Note   ·   double-anonymous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26"/>
      <w:szCs w:val="2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2026-10-04T22:44:59.432Z</dcterms:created>
  <dcterms:modified xsi:type="dcterms:W3CDTF">2026-10-04T22:44:59.432Z</dcterms:modified>
</cp:coreProperties>
</file>

<file path=docProps/custom.xml><?xml version="1.0" encoding="utf-8"?>
<Properties xmlns="http://schemas.openxmlformats.org/officeDocument/2006/custom-properties" xmlns:vt="http://schemas.openxmlformats.org/officeDocument/2006/docPropsVTypes"/>
</file>