
<file path=[Content_Types].xml><?xml version="1.0" encoding="utf-8"?>
<Types xmlns="http://schemas.openxmlformats.org/package/2006/content-types">
  <Default Extension="bin" ContentType="application/vnd.openxmlformats-officedocument.oleObject"/>
  <Default Extension="jpeg" ContentType="image/jpeg"/>
  <Default Extension="png" ContentType="image/png"/>
  <Default Extension="rels" ContentType="application/vnd.openxmlformats-package.relationships+xml"/>
  <Default Extension="tiff" ContentType="image/tiff"/>
  <Default Extension="wmf" ContentType="image/x-wmf"/>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pPr>
        <w:pStyle w:val="Title"/>
        <w:framePr w:w="0" w:hSpace="0" w:vSpace="0" w:wrap="auto" w:vAnchor="margin" w:hAnchor="text" w:xAlign="left" w:yAlign="inline"/>
      </w:pPr>
      <w:r>
        <w:t xml:space="preserve">Condition-Based Maintenance of Large Language Models Under Knowledge Drift and Imperfect Repair</w:t>
      </w:r>
    </w:p>
    <w:p>
      <w:pPr>
        <w:spacing w:line="252" w:lineRule="auto"/>
        <w:jc w:val="both"/>
        <w:rPr>
          <w:sz w:val="18"/>
        </w:rPr>
      </w:pPr>
    </w:p>
    <w:p>
      <w:pPr>
        <w:jc w:val="center"/>
        <w:rPr>
          <w:sz w:val="22"/>
        </w:rPr>
      </w:pPr>
      <w:r>
        <w:rPr>
          <w:sz w:val="22"/>
          <w:szCs w:val="22"/>
        </w:rPr>
        <w:t xml:space="preserve">Ook Lee</w:t>
      </w:r>
    </w:p>
    <w:p>
      <w:pPr>
        <w:spacing w:after="320"/>
        <w:ind w:firstLine="202"/>
        <w:jc w:val="both"/>
      </w:pPr>
    </w:p>
    <w:p>
      <w:pPr>
        <w:spacing w:before="20" w:after="320"/>
        <w:ind w:firstLine="202"/>
        <w:jc w:val="both"/>
        <w:sectPr w:rsidR="007E713A" w:rsidSect="00002FAF">
          <w:headerReference w:type="default" r:id="rId9"/>
          <w:type w:val="continuous"/>
          <w:pgSz w:w="12240" w:h="15840"/>
          <w:pgMar w:top="1008" w:right="936" w:bottom="1008" w:left="936" w:header="432" w:footer="432" w:gutter="0"/>
          <w:pgNumType w:start="1"/>
          <w:cols w:space="288"/>
        </w:sectPr>
      </w:pPr>
    </w:p>
    <w:p w14:paraId="3F302522" w14:textId="77777777" w:rsidR="00BE4774" w:rsidRPr="006E071F" w:rsidRDefault="00BE4774" w:rsidP="00BE4774">
      <w:pPr>
        <w:pStyle w:val="Text"/>
        <w:ind w:firstLine="0"/>
        <w:rPr>
          <w:rFonts w:ascii="Times" w:hAnsi="Times"/>
          <w:sz w:val="18"/>
          <w:szCs w:val="18"/>
        </w:rPr>
      </w:pPr>
      <w:r w:rsidRPr="006E071F">
        <w:rPr>
          <w:rFonts w:ascii="Times" w:hAnsi="Times"/>
          <w:sz w:val="18"/>
          <w:szCs w:val="18"/>
        </w:rPr>
        <w:footnoteReference w:customMarkFollows="1" w:id="1"/>
        <w:sym w:font="Symbol" w:char="F020"/>
      </w:r>
    </w:p>
    <w:p>
      <w:pPr>
        <w:pStyle w:val="Abstract"/>
      </w:pPr>
      <w:r>
        <w:rPr>
          <w:b/>
          <w:bCs/>
          <w:i/>
          <w:iCs/>
          <w:sz w:val="18"/>
          <w:szCs w:val="18"/>
        </w:rPr>
        <w:t xml:space="preserve">Abstract</w:t>
      </w:r>
      <w:r>
        <w:rPr>
          <w:b/>
          <w:bCs/>
          <w:sz w:val="18"/>
          <w:szCs w:val="18"/>
        </w:rPr>
        <w:t xml:space="preserve">—</w:t>
      </w:r>
      <w:r>
        <w:rPr>
          <w:b/>
          <w:bCs/>
          <w:sz w:val="18"/>
          <w:szCs w:val="18"/>
        </w:rPr>
        <w:t xml:space="preserve">A deployed large language model (LLM) is a deteriorating system. Its task-relevant accuracy decays as the world drifts away from the training distribution, and every parameter update risks damaging competence that users already rely on. We cast the resulting decision, namely when to update, by which mechanism, and whether to add an external retrieval store, as a condition-based maintenance problem. Staleness is modeled as a shock-and-wear process driven by a marked point process of drift events, and forgetting as an imperfect repair whose damage is a Fisher-information-weighted quadratic form. For a single-threshold full-retraining policy, a renewal-reward argument gives a square-root law that links update cost, drift intensity, and the optimal cycle length; the same argument shows that a repair leaving less residual damage should be applied more often, not less. For a graduated repair menu, we show that an average-cost Markov decision process admits a nested control-limit policy under stochastic monotonicity and submodularity conditions. Retrieval enters as a compensator that lowers the observed drift rate without repairing the parameters, and a closed-form condition states when the store pays for its upkeep. A measurement study on a public 70-million-parameter model, replicated over ten seeds, supports affine staleness growth, a retrieval-absorbed share equal to corpus coverage, and a mechanism ranking in which an unreplayed low-rank adapter is dominated by taking no action.</w:t>
      </w:r>
    </w:p>
    <w:p>
      <w:pPr>
        <w:pStyle w:val="IndexTerms"/>
        <w:spacing w:after="120"/>
      </w:pPr>
      <w:r>
        <w:rPr>
          <w:b/>
          <w:bCs/>
          <w:i/>
          <w:iCs/>
          <w:sz w:val="18"/>
          <w:szCs w:val="18"/>
        </w:rPr>
        <w:t xml:space="preserve">Index Terms</w:t>
      </w:r>
      <w:r>
        <w:rPr>
          <w:b/>
          <w:bCs/>
          <w:sz w:val="18"/>
          <w:szCs w:val="18"/>
        </w:rPr>
        <w:t xml:space="preserve">—</w:t>
      </w:r>
      <w:r>
        <w:rPr>
          <w:b/>
          <w:bCs/>
          <w:sz w:val="18"/>
          <w:szCs w:val="18"/>
        </w:rPr>
        <w:t xml:space="preserve">Condition-based maintenance, imperfect maintenance, large language models, Markov decision process, renewal reward, shock-and-wear degradation.</w:t>
      </w:r>
    </w:p>
    <w:p>
      <w:pPr>
        <w:pStyle w:val="Heading1"/>
      </w:pPr>
      <w:r>
        <w:t xml:space="preserve">Acronyms</w:t>
      </w:r>
    </w:p>
    <w:p>
      <w:pPr>
        <w:pStyle w:val="Text"/>
      </w:pPr>
      <w:r>
        <w:t xml:space="preserve"> CBM: condition-based maintenance. LLM: large language model. MDP: Markov decision process. RAG: retrieval-augmented generation. LoRA: low-rank adaptation. EWC: elastic weight consolidation. OLS: ordinary least squares.</w:t>
      </w:r>
    </w:p>
    <w:p>
      <w:pPr>
        <w:pStyle w:val="Heading1"/>
      </w:pPr>
      <w:r>
        <w:t xml:space="preserve">I. Introduction</w:t>
      </w:r>
    </w:p>
    <w:p>
      <w:pPr>
        <w:pStyle w:val="Text"/>
      </w:pPr>
      <w:r>
        <w:t xml:space="preserve">Once training ends, a large language model begins to age. Facts are superseded, norms shift, and the mix of tasks that users submit moves away from the snapshot on which the parameters were fitted. Organizations respond with a recurring operational decision: whether to retrain or fine-tune, how large a parameter displacement to buy, which update mechanism to use, and whether to keep an independently refreshed retrieval corpus next to the parametric model. In practice this decision is still made by calendar, by incident, or by informal judgment.</w:t>
      </w:r>
    </w:p>
    <w:p>
      <w:pPr>
        <w:pStyle w:val="Text"/>
      </w:pPr>
      <w:r>
        <w:t xml:space="preserve">The cost structure of the decision is, however, a familiar one. Drift raises an operating-loss rate. Each intervention carries a direct cost that scales with model size and data volume. And unlike a part replacement that returns a machine to a known state, a gradient update can damage competence the organization has already certified. Reliability engineering has a mature vocabulary for exactly this situation: a degradation index, a menu of imperfect repairs, a control-limit policy, and a long-run average-cost criterion [1]–[4]. This paper transfers that vocabulary to deployed language models and derives the qualitative shape of the optimal policy.</w:t>
      </w:r>
    </w:p>
    <w:p>
      <w:pPr>
        <w:pStyle w:val="Text"/>
      </w:pPr>
      <w:r>
        <w:t xml:space="preserve">Maintaining something other than a physical machine is not new to this journal. Imperfect maintenance has been analyzed here since the late 1980s [5], and later work covers selective maintenance of multi-state systems under imperfect maintenance [6] and condition-based maintenance of repairable systems that deteriorate and are also hit by shocks [7]. Software is already treated as a maintained asset: aging by resource depletion and its remedy by rejuvenation have been modeled through workload-based and measurement-based analyses [8], [9], and rejuvenation policies with two granularities have been optimized [10]. A deployed language model sits between these two literatures. Like software, it degrades without any hardware wear. Unlike a rejuvenated process, however, its repair is a parameter update whose damage depends on what the model has learned, and the drift that causes the degradation arrives from outside the system.</w:t>
      </w:r>
    </w:p>
    <w:p>
      <w:pPr>
        <w:pStyle w:val="Text"/>
      </w:pPr>
      <w:r>
        <w:t xml:space="preserve">The transfer is not merely a relabeling. Three features of LLM upkeep have no exact counterpart in classical equipment maintenance, and each has to be modeled explicitly. First, the degradation shock is an external drift event whose magnitude is a mark on a point process, not a physical wear increment. Second, the damage inflicted by a repair is anisotropic in parameter space: moving along directions of high Fisher information on the pre-update task is far more costly, in forgotten accuracy, than moving along unused directions. Third, retrieval-augmented generation supplies a compensator that lowers observed staleness without touching the plant, and therefore without incurring the imperfect-repair penalty.</w:t>
      </w:r>
    </w:p>
    <w:p>
      <w:pPr>
        <w:pStyle w:val="Heading2"/>
        <w:numPr>
          <w:ilvl w:val="0"/>
          <w:numId w:val="0"/>
        </w:numPr>
        <w:ind w:left="0" w:firstLine="0"/>
      </w:pPr>
      <w:r>
        <w:t xml:space="preserve">A. Research Questions</w:t>
      </w:r>
    </w:p>
    <w:p>
      <w:pPr>
        <w:pStyle w:val="Text"/>
      </w:pPr>
      <w:r>
        <w:t xml:space="preserve">We address three questions that follow the usual decomposition of a CBM program.</w:t>
      </w:r>
    </w:p>
    <w:p>
      <w:pPr>
        <w:pStyle w:val="Text"/>
        <w:tabs>
          <w:tab w:val="left" w:pos="360"/>
        </w:tabs>
        <w:ind w:left="360" w:hanging="360" w:firstLine="0"/>
      </w:pPr>
      <w:r>
        <w:t xml:space="preserve">1)	</w:t>
      </w:r>
      <w:r>
        <w:t xml:space="preserve">How should the decay of task-relevant accuracy be represented as a function of calendar time and of the unobserved intensity of world change, in a form that can be estimated from a monitoring sample?</w:t>
      </w:r>
    </w:p>
    <w:p>
      <w:pPr>
        <w:pStyle w:val="Text"/>
        <w:tabs>
          <w:tab w:val="left" w:pos="360"/>
        </w:tabs>
        <w:ind w:left="360" w:hanging="360" w:firstLine="0"/>
      </w:pPr>
      <w:r>
        <w:t xml:space="preserve">2)	</w:t>
      </w:r>
      <w:r>
        <w:t xml:space="preserve">Given a decision to update, how should the trade-off between absorbing new information and retaining old competence be written so that the organization's tolerance for forgetting becomes an explicit constraint instead of a hidden regularization hyperparameter?</w:t>
      </w:r>
    </w:p>
    <w:p>
      <w:pPr>
        <w:pStyle w:val="Text"/>
        <w:tabs>
          <w:tab w:val="left" w:pos="360"/>
        </w:tabs>
        <w:ind w:left="360" w:hanging="360" w:firstLine="0"/>
      </w:pPr>
      <w:r>
        <w:t xml:space="preserve">3)	</w:t>
      </w:r>
      <w:r>
        <w:t xml:space="preserve">What is the long-run cost-minimizing policy over a graduated menu of update mechanisms, and when does an external retrieval store substitute for parametric repair?</w:t>
      </w:r>
    </w:p>
    <w:p>
      <w:pPr>
        <w:pStyle w:val="Heading2"/>
        <w:numPr>
          <w:ilvl w:val="0"/>
          <w:numId w:val="0"/>
        </w:numPr>
        <w:ind w:left="0" w:firstLine="0"/>
      </w:pPr>
      <w:r>
        <w:t xml:space="preserve">B. Contributions</w:t>
      </w:r>
    </w:p>
    <w:p>
      <w:pPr>
        <w:pStyle w:val="Text"/>
      </w:pPr>
      <w:r>
        <w:t xml:space="preserve">The paper makes four contributions to the maintenance literature and one measurement contribution.</w:t>
      </w:r>
    </w:p>
    <w:p>
      <w:pPr>
        <w:pStyle w:val="Text"/>
        <w:tabs>
          <w:tab w:val="left" w:pos="360"/>
        </w:tabs>
        <w:ind w:left="360" w:hanging="360" w:firstLine="0"/>
      </w:pPr>
      <w:r>
        <w:t xml:space="preserve">1)	</w:t>
      </w:r>
      <w:r>
        <w:rPr>
          <w:i/>
          <w:iCs/>
        </w:rPr>
        <w:t xml:space="preserve">Staleness as shock-and-wear.</w:t>
      </w:r>
      <w:r>
        <w:t xml:space="preserve"> Knowledge staleness is written as a deterministic leak between events plus jumps at the epochs of a marked point process, in the sense of [3]. Under Poisson arrivals the mean path is affine, which recovers the linear degradation curves implicit in empirical retraining-cadence studies as a special case and gives an OLS estimator of the effective drift rate.</w:t>
      </w:r>
    </w:p>
    <w:p>
      <w:pPr>
        <w:pStyle w:val="Text"/>
        <w:tabs>
          <w:tab w:val="left" w:pos="360"/>
        </w:tabs>
        <w:ind w:left="360" w:hanging="360" w:firstLine="0"/>
      </w:pPr>
      <w:r>
        <w:t xml:space="preserve">2)	</w:t>
      </w:r>
      <w:r>
        <w:rPr>
          <w:i/>
          <w:iCs/>
        </w:rPr>
        <w:t xml:space="preserve">Fisher-weighted imperfect repair.</w:t>
      </w:r>
      <w:r>
        <w:t xml:space="preserve"> The forgetting penalty used in EWC and related methods [11] is recast as an imperfect-repair map. Residual damage after a repair is a scalar that restarts the degradation index above zero, as in the imperfect-maintenance models surveyed in [4]. A direct consequence, not available from the classical replacement model, is that a cheaper and safer repair should be used more often.</w:t>
      </w:r>
    </w:p>
    <w:p>
      <w:pPr>
        <w:pStyle w:val="Text"/>
        <w:tabs>
          <w:tab w:val="left" w:pos="360"/>
        </w:tabs>
        <w:ind w:left="360" w:hanging="360" w:firstLine="0"/>
      </w:pPr>
      <w:r>
        <w:t xml:space="preserve">3)	</w:t>
      </w:r>
      <w:r>
        <w:rPr>
          <w:i/>
          <w:iCs/>
        </w:rPr>
        <w:t xml:space="preserve">Multi-action control limits.</w:t>
      </w:r>
      <w:r>
        <w:t xml:space="preserve"> The joint timing-and-mechanism problem is an average-cost MDP on a discretized degradation index crossed with a drift-hazard regime. Under stochastic monotonicity of the transition tails, a total order on the actions, and submodularity of the continuation value, the optimal policy is a nested control-limit rule (Proposition 1). This is the multi-action analogue of the single-threshold policies that are optimal for monotone degradation [1], [12].</w:t>
      </w:r>
    </w:p>
    <w:p>
      <w:pPr>
        <w:pStyle w:val="Text"/>
        <w:tabs>
          <w:tab w:val="left" w:pos="360"/>
        </w:tabs>
        <w:ind w:left="360" w:hanging="360" w:firstLine="0"/>
      </w:pPr>
      <w:r>
        <w:t xml:space="preserve">4)	</w:t>
      </w:r>
      <w:r>
        <w:rPr>
          <w:i/>
          <w:iCs/>
        </w:rPr>
        <w:t xml:space="preserve">Retrieval as a compensator.</w:t>
      </w:r>
      <w:r>
        <w:t xml:space="preserve"> Retrieval lowers the effective drift rate by the share of shocks the corpus can absorb and does not displace parameters. Substituting the reduced rate into the renewal-reward program gives a closed-form investment test: the store is worth its upkeep exactly when the upkeep is below the reduction it creates in the optimal parametric-maintenance cost rate.</w:t>
      </w:r>
    </w:p>
    <w:p>
      <w:pPr>
        <w:pStyle w:val="Text"/>
        <w:tabs>
          <w:tab w:val="left" w:pos="360"/>
        </w:tabs>
        <w:ind w:left="360" w:hanging="360" w:firstLine="0"/>
      </w:pPr>
      <w:r>
        <w:t xml:space="preserve">5)	</w:t>
      </w:r>
      <w:r>
        <w:rPr>
          <w:i/>
          <w:iCs/>
        </w:rPr>
        <w:t xml:space="preserve">Measurement.</w:t>
      </w:r>
      <w:r>
        <w:t xml:space="preserve"> The model inputs (staleness slope, retrieval-absorbed share, and per-mechanism cost, effectiveness, and forgetting) are instantiated on the public Pythia-70M checkpoint [13] with a synthetic world of facts absent from pre-training. Over ten seeds, the study confirms affine growth and a retrieval share equal to coverage, and it exhibits a parameter-efficient update that violates the assumed action order and is dominated by no action.</w:t>
      </w:r>
    </w:p>
    <w:p>
      <w:pPr>
        <w:pStyle w:val="Text"/>
      </w:pPr>
      <w:r>
        <w:t xml:space="preserve">The paper is a contribution to stochastic maintenance modeling, applied to a digital asset whose repair technology is gradient-based. It does not propose a new continual-learning algorithm, and it is not a field study of a production system.</w:t>
      </w:r>
    </w:p>
    <w:p>
      <w:pPr>
        <w:pStyle w:val="Heading2"/>
        <w:numPr>
          <w:ilvl w:val="0"/>
          <w:numId w:val="0"/>
        </w:numPr>
        <w:ind w:left="0" w:firstLine="0"/>
      </w:pPr>
      <w:r>
        <w:t xml:space="preserve">C. Organization</w:t>
      </w:r>
    </w:p>
    <w:p>
      <w:pPr>
        <w:pStyle w:val="Text"/>
      </w:pPr>
      <w:r>
        <w:t xml:space="preserve">Section III reviews related work. Section IV defines the system, the degradation index, and the cost accounting. Section V analyzes the shock-and-wear process and the single-threshold renewal program. Section VI develops the imperfect-repair map. Section VII states the MDP and the control-limit result. Section VIII treats retrieval. Section IX presents numerical results and the measurement study, and Section X discusses limitations and operational implications before Section XI concludes. The proof of Proposition 1 is in the Appendix.</w:t>
      </w:r>
    </w:p>
    <w:p>
      <w:pPr>
        <w:pStyle w:val="Heading1"/>
      </w:pPr>
      <w:r>
        <w:t xml:space="preserve">II. Related Work</w:t>
      </w:r>
    </w:p>
    <w:p>
      <w:pPr>
        <w:pStyle w:val="Heading2"/>
        <w:numPr>
          <w:ilvl w:val="0"/>
          <w:numId w:val="0"/>
        </w:numPr>
        <w:ind w:left="0" w:firstLine="0"/>
      </w:pPr>
      <w:r>
        <w:t xml:space="preserve">A. Maintenance Optimization and Imperfect Repair</w:t>
      </w:r>
    </w:p>
    <w:p>
      <w:pPr>
        <w:pStyle w:val="Text"/>
      </w:pPr>
      <w:r>
        <w:t xml:space="preserve">Deciding when to intervene on a deteriorating system is among the oldest problems in operations research. Age and block replacement policies trade a planned intervention against the cost of failure [12]. Condition-based policies act on an observed degradation index rather than on age alone [1], [2], and shock-and-wear and gamma-process models supply the stochastic primitive for that index [3]. When a repair does not restore the system to as-good-as-new, the cycle restarts from a residual damage level; [4] organizes the resulting imperfect-maintenance family. Broader reviews are given in [14], [15], and [16] reflects on fifty years of the field, stressing the gap between stylized control-limit theory and the logistics of carrying out a repair.</w:t>
      </w:r>
    </w:p>
    <w:p>
      <w:pPr>
        <w:pStyle w:val="Text"/>
      </w:pPr>
      <w:r>
        <w:t xml:space="preserve">The present model belongs to this lineage. The degradation index is additive staleness plus residual forgetting; the action set is a totally ordered menu of imperfect repairs plus a no-action option; and the criterion is the long-run average cost of operating loss, intervention spend, and one-off regression cost. What is new is the geometry of the imperfect-repair map and the presence of a compensator that does not repair the plant.</w:t>
      </w:r>
    </w:p>
    <w:p>
      <w:pPr>
        <w:pStyle w:val="Heading2"/>
        <w:numPr>
          <w:ilvl w:val="0"/>
          <w:numId w:val="0"/>
        </w:numPr>
        <w:ind w:left="0" w:firstLine="0"/>
      </w:pPr>
      <w:r>
        <w:t xml:space="preserve">B. Retraining Under Concept Drift</w:t>
      </w:r>
    </w:p>
    <w:p>
      <w:pPr>
        <w:pStyle w:val="Text"/>
      </w:pPr>
      <w:r>
        <w:t xml:space="preserve">For classical statistical models the analogue of the replacement decision is the retraining trigger. Lu </w:t>
      </w:r>
      <w:r>
        <w:rPr>
          <w:i/>
          <w:iCs/>
        </w:rPr>
        <w:t xml:space="preserve">et al.</w:t>
      </w:r>
      <w:r>
        <w:t xml:space="preserve"> [17] distinguish sudden, gradual, incremental, and recurring drift and catalog detection statistics. Two philosophies recur and mirror the age-based versus condition-based dichotomy: periodic retraining on a fixed calendar, and informed retraining triggered by a drift statistic. Mahadevan and Mathioudakis [18] treat timing as a cost-minimization problem on a stream and show that a cost-aware policy dominates naive drift alarms. Beytur </w:t>
      </w:r>
      <w:r>
        <w:rPr>
          <w:i/>
          <w:iCs/>
        </w:rPr>
        <w:t xml:space="preserve">et al.</w:t>
      </w:r>
      <w:r>
        <w:t xml:space="preserve"> [19] study a budget-constrained trainer facing random concept durations and show that the optimal policy depends on the ageing property of the duration law: decreasing and increasing mean residual life prescribe opposite reactions to a long quiet spell. Williams </w:t>
      </w:r>
      <w:r>
        <w:rPr>
          <w:i/>
          <w:iCs/>
        </w:rPr>
        <w:t xml:space="preserve">et al.</w:t>
      </w:r>
      <w:r>
        <w:t xml:space="preserve"> [20] give a rare empirical cadence comparison on a clinical prediction model, finding that monthly retraining was non-inferior to weekly retraining at roughly one quarter of the compute. This diminishing-returns pattern is what a square-root optimal interval predicts, as Section V makes explicit.</w:t>
      </w:r>
    </w:p>
    <w:p>
      <w:pPr>
        <w:pStyle w:val="Text"/>
      </w:pPr>
      <w:r>
        <w:t xml:space="preserve">These works address when to retrain a cheap classical model. They do not treat a repair that damages the system, they offer no menu of mechanisms with distinct cost–effectiveness–forgetting profiles, and they have no compensator that can be refreshed independently of the parameters.</w:t>
      </w:r>
    </w:p>
    <w:p>
      <w:pPr>
        <w:pStyle w:val="Heading2"/>
        <w:numPr>
          <w:ilvl w:val="0"/>
          <w:numId w:val="0"/>
        </w:numPr>
        <w:ind w:left="0" w:firstLine="0"/>
      </w:pPr>
      <w:r>
        <w:t xml:space="preserve">C. Forgetting, Knowledge Editing, and Retrieval</w:t>
      </w:r>
    </w:p>
    <w:p>
      <w:pPr>
        <w:pStyle w:val="Text"/>
      </w:pPr>
      <w:r>
        <w:t xml:space="preserve">Catastrophic forgetting, the overwriting of earlier representations by a sequential update, is the imperfect-repair phenomenon of neural networks [11], [21], [22]. EWC approximates the pre-update posterior by a Gaussian whose precision is a Fisher information matrix and adds the corresponding quadratic penalty to the next-task loss; later work has criticized the multi-task recursion and the empirical-Fisher surrogate [23], [24]. We do not propose a better regularizer. We treat the quadratic form as the organization's constraint set, so that the amount of forgetting purchased by an update becomes an auditable scalar in the maintenance cost instead of a tuning knob inside a trainer.</w:t>
      </w:r>
    </w:p>
    <w:p>
      <w:pPr>
        <w:pStyle w:val="Text"/>
      </w:pPr>
      <w:r>
        <w:t xml:space="preserve">Knowledge editing aims to rewrite a narrow fact while leaving unrelated behavior untouched [25], [26], and parameter-efficient fine-tuning such as LoRA [27] restricts the displacement to a low-rank or sparse subspace. In maintenance terms, both correspond to repairs that touch a small subset of components. Retrieval-augmented generation [28] differs in kind: the corpus is updated continuously and generation is conditioned on retrieved passages, so observed staleness can fall without any parameter displacement. Section VIII reads this architecture as a compensator in the control-theoretic sense.</w:t>
      </w:r>
    </w:p>
    <w:p>
      <w:pPr>
        <w:pStyle w:val="Heading2"/>
        <w:numPr>
          <w:ilvl w:val="0"/>
          <w:numId w:val="0"/>
        </w:numPr>
        <w:ind w:left="0" w:firstLine="0"/>
      </w:pPr>
      <w:r>
        <w:t xml:space="preserve">D. Cost Structure</w:t>
      </w:r>
    </w:p>
    <w:p>
      <w:pPr>
        <w:pStyle w:val="Text"/>
      </w:pPr>
      <w:r>
        <w:t xml:space="preserve">Kaplan </w:t>
      </w:r>
      <w:r>
        <w:rPr>
          <w:i/>
          <w:iCs/>
        </w:rPr>
        <w:t xml:space="preserve">et al.</w:t>
      </w:r>
      <w:r>
        <w:t xml:space="preserve"> [29] and Hoffmann </w:t>
      </w:r>
      <w:r>
        <w:rPr>
          <w:i/>
          <w:iCs/>
        </w:rPr>
        <w:t xml:space="preserve">et al.</w:t>
      </w:r>
      <w:r>
        <w:t xml:space="preserve"> [30] document power-law training cost in model size, data size, and compute. A forward pass costs about two floating-point operations per parameter per token, and the backward pass adds a similar amount for each parameter on the path, so full retraining scales as six operations per parameter per token. Parameter-efficient mechanisms shrink the trainable subset but still pay a forward pass through the whole network, so their cost advantage is smaller than the trainable-parameter count suggests. Alignment updates add a further imperfect-repair channel: reinforcement fine-tuning improves conformity to current preferences at some cost to previously acquired capability, the “alignment tax” of [31]. In our model that tax is simply a large forgetting increment on a broad update.</w:t>
      </w:r>
    </w:p>
    <w:p>
      <w:pPr>
        <w:pStyle w:val="Heading2"/>
        <w:numPr>
          <w:ilvl w:val="0"/>
          <w:numId w:val="0"/>
        </w:numPr>
        <w:ind w:left="0" w:firstLine="0"/>
      </w:pPr>
      <w:r>
        <w:t xml:space="preserve">E. Gap</w:t>
      </w:r>
    </w:p>
    <w:p>
      <w:pPr>
        <w:pStyle w:val="Text"/>
      </w:pPr>
      <w:r>
        <w:t xml:space="preserve">Table I summarizes the mapping. Continual learning tells the maintainer how to execute an update, concept-drift work tells the maintainer when to trigger a cheap classical model, scaling laws say how costly a given update is, and CBM says how to control a deteriorating physical system. No strand jointly optimizes when, how much, and by which mechanism under a single average-cost criterion that charges both forgetting and money. That joint program is the subject of Sections IV–VIII.</w:t>
      </w:r>
    </w:p>
    <w:p>
      <w:pPr>
        <w:pStyle w:val="TableTitle"/>
        <w:keepNext/>
        <w:spacing w:before="120"/>
      </w:pPr>
      <w:r>
        <w:rPr>
          <w:sz w:val="16"/>
          <w:szCs w:val="16"/>
        </w:rPr>
        <w:t xml:space="preserve">TABLE I</w:t>
      </w:r>
    </w:p>
    <w:p>
      <w:pPr>
        <w:pStyle w:val="TableTitle"/>
        <w:keepNext/>
        <w:spacing w:after="60"/>
      </w:pPr>
      <w:r>
        <w:rPr>
          <w:sz w:val="16"/>
          <w:szCs w:val="16"/>
        </w:rPr>
        <w:t xml:space="preserve">Literature Strands and the Questions They Leave Open</w:t>
      </w:r>
    </w:p>
    <w:tbl>
      <w:tblPr>
        <w:tblW w:w="5040" w:type="dxa"/>
        <w:jc w:val="center"/>
        <w:tblLayout w:type="fixed"/>
      </w:tblPr>
      <w:tblGrid>
        <w:gridCol w:w="900"/>
        <w:gridCol w:w="1250"/>
        <w:gridCol w:w="1500"/>
        <w:gridCol w:w="1390"/>
      </w:tblGrid>
      <w:tr>
        <w:trPr>
          <w:cantSplit/>
        </w:trPr>
        <w:tc>
          <w:tcPr>
            <w:tcW w:w="900" w:type="dxa"/>
            <w:tcBorders>
              <w:top w:val="single" w:sz="8" w:space="0" w:color="000000"/>
              <w:bottom w:val="single" w:sz="4" w:space="0" w:color="000000"/>
            </w:tcBorders>
            <w:tcMar>
              <w:left w:w="40" w:type="dxa"/>
              <w:right w:w="40" w:type="dxa"/>
            </w:tcMar>
          </w:tcPr>
          <w:p>
            <w:pPr>
              <w:spacing w:before="20" w:after="20"/>
              <w:jc w:val="left"/>
            </w:pPr>
            <w:r>
              <w:rPr>
                <w:b/>
                <w:bCs/>
                <w:sz w:val="14"/>
                <w:szCs w:val="14"/>
              </w:rPr>
              <w:t xml:space="preserve">Strand</w:t>
            </w:r>
          </w:p>
        </w:tc>
        <w:tc>
          <w:tcPr>
            <w:tcW w:w="1250" w:type="dxa"/>
            <w:tcBorders>
              <w:top w:val="single" w:sz="8" w:space="0" w:color="000000"/>
              <w:bottom w:val="single" w:sz="4" w:space="0" w:color="000000"/>
            </w:tcBorders>
            <w:tcMar>
              <w:left w:w="40" w:type="dxa"/>
              <w:right w:w="40" w:type="dxa"/>
            </w:tcMar>
          </w:tcPr>
          <w:p>
            <w:pPr>
              <w:spacing w:before="20" w:after="20"/>
              <w:jc w:val="left"/>
            </w:pPr>
            <w:r>
              <w:rPr>
                <w:b/>
                <w:bCs/>
                <w:sz w:val="14"/>
                <w:szCs w:val="14"/>
              </w:rPr>
              <w:t xml:space="preserve">Representative work</w:t>
            </w:r>
          </w:p>
        </w:tc>
        <w:tc>
          <w:tcPr>
            <w:tcW w:w="1500" w:type="dxa"/>
            <w:tcBorders>
              <w:top w:val="single" w:sz="8" w:space="0" w:color="000000"/>
              <w:bottom w:val="single" w:sz="4" w:space="0" w:color="000000"/>
            </w:tcBorders>
            <w:tcMar>
              <w:left w:w="40" w:type="dxa"/>
              <w:right w:w="40" w:type="dxa"/>
            </w:tcMar>
          </w:tcPr>
          <w:p>
            <w:pPr>
              <w:spacing w:before="20" w:after="20"/>
              <w:jc w:val="left"/>
            </w:pPr>
            <w:r>
              <w:rPr>
                <w:b/>
                <w:bCs/>
                <w:sz w:val="14"/>
                <w:szCs w:val="14"/>
              </w:rPr>
              <w:t xml:space="preserve">Question answered</w:t>
            </w:r>
          </w:p>
        </w:tc>
        <w:tc>
          <w:tcPr>
            <w:tcW w:w="1390" w:type="dxa"/>
            <w:tcBorders>
              <w:top w:val="single" w:sz="8" w:space="0" w:color="000000"/>
              <w:bottom w:val="single" w:sz="4" w:space="0" w:color="000000"/>
            </w:tcBorders>
            <w:tcMar>
              <w:left w:w="40" w:type="dxa"/>
              <w:right w:w="40" w:type="dxa"/>
            </w:tcMar>
          </w:tcPr>
          <w:p>
            <w:pPr>
              <w:spacing w:before="20" w:after="20"/>
              <w:jc w:val="left"/>
            </w:pPr>
            <w:r>
              <w:rPr>
                <w:b/>
                <w:bCs/>
                <w:sz w:val="14"/>
                <w:szCs w:val="14"/>
              </w:rPr>
              <w:t xml:space="preserve">Left open</w:t>
            </w:r>
          </w:p>
        </w:tc>
      </w:tr>
      <w:tr>
        <w:trPr>
          <w:cantSplit/>
        </w:trPr>
        <w:tc>
          <w:tcPr>
            <w:tcW w:w="900" w:type="dxa"/>
            <w:tcBorders/>
            <w:tcMar>
              <w:left w:w="40" w:type="dxa"/>
              <w:right w:w="40" w:type="dxa"/>
            </w:tcMar>
          </w:tcPr>
          <w:p>
            <w:pPr>
              <w:spacing w:before="20" w:after="20"/>
              <w:jc w:val="left"/>
            </w:pPr>
            <w:r>
              <w:rPr>
                <w:sz w:val="14"/>
                <w:szCs w:val="14"/>
              </w:rPr>
              <w:t xml:space="preserve">Continual learning</w:t>
            </w:r>
          </w:p>
        </w:tc>
        <w:tc>
          <w:tcPr>
            <w:tcW w:w="1250" w:type="dxa"/>
            <w:tcBorders/>
            <w:tcMar>
              <w:left w:w="40" w:type="dxa"/>
              <w:right w:w="40" w:type="dxa"/>
            </w:tcMar>
          </w:tcPr>
          <w:p>
            <w:pPr>
              <w:spacing w:before="20" w:after="20"/>
              <w:jc w:val="left"/>
            </w:pPr>
            <w:r>
              <w:rPr>
                <w:sz w:val="14"/>
                <w:szCs w:val="14"/>
              </w:rPr>
              <w:t xml:space="preserve">[11], [22]</w:t>
            </w:r>
          </w:p>
        </w:tc>
        <w:tc>
          <w:tcPr>
            <w:tcW w:w="1500" w:type="dxa"/>
            <w:tcBorders/>
            <w:tcMar>
              <w:left w:w="40" w:type="dxa"/>
              <w:right w:w="40" w:type="dxa"/>
            </w:tcMar>
          </w:tcPr>
          <w:p>
            <w:pPr>
              <w:spacing w:before="20" w:after="20"/>
              <w:jc w:val="left"/>
            </w:pPr>
            <w:r>
              <w:rPr>
                <w:sz w:val="14"/>
                <w:szCs w:val="14"/>
              </w:rPr>
              <w:t xml:space="preserve">Update without losing competence</w:t>
            </w:r>
          </w:p>
        </w:tc>
        <w:tc>
          <w:tcPr>
            <w:tcW w:w="1390" w:type="dxa"/>
            <w:tcBorders/>
            <w:tcMar>
              <w:left w:w="40" w:type="dxa"/>
              <w:right w:w="40" w:type="dxa"/>
            </w:tcMar>
          </w:tcPr>
          <w:p>
            <w:pPr>
              <w:spacing w:before="20" w:after="20"/>
              <w:jc w:val="left"/>
            </w:pPr>
            <w:r>
              <w:rPr>
                <w:sz w:val="14"/>
                <w:szCs w:val="14"/>
              </w:rPr>
              <w:t xml:space="preserve">When to update; monetary cost</w:t>
            </w:r>
          </w:p>
        </w:tc>
      </w:tr>
      <w:tr>
        <w:trPr>
          <w:cantSplit/>
        </w:trPr>
        <w:tc>
          <w:tcPr>
            <w:tcW w:w="900" w:type="dxa"/>
            <w:tcBorders/>
            <w:tcMar>
              <w:left w:w="40" w:type="dxa"/>
              <w:right w:w="40" w:type="dxa"/>
            </w:tcMar>
          </w:tcPr>
          <w:p>
            <w:pPr>
              <w:spacing w:before="20" w:after="20"/>
              <w:jc w:val="left"/>
            </w:pPr>
            <w:r>
              <w:rPr>
                <w:sz w:val="14"/>
                <w:szCs w:val="14"/>
              </w:rPr>
              <w:t xml:space="preserve">Editing and retrieval</w:t>
            </w:r>
          </w:p>
        </w:tc>
        <w:tc>
          <w:tcPr>
            <w:tcW w:w="1250" w:type="dxa"/>
            <w:tcBorders/>
            <w:tcMar>
              <w:left w:w="40" w:type="dxa"/>
              <w:right w:w="40" w:type="dxa"/>
            </w:tcMar>
          </w:tcPr>
          <w:p>
            <w:pPr>
              <w:spacing w:before="20" w:after="20"/>
              <w:jc w:val="left"/>
            </w:pPr>
            <w:r>
              <w:rPr>
                <w:sz w:val="14"/>
                <w:szCs w:val="14"/>
              </w:rPr>
              <w:t xml:space="preserve">[25], [28]</w:t>
            </w:r>
          </w:p>
        </w:tc>
        <w:tc>
          <w:tcPr>
            <w:tcW w:w="1500" w:type="dxa"/>
            <w:tcBorders/>
            <w:tcMar>
              <w:left w:w="40" w:type="dxa"/>
              <w:right w:w="40" w:type="dxa"/>
            </w:tcMar>
          </w:tcPr>
          <w:p>
            <w:pPr>
              <w:spacing w:before="20" w:after="20"/>
              <w:jc w:val="left"/>
            </w:pPr>
            <w:r>
              <w:rPr>
                <w:sz w:val="14"/>
                <w:szCs w:val="14"/>
              </w:rPr>
              <w:t xml:space="preserve">Update narrowly, or without touching parameters</w:t>
            </w:r>
          </w:p>
        </w:tc>
        <w:tc>
          <w:tcPr>
            <w:tcW w:w="1390" w:type="dxa"/>
            <w:tcBorders/>
            <w:tcMar>
              <w:left w:w="40" w:type="dxa"/>
              <w:right w:w="40" w:type="dxa"/>
            </w:tcMar>
          </w:tcPr>
          <w:p>
            <w:pPr>
              <w:spacing w:before="20" w:after="20"/>
              <w:jc w:val="left"/>
            </w:pPr>
            <w:r>
              <w:rPr>
                <w:sz w:val="14"/>
                <w:szCs w:val="14"/>
              </w:rPr>
              <w:t xml:space="preserve">Scheduling; joint cost</w:t>
            </w:r>
          </w:p>
        </w:tc>
      </w:tr>
      <w:tr>
        <w:trPr>
          <w:cantSplit/>
        </w:trPr>
        <w:tc>
          <w:tcPr>
            <w:tcW w:w="900" w:type="dxa"/>
            <w:tcBorders/>
            <w:tcMar>
              <w:left w:w="40" w:type="dxa"/>
              <w:right w:w="40" w:type="dxa"/>
            </w:tcMar>
          </w:tcPr>
          <w:p>
            <w:pPr>
              <w:spacing w:before="20" w:after="20"/>
              <w:jc w:val="left"/>
            </w:pPr>
            <w:r>
              <w:rPr>
                <w:sz w:val="14"/>
                <w:szCs w:val="14"/>
              </w:rPr>
              <w:t xml:space="preserve">Concept drift / MLOps</w:t>
            </w:r>
          </w:p>
        </w:tc>
        <w:tc>
          <w:tcPr>
            <w:tcW w:w="1250" w:type="dxa"/>
            <w:tcBorders/>
            <w:tcMar>
              <w:left w:w="40" w:type="dxa"/>
              <w:right w:w="40" w:type="dxa"/>
            </w:tcMar>
          </w:tcPr>
          <w:p>
            <w:pPr>
              <w:spacing w:before="20" w:after="20"/>
              <w:jc w:val="left"/>
            </w:pPr>
            <w:r>
              <w:rPr>
                <w:sz w:val="14"/>
                <w:szCs w:val="14"/>
              </w:rPr>
              <w:t xml:space="preserve">[17]–[19]</w:t>
            </w:r>
          </w:p>
        </w:tc>
        <w:tc>
          <w:tcPr>
            <w:tcW w:w="1500" w:type="dxa"/>
            <w:tcBorders/>
            <w:tcMar>
              <w:left w:w="40" w:type="dxa"/>
              <w:right w:w="40" w:type="dxa"/>
            </w:tcMar>
          </w:tcPr>
          <w:p>
            <w:pPr>
              <w:spacing w:before="20" w:after="20"/>
              <w:jc w:val="left"/>
            </w:pPr>
            <w:r>
              <w:rPr>
                <w:sz w:val="14"/>
                <w:szCs w:val="14"/>
              </w:rPr>
              <w:t xml:space="preserve">When to trigger a cheap model</w:t>
            </w:r>
          </w:p>
        </w:tc>
        <w:tc>
          <w:tcPr>
            <w:tcW w:w="1390" w:type="dxa"/>
            <w:tcBorders/>
            <w:tcMar>
              <w:left w:w="40" w:type="dxa"/>
              <w:right w:w="40" w:type="dxa"/>
            </w:tcMar>
          </w:tcPr>
          <w:p>
            <w:pPr>
              <w:spacing w:before="20" w:after="20"/>
              <w:jc w:val="left"/>
            </w:pPr>
            <w:r>
              <w:rPr>
                <w:sz w:val="14"/>
                <w:szCs w:val="14"/>
              </w:rPr>
              <w:t xml:space="preserve">Expensive, damaging repairs</w:t>
            </w:r>
          </w:p>
        </w:tc>
      </w:tr>
      <w:tr>
        <w:trPr>
          <w:cantSplit/>
        </w:trPr>
        <w:tc>
          <w:tcPr>
            <w:tcW w:w="900" w:type="dxa"/>
            <w:tcBorders/>
            <w:tcMar>
              <w:left w:w="40" w:type="dxa"/>
              <w:right w:w="40" w:type="dxa"/>
            </w:tcMar>
          </w:tcPr>
          <w:p>
            <w:pPr>
              <w:spacing w:before="20" w:after="20"/>
              <w:jc w:val="left"/>
            </w:pPr>
            <w:r>
              <w:rPr>
                <w:sz w:val="14"/>
                <w:szCs w:val="14"/>
              </w:rPr>
              <w:t xml:space="preserve">Scaling and alignment</w:t>
            </w:r>
          </w:p>
        </w:tc>
        <w:tc>
          <w:tcPr>
            <w:tcW w:w="1250" w:type="dxa"/>
            <w:tcBorders/>
            <w:tcMar>
              <w:left w:w="40" w:type="dxa"/>
              <w:right w:w="40" w:type="dxa"/>
            </w:tcMar>
          </w:tcPr>
          <w:p>
            <w:pPr>
              <w:spacing w:before="20" w:after="20"/>
              <w:jc w:val="left"/>
            </w:pPr>
            <w:r>
              <w:rPr>
                <w:sz w:val="14"/>
                <w:szCs w:val="14"/>
              </w:rPr>
              <w:t xml:space="preserve">[29], [31]</w:t>
            </w:r>
          </w:p>
        </w:tc>
        <w:tc>
          <w:tcPr>
            <w:tcW w:w="1500" w:type="dxa"/>
            <w:tcBorders/>
            <w:tcMar>
              <w:left w:w="40" w:type="dxa"/>
              <w:right w:w="40" w:type="dxa"/>
            </w:tcMar>
          </w:tcPr>
          <w:p>
            <w:pPr>
              <w:spacing w:before="20" w:after="20"/>
              <w:jc w:val="left"/>
            </w:pPr>
            <w:r>
              <w:rPr>
                <w:sz w:val="14"/>
                <w:szCs w:val="14"/>
              </w:rPr>
              <w:t xml:space="preserve">How costly an update is</w:t>
            </w:r>
          </w:p>
        </w:tc>
        <w:tc>
          <w:tcPr>
            <w:tcW w:w="1390" w:type="dxa"/>
            <w:tcBorders/>
            <w:tcMar>
              <w:left w:w="40" w:type="dxa"/>
              <w:right w:w="40" w:type="dxa"/>
            </w:tcMar>
          </w:tcPr>
          <w:p>
            <w:pPr>
              <w:spacing w:before="20" w:after="20"/>
              <w:jc w:val="left"/>
            </w:pPr>
            <w:r>
              <w:rPr>
                <w:sz w:val="14"/>
                <w:szCs w:val="14"/>
              </w:rPr>
              <w:t xml:space="preserve">Retention and scheduling</w:t>
            </w:r>
          </w:p>
        </w:tc>
      </w:tr>
      <w:tr>
        <w:trPr>
          <w:cantSplit/>
        </w:trPr>
        <w:tc>
          <w:tcPr>
            <w:tcW w:w="900" w:type="dxa"/>
            <w:tcBorders>
              <w:bottom w:val="single" w:sz="8" w:space="0" w:color="000000"/>
            </w:tcBorders>
            <w:tcMar>
              <w:left w:w="40" w:type="dxa"/>
              <w:right w:w="40" w:type="dxa"/>
            </w:tcMar>
          </w:tcPr>
          <w:p>
            <w:pPr>
              <w:spacing w:before="20" w:after="20"/>
              <w:jc w:val="left"/>
            </w:pPr>
            <w:r>
              <w:rPr>
                <w:sz w:val="14"/>
                <w:szCs w:val="14"/>
              </w:rPr>
              <w:t xml:space="preserve">CBM / imperfect repair</w:t>
            </w:r>
          </w:p>
        </w:tc>
        <w:tc>
          <w:tcPr>
            <w:tcW w:w="1250" w:type="dxa"/>
            <w:tcBorders>
              <w:bottom w:val="single" w:sz="8" w:space="0" w:color="000000"/>
            </w:tcBorders>
            <w:tcMar>
              <w:left w:w="40" w:type="dxa"/>
              <w:right w:w="40" w:type="dxa"/>
            </w:tcMar>
          </w:tcPr>
          <w:p>
            <w:pPr>
              <w:spacing w:before="20" w:after="20"/>
              <w:jc w:val="left"/>
            </w:pPr>
            <w:r>
              <w:rPr>
                <w:sz w:val="14"/>
                <w:szCs w:val="14"/>
              </w:rPr>
              <w:t xml:space="preserve">[1], [4], [15]</w:t>
            </w:r>
          </w:p>
        </w:tc>
        <w:tc>
          <w:tcPr>
            <w:tcW w:w="1500" w:type="dxa"/>
            <w:tcBorders>
              <w:bottom w:val="single" w:sz="8" w:space="0" w:color="000000"/>
            </w:tcBorders>
            <w:tcMar>
              <w:left w:w="40" w:type="dxa"/>
              <w:right w:w="40" w:type="dxa"/>
            </w:tcMar>
          </w:tcPr>
          <w:p>
            <w:pPr>
              <w:spacing w:before="20" w:after="20"/>
              <w:jc w:val="left"/>
            </w:pPr>
            <w:r>
              <w:rPr>
                <w:sz w:val="14"/>
                <w:szCs w:val="14"/>
              </w:rPr>
              <w:t xml:space="preserve">Optimal maintenance of a deteriorating system</w:t>
            </w:r>
          </w:p>
        </w:tc>
        <w:tc>
          <w:tcPr>
            <w:tcW w:w="1390" w:type="dxa"/>
            <w:tcBorders>
              <w:bottom w:val="single" w:sz="8" w:space="0" w:color="000000"/>
            </w:tcBorders>
            <w:tcMar>
              <w:left w:w="40" w:type="dxa"/>
              <w:right w:w="40" w:type="dxa"/>
            </w:tcMar>
          </w:tcPr>
          <w:p>
            <w:pPr>
              <w:spacing w:before="20" w:after="20"/>
              <w:jc w:val="left"/>
            </w:pPr>
            <w:r>
              <w:rPr>
                <w:sz w:val="14"/>
                <w:szCs w:val="14"/>
              </w:rPr>
              <w:t xml:space="preserve">Learned models whose repair damages the plant</w:t>
            </w:r>
          </w:p>
        </w:tc>
      </w:tr>
    </w:tbl>
    <w:p>
      <w:pPr>
        <w:spacing w:after="80"/>
      </w:pPr>
    </w:p>
    <w:p>
      <w:pPr>
        <w:pStyle w:val="Heading1"/>
      </w:pPr>
      <w:r>
        <w:t xml:space="preserve">III. System Description, Degradation Index, and Costs</w:t>
      </w:r>
    </w:p>
    <w:p>
      <w:pPr>
        <w:pStyle w:val="Heading2"/>
        <w:numPr>
          <w:ilvl w:val="0"/>
          <w:numId w:val="0"/>
        </w:numPr>
        <w:ind w:left="0" w:firstLine="0"/>
      </w:pPr>
      <w:r>
        <w:t xml:space="preserve">A. The Deployed Model</w:t>
      </w:r>
    </w:p>
    <w:p>
      <w:pPr>
        <w:pStyle w:val="Text"/>
      </w:pPr>
      <w:r>
        <w:t xml:space="preserve">Let </w:t>
      </w:r>
      <m:oMath>
        <m:r>
          <m:t>θ</m:t>
        </m:r>
        <m:d>
          <m:dPr>
            <m:begChr m:val="("/>
            <m:sepChr m:val=""/>
            <m:endChr m:val=")"/>
            <m:grow/>
          </m:dPr>
          <m:e>
            <m:r>
              <m:t>t</m:t>
            </m:r>
          </m:e>
        </m:d>
      </m:oMath>
      <w:r>
        <w:t xml:space="preserve"> denote the parameter vector of the deployed model at time </w:t>
      </w:r>
      <m:oMath>
        <m:r>
          <m:t>t</m:t>
        </m:r>
      </m:oMath>
      <w:r>
        <w:t xml:space="preserve">, with </w:t>
      </w:r>
      <m:oMath>
        <m:r>
          <m:t>θ</m:t>
        </m:r>
        <m:d>
          <m:dPr>
            <m:begChr m:val="("/>
            <m:sepChr m:val=""/>
            <m:endChr m:val=")"/>
            <m:grow/>
          </m:dPr>
          <m:e>
            <m:r>
              <m:t>0</m:t>
            </m:r>
          </m:e>
        </m:d>
      </m:oMath>
      <w:r>
        <w:t xml:space="preserve"> the checkpoint produced by initial training. Between maintenance epochs the vector is held fixed. A maintenance event at time </w:t>
      </w:r>
      <m:oMath>
        <m:sSub>
          <m:e>
            <m:r>
              <m:t>τ</m:t>
            </m:r>
          </m:e>
          <m:sub>
            <m:r>
              <m:t>k</m:t>
            </m:r>
          </m:sub>
        </m:sSub>
      </m:oMath>
      <w:r>
        <w:t xml:space="preserve"> replaces </w:t>
      </w:r>
      <m:oMath>
        <m:r>
          <m:t>θ</m:t>
        </m:r>
        <m:d>
          <m:dPr>
            <m:begChr m:val="("/>
            <m:sepChr m:val=""/>
            <m:endChr m:val=")"/>
            <m:grow/>
          </m:dPr>
          <m:e>
            <m:sSubSup>
              <m:e>
                <m:r>
                  <m:t>τ</m:t>
                </m:r>
              </m:e>
              <m:sub>
                <m:r>
                  <m:t>k</m:t>
                </m:r>
              </m:sub>
              <m:sup>
                <m:r>
                  <m:rPr>
                    <m:sty m:val="p"/>
                  </m:rPr>
                  <m:t>−</m:t>
                </m:r>
              </m:sup>
            </m:sSubSup>
          </m:e>
        </m:d>
      </m:oMath>
      <w:r>
        <w:t xml:space="preserve"> by </w:t>
      </w:r>
      <m:oMath>
        <m:r>
          <m:t>θ</m:t>
        </m:r>
        <m:d>
          <m:dPr>
            <m:begChr m:val="("/>
            <m:sepChr m:val=""/>
            <m:endChr m:val=")"/>
            <m:grow/>
          </m:dPr>
          <m:e>
            <m:sSubSup>
              <m:e>
                <m:r>
                  <m:t>τ</m:t>
                </m:r>
              </m:e>
              <m:sub>
                <m:r>
                  <m:t>k</m:t>
                </m:r>
              </m:sub>
              <m:sup>
                <m:r>
                  <m:rPr>
                    <m:sty m:val="p"/>
                  </m:rPr>
                  <m:t>+</m:t>
                </m:r>
              </m:sup>
            </m:sSubSup>
          </m:e>
        </m:d>
        <m:r>
          <m:rPr>
            <m:sty m:val="p"/>
          </m:rPr>
          <m:t>=</m:t>
        </m:r>
        <m:r>
          <m:t>θ</m:t>
        </m:r>
        <m:d>
          <m:dPr>
            <m:begChr m:val="("/>
            <m:sepChr m:val=""/>
            <m:endChr m:val=")"/>
            <m:grow/>
          </m:dPr>
          <m:e>
            <m:sSubSup>
              <m:e>
                <m:r>
                  <m:t>τ</m:t>
                </m:r>
              </m:e>
              <m:sub>
                <m:r>
                  <m:t>k</m:t>
                </m:r>
              </m:sub>
              <m:sup>
                <m:r>
                  <m:rPr>
                    <m:sty m:val="p"/>
                  </m:rPr>
                  <m:t>−</m:t>
                </m:r>
              </m:sup>
            </m:sSubSup>
          </m:e>
        </m:d>
        <m:r>
          <m:rPr>
            <m:sty m:val="p"/>
          </m:rPr>
          <m:t>+</m:t>
        </m:r>
        <m:r>
          <m:t>Δ</m:t>
        </m:r>
        <m:sSub>
          <m:e>
            <m:r>
              <m:t>θ</m:t>
            </m:r>
          </m:e>
          <m:sub>
            <m:r>
              <m:t>k</m:t>
            </m:r>
          </m:sub>
        </m:sSub>
      </m:oMath>
      <w:r>
        <w:t xml:space="preserve">. A full retrain corresponds to an unconstrained and typically large displacement; a knowledge edit or parameter-efficient fine-tune corresponds to a sparse or low-rank displacement; a retrieval event corresponds to </w:t>
      </w:r>
      <m:oMath>
        <m:r>
          <m:t>Δ</m:t>
        </m:r>
        <m:sSub>
          <m:e>
            <m:r>
              <m:t>θ</m:t>
            </m:r>
          </m:e>
          <m:sub>
            <m:r>
              <m:t>k</m:t>
            </m:r>
          </m:sub>
        </m:sSub>
        <m:r>
          <m:rPr>
            <m:sty m:val="p"/>
          </m:rPr>
          <m:t>=</m:t>
        </m:r>
        <m:r>
          <m:t>0</m:t>
        </m:r>
      </m:oMath>
      <w:r>
        <w:t xml:space="preserve"> together with an update of an external corpus </w:t>
      </w:r>
      <m:oMath>
        <m:r>
          <m:t>C</m:t>
        </m:r>
        <m:d>
          <m:dPr>
            <m:begChr m:val="("/>
            <m:sepChr m:val=""/>
            <m:endChr m:val=")"/>
            <m:grow/>
          </m:dPr>
          <m:e>
            <m:r>
              <m:t>t</m:t>
            </m:r>
          </m:e>
        </m:d>
      </m:oMath>
      <w:r>
        <w:t xml:space="preserve">. The world state </w:t>
      </w:r>
      <m:oMath>
        <m:r>
          <m:t>W</m:t>
        </m:r>
        <m:d>
          <m:dPr>
            <m:begChr m:val="("/>
            <m:sepChr m:val=""/>
            <m:endChr m:val=")"/>
            <m:grow/>
          </m:dPr>
          <m:e>
            <m:r>
              <m:t>t</m:t>
            </m:r>
          </m:e>
        </m:d>
      </m:oMath>
      <w:r>
        <w:t xml:space="preserve"> is an exogenous stochastic process representing the distribution of facts, tasks, and norms the model will be asked to handle.</w:t>
      </w:r>
    </w:p>
    <w:p>
      <w:pPr>
        <w:pStyle w:val="Heading2"/>
        <w:numPr>
          <w:ilvl w:val="0"/>
          <w:numId w:val="0"/>
        </w:numPr>
        <w:ind w:left="0" w:firstLine="0"/>
      </w:pPr>
      <w:r>
        <w:t xml:space="preserve">B. Freshness, Staleness, and Forgetting</w:t>
      </w:r>
    </w:p>
    <w:p>
      <w:pPr>
        <w:pStyle w:val="Text"/>
      </w:pPr>
      <w:r>
        <w:t xml:space="preserve">Task-relevant accuracy, or freshness, is the expected per-example utility of parameters </w:t>
      </w:r>
      <m:oMath>
        <m:r>
          <m:t>θ</m:t>
        </m:r>
      </m:oMath>
      <w:r>
        <w:t xml:space="preserve"> against world </w:t>
      </w:r>
      <m:oMath>
        <m:r>
          <m:t>W</m:t>
        </m:r>
      </m:oMath>
      <w:r>
        <w:t xml:space="preserve">,</w:t>
      </w:r>
    </w:p>
    <w:p>
      <w:pPr>
        <w:pStyle w:val="Equation"/>
        <w:tabs>
          <w:tab w:val="clear" w:pos="5040"/>
          <w:tab w:val="center" w:pos="2520"/>
          <w:tab w:val="right" w:pos="5040"/>
        </w:tabs>
        <w:spacing w:before="60" w:after="60"/>
      </w:pPr>
      <w:r>
        <w:tab/>
      </w:r>
      <m:oMath>
        <m:r>
          <m:t>A</m:t>
        </m:r>
        <m:d>
          <m:dPr>
            <m:begChr m:val="("/>
            <m:sepChr m:val=""/>
            <m:endChr m:val=")"/>
            <m:grow/>
          </m:dPr>
          <m:e>
            <m:r>
              <m:t>θ</m:t>
            </m:r>
            <m:r>
              <m:rPr>
                <m:sty m:val="p"/>
              </m:rPr>
              <m:t>,</m:t>
            </m:r>
            <m:r>
              <m:t>W</m:t>
            </m:r>
          </m:e>
        </m:d>
        <m:r>
          <m:rPr>
            <m:sty m:val="p"/>
          </m:rPr>
          <m:t>=</m:t>
        </m:r>
        <m:sSub>
          <m:e>
            <m:r>
              <m:rPr>
                <m:scr m:val="double-struck"/>
                <m:sty m:val="p"/>
              </m:rPr>
              <m:t>E</m:t>
            </m:r>
          </m:e>
          <m:sub>
            <m:r>
              <m:t>x</m:t>
            </m:r>
            <m:r>
              <m:rPr>
                <m:sty m:val="p"/>
              </m:rPr>
              <m:t>∼</m:t>
            </m:r>
            <m:r>
              <m:t>W</m:t>
            </m:r>
          </m:sub>
        </m:sSub>
        <m:d>
          <m:dPr>
            <m:begChr m:val="["/>
            <m:sepChr m:val=""/>
            <m:endChr m:val="]"/>
            <m:grow/>
          </m:dPr>
          <m:e>
            <m:r>
              <m:t>u</m:t>
            </m:r>
            <m:d>
              <m:dPr>
                <m:begChr m:val="("/>
                <m:sepChr m:val=""/>
                <m:endChr m:val=")"/>
                <m:grow/>
              </m:dPr>
              <m:e>
                <m:r>
                  <m:t>θ</m:t>
                </m:r>
                <m:r>
                  <m:rPr>
                    <m:sty m:val="p"/>
                  </m:rPr>
                  <m:t>;</m:t>
                </m:r>
                <m:r>
                  <m:t>x</m:t>
                </m:r>
              </m:e>
            </m:d>
          </m:e>
        </m:d>
        <m:r>
          <m:rPr>
            <m:sty m:val="p"/>
          </m:rPr>
          <m:t>,</m:t>
        </m:r>
      </m:oMath>
      <w:r>
        <w:tab/>
        <w:t>(1)</w:t>
      </w:r>
    </w:p>
    <w:p>
      <w:pPr>
        <w:pStyle w:val="Text"/>
      </w:pPr>
      <w:r>
        <w:t xml:space="preserve">where </w:t>
      </w:r>
      <m:oMath>
        <m:r>
          <m:t>u</m:t>
        </m:r>
      </m:oMath>
      <w:r>
        <w:t xml:space="preserve"> is bounded (an indicator of correctness, a preference score, or a negative loss). Staleness at time </w:t>
      </w:r>
      <m:oMath>
        <m:r>
          <m:t>t</m:t>
        </m:r>
      </m:oMath>
      <w:r>
        <w:t xml:space="preserve"> since the last maintenance epoch </w:t>
      </w:r>
      <m:oMath>
        <m:r>
          <m:t>τ</m:t>
        </m:r>
      </m:oMath>
      <w:r>
        <w:t xml:space="preserve"> is</w:t>
      </w:r>
    </w:p>
    <w:p>
      <w:pPr>
        <w:pStyle w:val="Equation"/>
        <w:tabs>
          <w:tab w:val="clear" w:pos="5040"/>
          <w:tab w:val="center" w:pos="2520"/>
          <w:tab w:val="right" w:pos="5040"/>
        </w:tabs>
        <w:spacing w:before="60" w:after="60"/>
      </w:pPr>
      <w:r>
        <w:tab/>
      </w:r>
      <m:oMath>
        <m:r>
          <m:t>S</m:t>
        </m:r>
        <m:d>
          <m:dPr>
            <m:begChr m:val="("/>
            <m:sepChr m:val=""/>
            <m:endChr m:val=")"/>
            <m:grow/>
          </m:dPr>
          <m:e>
            <m:r>
              <m:t>t</m:t>
            </m:r>
          </m:e>
        </m:d>
        <m:r>
          <m:rPr>
            <m:sty m:val="p"/>
          </m:rPr>
          <m:t>=</m:t>
        </m:r>
        <m:r>
          <m:t>A</m:t>
        </m:r>
        <m:d>
          <m:dPr>
            <m:begChr m:val="("/>
            <m:sepChr m:val=""/>
            <m:endChr m:val=")"/>
            <m:grow/>
          </m:dPr>
          <m:e>
            <m:r>
              <m:t>θ</m:t>
            </m:r>
            <m:d>
              <m:dPr>
                <m:begChr m:val="("/>
                <m:sepChr m:val=""/>
                <m:endChr m:val=")"/>
                <m:grow/>
              </m:dPr>
              <m:e>
                <m:sSup>
                  <m:e>
                    <m:r>
                      <m:t>τ</m:t>
                    </m:r>
                  </m:e>
                  <m:sup>
                    <m:r>
                      <m:rPr>
                        <m:sty m:val="p"/>
                      </m:rPr>
                      <m:t>+</m:t>
                    </m:r>
                  </m:sup>
                </m:sSup>
              </m:e>
            </m:d>
            <m:r>
              <m:rPr>
                <m:sty m:val="p"/>
              </m:rPr>
              <m:t>,</m:t>
            </m:r>
            <m:r>
              <m:t>W</m:t>
            </m:r>
            <m:d>
              <m:dPr>
                <m:begChr m:val="("/>
                <m:sepChr m:val=""/>
                <m:endChr m:val=")"/>
                <m:grow/>
              </m:dPr>
              <m:e>
                <m:r>
                  <m:t>τ</m:t>
                </m:r>
              </m:e>
            </m:d>
          </m:e>
        </m:d>
        <m:r>
          <m:rPr>
            <m:sty m:val="p"/>
          </m:rPr>
          <m:t>−</m:t>
        </m:r>
        <m:r>
          <m:t>A</m:t>
        </m:r>
        <m:d>
          <m:dPr>
            <m:begChr m:val="("/>
            <m:sepChr m:val=""/>
            <m:endChr m:val=")"/>
            <m:grow/>
          </m:dPr>
          <m:e>
            <m:r>
              <m:t>θ</m:t>
            </m:r>
            <m:d>
              <m:dPr>
                <m:begChr m:val="("/>
                <m:sepChr m:val=""/>
                <m:endChr m:val=")"/>
                <m:grow/>
              </m:dPr>
              <m:e>
                <m:sSup>
                  <m:e>
                    <m:r>
                      <m:t>τ</m:t>
                    </m:r>
                  </m:e>
                  <m:sup>
                    <m:r>
                      <m:rPr>
                        <m:sty m:val="p"/>
                      </m:rPr>
                      <m:t>+</m:t>
                    </m:r>
                  </m:sup>
                </m:sSup>
              </m:e>
            </m:d>
            <m:r>
              <m:rPr>
                <m:sty m:val="p"/>
              </m:rPr>
              <m:t>,</m:t>
            </m:r>
            <m:r>
              <m:t>W</m:t>
            </m:r>
            <m:d>
              <m:dPr>
                <m:begChr m:val="("/>
                <m:sepChr m:val=""/>
                <m:endChr m:val=")"/>
                <m:grow/>
              </m:dPr>
              <m:e>
                <m:r>
                  <m:t>t</m:t>
                </m:r>
              </m:e>
            </m:d>
          </m:e>
        </m:d>
        <m:r>
          <m:rPr>
            <m:sty m:val="p"/>
          </m:rPr>
          <m:t>.</m:t>
        </m:r>
      </m:oMath>
      <w:r>
        <w:tab/>
        <w:t>(2)</w:t>
      </w:r>
    </w:p>
    <w:p>
      <w:pPr>
        <w:pStyle w:val="Text"/>
      </w:pPr>
      <m:oMath>
        <m:r>
          <m:t>S</m:t>
        </m:r>
        <m:d>
          <m:dPr>
            <m:begChr m:val="("/>
            <m:sepChr m:val=""/>
            <m:endChr m:val=")"/>
            <m:grow/>
          </m:dPr>
          <m:e>
            <m:r>
              <m:t>t</m:t>
            </m:r>
          </m:e>
        </m:d>
      </m:oMath>
      <w:r>
        <w:t xml:space="preserve"> is nonnegative in expectation whenever the world drifts away from the post-maintenance snapshot, and </w:t>
      </w:r>
      <m:oMath>
        <m:r>
          <m:t>S</m:t>
        </m:r>
        <m:d>
          <m:dPr>
            <m:begChr m:val="("/>
            <m:sepChr m:val=""/>
            <m:endChr m:val=")"/>
            <m:grow/>
          </m:dPr>
          <m:e>
            <m:sSup>
              <m:e>
                <m:r>
                  <m:t>τ</m:t>
                </m:r>
              </m:e>
              <m:sup>
                <m:r>
                  <m:rPr>
                    <m:sty m:val="p"/>
                  </m:rPr>
                  <m:t>+</m:t>
                </m:r>
              </m:sup>
            </m:sSup>
          </m:e>
        </m:d>
        <m:r>
          <m:rPr>
            <m:sty m:val="p"/>
          </m:rPr>
          <m:t>=</m:t>
        </m:r>
        <m:r>
          <m:t>0</m:t>
        </m:r>
      </m:oMath>
      <w:r>
        <w:t xml:space="preserve"> by construction. Because </w:t>
      </w:r>
      <m:oMath>
        <m:r>
          <m:t>u</m:t>
        </m:r>
      </m:oMath>
      <w:r>
        <w:t xml:space="preserve"> is bounded, so is </w:t>
      </w:r>
      <m:oMath>
        <m:r>
          <m:t>S</m:t>
        </m:r>
      </m:oMath>
      <w:r>
        <w:t xml:space="preserve">; the affine growth models of Section V are local approximations valid while staleness lies well below that bound.</w:t>
      </w:r>
    </w:p>
    <w:p>
      <w:pPr>
        <w:pStyle w:val="Text"/>
      </w:pPr>
      <w:r>
        <w:t xml:space="preserve">Forgetting incurred by a displacement </w:t>
      </w:r>
      <m:oMath>
        <m:r>
          <m:t>Δ</m:t>
        </m:r>
        <m:r>
          <m:t>θ</m:t>
        </m:r>
      </m:oMath>
      <w:r>
        <w:t xml:space="preserve"> is the drop in accuracy on the pre-update world, with </w:t>
      </w:r>
      <m:oMath>
        <m:r>
          <m:t>W</m:t>
        </m:r>
      </m:oMath>
      <w:r>
        <w:t xml:space="preserve"> held fixed:</w:t>
      </w:r>
    </w:p>
    <w:p>
      <w:pPr>
        <w:pStyle w:val="Equation"/>
        <w:tabs>
          <w:tab w:val="clear" w:pos="5040"/>
          <w:tab w:val="center" w:pos="2520"/>
          <w:tab w:val="right" w:pos="5040"/>
        </w:tabs>
        <w:spacing w:before="60" w:after="60"/>
      </w:pPr>
      <w:r>
        <w:tab/>
      </w:r>
      <m:oMath>
        <m:r>
          <m:t>F</m:t>
        </m:r>
        <m:d>
          <m:dPr>
            <m:begChr m:val="("/>
            <m:sepChr m:val=""/>
            <m:endChr m:val=")"/>
            <m:grow/>
          </m:dPr>
          <m:e>
            <m:r>
              <m:t>Δ</m:t>
            </m:r>
            <m:r>
              <m:t>θ</m:t>
            </m:r>
          </m:e>
        </m:d>
        <m:r>
          <m:rPr>
            <m:sty m:val="p"/>
          </m:rPr>
          <m:t>=</m:t>
        </m:r>
        <m:r>
          <m:t>A</m:t>
        </m:r>
        <m:d>
          <m:dPr>
            <m:begChr m:val="("/>
            <m:sepChr m:val=""/>
            <m:endChr m:val=")"/>
            <m:grow/>
          </m:dPr>
          <m:e>
            <m:r>
              <m:t>θ</m:t>
            </m:r>
            <m:d>
              <m:dPr>
                <m:begChr m:val="("/>
                <m:sepChr m:val=""/>
                <m:endChr m:val=")"/>
                <m:grow/>
              </m:dPr>
              <m:e>
                <m:sSup>
                  <m:e>
                    <m:r>
                      <m:t>τ</m:t>
                    </m:r>
                  </m:e>
                  <m:sup>
                    <m:r>
                      <m:rPr>
                        <m:sty m:val="p"/>
                      </m:rPr>
                      <m:t>−</m:t>
                    </m:r>
                  </m:sup>
                </m:sSup>
              </m:e>
            </m:d>
            <m:r>
              <m:rPr>
                <m:sty m:val="p"/>
              </m:rPr>
              <m:t>,</m:t>
            </m:r>
            <m:r>
              <m:t>W</m:t>
            </m:r>
            <m:d>
              <m:dPr>
                <m:begChr m:val="("/>
                <m:sepChr m:val=""/>
                <m:endChr m:val=")"/>
                <m:grow/>
              </m:dPr>
              <m:e>
                <m:sSup>
                  <m:e>
                    <m:r>
                      <m:t>τ</m:t>
                    </m:r>
                  </m:e>
                  <m:sup>
                    <m:r>
                      <m:rPr>
                        <m:sty m:val="p"/>
                      </m:rPr>
                      <m:t>−</m:t>
                    </m:r>
                  </m:sup>
                </m:sSup>
              </m:e>
            </m:d>
          </m:e>
        </m:d>
        <m:r>
          <m:rPr>
            <m:sty m:val="p"/>
          </m:rPr>
          <m:t>−</m:t>
        </m:r>
        <m:r>
          <m:t>A</m:t>
        </m:r>
        <m:d>
          <m:dPr>
            <m:begChr m:val="("/>
            <m:sepChr m:val=""/>
            <m:endChr m:val=")"/>
            <m:grow/>
          </m:dPr>
          <m:e>
            <m:r>
              <m:t>θ</m:t>
            </m:r>
            <m:d>
              <m:dPr>
                <m:begChr m:val="("/>
                <m:sepChr m:val=""/>
                <m:endChr m:val=")"/>
                <m:grow/>
              </m:dPr>
              <m:e>
                <m:sSup>
                  <m:e>
                    <m:r>
                      <m:t>τ</m:t>
                    </m:r>
                  </m:e>
                  <m:sup>
                    <m:r>
                      <m:rPr>
                        <m:sty m:val="p"/>
                      </m:rPr>
                      <m:t>−</m:t>
                    </m:r>
                  </m:sup>
                </m:sSup>
              </m:e>
            </m:d>
            <m:r>
              <m:rPr>
                <m:sty m:val="p"/>
              </m:rPr>
              <m:t>+</m:t>
            </m:r>
            <m:r>
              <m:t>Δ</m:t>
            </m:r>
            <m:r>
              <m:t>θ</m:t>
            </m:r>
            <m:r>
              <m:rPr>
                <m:sty m:val="p"/>
              </m:rPr>
              <m:t>,</m:t>
            </m:r>
            <m:r>
              <m:t>W</m:t>
            </m:r>
            <m:d>
              <m:dPr>
                <m:begChr m:val="("/>
                <m:sepChr m:val=""/>
                <m:endChr m:val=")"/>
                <m:grow/>
              </m:dPr>
              <m:e>
                <m:sSup>
                  <m:e>
                    <m:r>
                      <m:t>τ</m:t>
                    </m:r>
                  </m:e>
                  <m:sup>
                    <m:r>
                      <m:rPr>
                        <m:sty m:val="p"/>
                      </m:rPr>
                      <m:t>−</m:t>
                    </m:r>
                  </m:sup>
                </m:sSup>
              </m:e>
            </m:d>
          </m:e>
        </m:d>
        <m:r>
          <m:rPr>
            <m:sty m:val="p"/>
          </m:rPr>
          <m:t>.</m:t>
        </m:r>
      </m:oMath>
      <w:r>
        <w:tab/>
        <w:t>(3)</w:t>
      </w:r>
    </w:p>
    <w:p>
      <w:pPr>
        <w:pStyle w:val="Text"/>
      </w:pPr>
      <w:r>
        <w:t xml:space="preserve">In reliability terms </w:t>
      </w:r>
      <m:oMath>
        <m:r>
          <m:t>F</m:t>
        </m:r>
      </m:oMath>
      <w:r>
        <w:t xml:space="preserve"> is the damage inflicted by an imperfect repair [4]. It depends on the Euclidean size of </w:t>
      </w:r>
      <m:oMath>
        <m:r>
          <m:t>Δ</m:t>
        </m:r>
        <m:r>
          <m:t>θ</m:t>
        </m:r>
      </m:oMath>
      <w:r>
        <w:t xml:space="preserve"> and on its alignment with high-curvature directions of the pre-update loss, a dependence made explicit in Section VI.</w:t>
      </w:r>
    </w:p>
    <w:p>
      <w:pPr>
        <w:pStyle w:val="Heading2"/>
        <w:numPr>
          <w:ilvl w:val="0"/>
          <w:numId w:val="0"/>
        </w:numPr>
        <w:ind w:left="0" w:firstLine="0"/>
      </w:pPr>
      <w:r>
        <w:t xml:space="preserve">C. Degradation Index</w:t>
      </w:r>
    </w:p>
    <w:p>
      <w:pPr>
        <w:pStyle w:val="Text"/>
      </w:pPr>
      <w:r>
        <w:t xml:space="preserve">Staleness and forgetting are measured against different worlds, so neither alone describes the condition of the model after an imperfect update. The degradation index</w:t>
      </w:r>
    </w:p>
    <w:p>
      <w:pPr>
        <w:pStyle w:val="Equation"/>
        <w:tabs>
          <w:tab w:val="clear" w:pos="5040"/>
          <w:tab w:val="center" w:pos="2520"/>
          <w:tab w:val="right" w:pos="5040"/>
        </w:tabs>
        <w:spacing w:before="60" w:after="60"/>
      </w:pPr>
      <w:r>
        <w:tab/>
      </w:r>
      <m:oMath>
        <m:r>
          <m:t>D</m:t>
        </m:r>
        <m:d>
          <m:dPr>
            <m:begChr m:val="("/>
            <m:sepChr m:val=""/>
            <m:endChr m:val=")"/>
            <m:grow/>
          </m:dPr>
          <m:e>
            <m:r>
              <m:t>t</m:t>
            </m:r>
          </m:e>
        </m:d>
        <m:r>
          <m:rPr>
            <m:sty m:val="p"/>
          </m:rPr>
          <m:t>=</m:t>
        </m:r>
        <m:r>
          <m:t>S</m:t>
        </m:r>
        <m:d>
          <m:dPr>
            <m:begChr m:val="("/>
            <m:sepChr m:val=""/>
            <m:endChr m:val=")"/>
            <m:grow/>
          </m:dPr>
          <m:e>
            <m:r>
              <m:t>t</m:t>
            </m:r>
          </m:e>
        </m:d>
        <m:r>
          <m:rPr>
            <m:sty m:val="p"/>
          </m:rPr>
          <m:t>+</m:t>
        </m:r>
        <m:r>
          <m:t>F</m:t>
        </m:r>
        <m:d>
          <m:dPr>
            <m:begChr m:val="("/>
            <m:sepChr m:val=""/>
            <m:endChr m:val=")"/>
            <m:grow/>
          </m:dPr>
          <m:e>
            <m:r>
              <m:t>Δ</m:t>
            </m:r>
            <m:sSub>
              <m:e>
                <m:r>
                  <m:t>θ</m:t>
                </m:r>
              </m:e>
              <m:sub>
                <m:r>
                  <m:rPr>
                    <m:sty m:val="p"/>
                  </m:rPr>
                  <m:t>l</m:t>
                </m:r>
                <m:r>
                  <m:rPr>
                    <m:sty m:val="p"/>
                  </m:rPr>
                  <m:t>a</m:t>
                </m:r>
                <m:r>
                  <m:rPr>
                    <m:sty m:val="p"/>
                  </m:rPr>
                  <m:t>s</m:t>
                </m:r>
                <m:r>
                  <m:rPr>
                    <m:sty m:val="p"/>
                  </m:rPr>
                  <m:t>t</m:t>
                </m:r>
              </m:sub>
            </m:sSub>
          </m:e>
        </m:d>
      </m:oMath>
      <w:r>
        <w:tab/>
        <w:t>(4)</w:t>
      </w:r>
    </w:p>
    <w:p>
      <w:pPr>
        <w:pStyle w:val="Text"/>
      </w:pPr>
      <w:r>
        <w:t xml:space="preserve">starts at </w:t>
      </w:r>
      <m:oMath>
        <m:r>
          <m:t>F</m:t>
        </m:r>
        <m:d>
          <m:dPr>
            <m:begChr m:val="("/>
            <m:sepChr m:val=""/>
            <m:endChr m:val=")"/>
            <m:grow/>
          </m:dPr>
          <m:e>
            <m:r>
              <m:t>Δ</m:t>
            </m:r>
            <m:sSub>
              <m:e>
                <m:r>
                  <m:t>θ</m:t>
                </m:r>
              </m:e>
              <m:sub>
                <m:r>
                  <m:t>k</m:t>
                </m:r>
              </m:sub>
            </m:sSub>
          </m:e>
        </m:d>
      </m:oMath>
      <w:r>
        <w:t xml:space="preserve"> immediately after the </w:t>
      </w:r>
      <m:oMath>
        <m:r>
          <m:t>k</m:t>
        </m:r>
      </m:oMath>
      <w:r>
        <w:t xml:space="preserve">th maintenance event and then grows as the world drifts. Adding the two terms treats accuracy lost on the old world and accuracy lost to drift as commensurable, which is part of Assumption 1. When a repair induces no forgetting, </w:t>
      </w:r>
      <m:oMath>
        <m:r>
          <m:t>D</m:t>
        </m:r>
      </m:oMath>
      <w:r>
        <w:t xml:space="preserve"> coincides with </w:t>
      </w:r>
      <m:oMath>
        <m:r>
          <m:t>S</m:t>
        </m:r>
      </m:oMath>
      <w:r>
        <w:t xml:space="preserve">. The index plays the role that a wear or damage process plays in classical CBM.</w:t>
      </w:r>
    </w:p>
    <w:p>
      <w:pPr>
        <w:pStyle w:val="Heading2"/>
        <w:numPr>
          <w:ilvl w:val="0"/>
          <w:numId w:val="0"/>
        </w:numPr>
        <w:ind w:left="0" w:firstLine="0"/>
      </w:pPr>
      <w:r>
        <w:t xml:space="preserve">D. Cost Accounting</w:t>
      </w:r>
    </w:p>
    <w:p>
      <w:pPr>
        <w:pStyle w:val="Text"/>
      </w:pPr>
      <w:r>
        <w:t xml:space="preserve">Following the floating-point accounting of the scaling-law literature, an update that trains </w:t>
      </w:r>
      <m:oMath>
        <m:sSub>
          <m:e>
            <m:r>
              <m:t>n</m:t>
            </m:r>
          </m:e>
          <m:sub>
            <m:r>
              <m:rPr>
                <m:sty m:val="p"/>
              </m:rPr>
              <m:t>t</m:t>
            </m:r>
            <m:r>
              <m:rPr>
                <m:sty m:val="p"/>
              </m:rPr>
              <m:t>r</m:t>
            </m:r>
            <m:r>
              <m:rPr>
                <m:sty m:val="p"/>
              </m:rPr>
              <m:t>a</m:t>
            </m:r>
            <m:r>
              <m:rPr>
                <m:sty m:val="p"/>
              </m:rPr>
              <m:t>i</m:t>
            </m:r>
            <m:r>
              <m:rPr>
                <m:sty m:val="p"/>
              </m:rPr>
              <m:t>n</m:t>
            </m:r>
          </m:sub>
        </m:sSub>
      </m:oMath>
      <w:r>
        <w:t xml:space="preserve"> parameters over </w:t>
      </w:r>
      <m:oMath>
        <m:r>
          <m:t>T</m:t>
        </m:r>
      </m:oMath>
      <w:r>
        <w:t xml:space="preserve"> tokens, and whose backpropagation traverses </w:t>
      </w:r>
      <m:oMath>
        <m:sSub>
          <m:e>
            <m:r>
              <m:t>n</m:t>
            </m:r>
          </m:e>
          <m:sub>
            <m:r>
              <m:rPr>
                <m:sty m:val="p"/>
              </m:rPr>
              <m:t>b</m:t>
            </m:r>
            <m:r>
              <m:rPr>
                <m:sty m:val="p"/>
              </m:rPr>
              <m:t>a</m:t>
            </m:r>
            <m:r>
              <m:rPr>
                <m:sty m:val="p"/>
              </m:rPr>
              <m:t>c</m:t>
            </m:r>
            <m:r>
              <m:rPr>
                <m:sty m:val="p"/>
              </m:rPr>
              <m:t>k</m:t>
            </m:r>
          </m:sub>
        </m:sSub>
      </m:oMath>
      <w:r>
        <w:t xml:space="preserve"> parameters, costs</w:t>
      </w:r>
    </w:p>
    <w:p>
      <w:pPr>
        <w:pStyle w:val="Equation"/>
        <w:tabs>
          <w:tab w:val="clear" w:pos="5040"/>
          <w:tab w:val="center" w:pos="2520"/>
          <w:tab w:val="right" w:pos="5040"/>
        </w:tabs>
        <w:spacing w:before="60" w:after="60"/>
      </w:pPr>
      <w:r>
        <w:tab/>
      </w:r>
      <m:oMath>
        <m:r>
          <m:t>K</m:t>
        </m:r>
        <m:r>
          <m:rPr>
            <m:sty m:val="p"/>
          </m:rPr>
          <m:t>=</m:t>
        </m:r>
        <m:r>
          <m:t>κ</m:t>
        </m:r>
        <m:r>
          <m:t> </m:t>
        </m:r>
        <m:r>
          <m:t>T</m:t>
        </m:r>
        <m:r>
          <m:t> </m:t>
        </m:r>
        <m:d>
          <m:dPr>
            <m:begChr m:val="("/>
            <m:sepChr m:val=""/>
            <m:endChr m:val=")"/>
            <m:grow/>
          </m:dPr>
          <m:e>
            <m:r>
              <m:t>2</m:t>
            </m:r>
            <m:sSub>
              <m:e>
                <m:r>
                  <m:t>n</m:t>
                </m:r>
              </m:e>
              <m:sub>
                <m:r>
                  <m:rPr>
                    <m:sty m:val="p"/>
                  </m:rPr>
                  <m:t>a</m:t>
                </m:r>
                <m:r>
                  <m:rPr>
                    <m:sty m:val="p"/>
                  </m:rPr>
                  <m:t>l</m:t>
                </m:r>
                <m:r>
                  <m:rPr>
                    <m:sty m:val="p"/>
                  </m:rPr>
                  <m:t>l</m:t>
                </m:r>
              </m:sub>
            </m:sSub>
            <m:r>
              <m:rPr>
                <m:sty m:val="p"/>
              </m:rPr>
              <m:t>+</m:t>
            </m:r>
            <m:r>
              <m:t>2</m:t>
            </m:r>
            <m:sSub>
              <m:e>
                <m:r>
                  <m:t>n</m:t>
                </m:r>
              </m:e>
              <m:sub>
                <m:r>
                  <m:rPr>
                    <m:sty m:val="p"/>
                  </m:rPr>
                  <m:t>b</m:t>
                </m:r>
                <m:r>
                  <m:rPr>
                    <m:sty m:val="p"/>
                  </m:rPr>
                  <m:t>a</m:t>
                </m:r>
                <m:r>
                  <m:rPr>
                    <m:sty m:val="p"/>
                  </m:rPr>
                  <m:t>c</m:t>
                </m:r>
                <m:r>
                  <m:rPr>
                    <m:sty m:val="p"/>
                  </m:rPr>
                  <m:t>k</m:t>
                </m:r>
              </m:sub>
            </m:sSub>
            <m:r>
              <m:rPr>
                <m:sty m:val="p"/>
              </m:rPr>
              <m:t>+</m:t>
            </m:r>
            <m:r>
              <m:t>2</m:t>
            </m:r>
            <m:sSub>
              <m:e>
                <m:r>
                  <m:t>n</m:t>
                </m:r>
              </m:e>
              <m:sub>
                <m:r>
                  <m:rPr>
                    <m:sty m:val="p"/>
                  </m:rPr>
                  <m:t>t</m:t>
                </m:r>
                <m:r>
                  <m:rPr>
                    <m:sty m:val="p"/>
                  </m:rPr>
                  <m:t>r</m:t>
                </m:r>
                <m:r>
                  <m:rPr>
                    <m:sty m:val="p"/>
                  </m:rPr>
                  <m:t>a</m:t>
                </m:r>
                <m:r>
                  <m:rPr>
                    <m:sty m:val="p"/>
                  </m:rPr>
                  <m:t>i</m:t>
                </m:r>
                <m:r>
                  <m:rPr>
                    <m:sty m:val="p"/>
                  </m:rPr>
                  <m:t>n</m:t>
                </m:r>
              </m:sub>
            </m:sSub>
          </m:e>
        </m:d>
        <m:r>
          <m:rPr>
            <m:sty m:val="p"/>
          </m:rPr>
          <m:t>,</m:t>
        </m:r>
      </m:oMath>
      <w:r>
        <w:tab/>
        <w:t>(5)</w:t>
      </w:r>
    </w:p>
    <w:p>
      <w:pPr>
        <w:pStyle w:val="Text"/>
      </w:pPr>
      <w:r>
        <w:t xml:space="preserve">where </w:t>
      </w:r>
      <m:oMath>
        <m:r>
          <m:t>κ</m:t>
        </m:r>
      </m:oMath>
      <w:r>
        <w:t xml:space="preserve"> converts operations to money or opportunity cost and </w:t>
      </w:r>
      <m:oMath>
        <m:sSub>
          <m:e>
            <m:r>
              <m:t>n</m:t>
            </m:r>
          </m:e>
          <m:sub>
            <m:r>
              <m:rPr>
                <m:sty m:val="p"/>
              </m:rPr>
              <m:t>a</m:t>
            </m:r>
            <m:r>
              <m:rPr>
                <m:sty m:val="p"/>
              </m:rPr>
              <m:t>l</m:t>
            </m:r>
            <m:r>
              <m:rPr>
                <m:sty m:val="p"/>
              </m:rPr>
              <m:t>l</m:t>
            </m:r>
          </m:sub>
        </m:sSub>
      </m:oMath>
      <w:r>
        <w:t xml:space="preserve"> is the full parameter count. Full retraining sets </w:t>
      </w:r>
      <m:oMath>
        <m:sSub>
          <m:e>
            <m:r>
              <m:t>n</m:t>
            </m:r>
          </m:e>
          <m:sub>
            <m:r>
              <m:rPr>
                <m:sty m:val="p"/>
              </m:rPr>
              <m:t>t</m:t>
            </m:r>
            <m:r>
              <m:rPr>
                <m:sty m:val="p"/>
              </m:rPr>
              <m:t>r</m:t>
            </m:r>
            <m:r>
              <m:rPr>
                <m:sty m:val="p"/>
              </m:rPr>
              <m:t>a</m:t>
            </m:r>
            <m:r>
              <m:rPr>
                <m:sty m:val="p"/>
              </m:rPr>
              <m:t>i</m:t>
            </m:r>
            <m:r>
              <m:rPr>
                <m:sty m:val="p"/>
              </m:rPr>
              <m:t>n</m:t>
            </m:r>
          </m:sub>
        </m:sSub>
        <m:r>
          <m:rPr>
            <m:sty m:val="p"/>
          </m:rPr>
          <m:t>=</m:t>
        </m:r>
        <m:sSub>
          <m:e>
            <m:r>
              <m:t>n</m:t>
            </m:r>
          </m:e>
          <m:sub>
            <m:r>
              <m:rPr>
                <m:sty m:val="p"/>
              </m:rPr>
              <m:t>b</m:t>
            </m:r>
            <m:r>
              <m:rPr>
                <m:sty m:val="p"/>
              </m:rPr>
              <m:t>a</m:t>
            </m:r>
            <m:r>
              <m:rPr>
                <m:sty m:val="p"/>
              </m:rPr>
              <m:t>c</m:t>
            </m:r>
            <m:r>
              <m:rPr>
                <m:sty m:val="p"/>
              </m:rPr>
              <m:t>k</m:t>
            </m:r>
          </m:sub>
        </m:sSub>
        <m:r>
          <m:rPr>
            <m:sty m:val="p"/>
          </m:rPr>
          <m:t>=</m:t>
        </m:r>
        <m:sSub>
          <m:e>
            <m:r>
              <m:t>n</m:t>
            </m:r>
          </m:e>
          <m:sub>
            <m:r>
              <m:rPr>
                <m:sty m:val="p"/>
              </m:rPr>
              <m:t>a</m:t>
            </m:r>
            <m:r>
              <m:rPr>
                <m:sty m:val="p"/>
              </m:rPr>
              <m:t>l</m:t>
            </m:r>
            <m:r>
              <m:rPr>
                <m:sty m:val="p"/>
              </m:rPr>
              <m:t>l</m:t>
            </m:r>
          </m:sub>
        </m:sSub>
      </m:oMath>
      <w:r>
        <w:t xml:space="preserve"> and recovers the familiar six-operations rule. Parameter-efficient mechanisms have </w:t>
      </w:r>
      <m:oMath>
        <m:sSub>
          <m:e>
            <m:r>
              <m:t>n</m:t>
            </m:r>
          </m:e>
          <m:sub>
            <m:r>
              <m:rPr>
                <m:sty m:val="p"/>
              </m:rPr>
              <m:t>t</m:t>
            </m:r>
            <m:r>
              <m:rPr>
                <m:sty m:val="p"/>
              </m:rPr>
              <m:t>r</m:t>
            </m:r>
            <m:r>
              <m:rPr>
                <m:sty m:val="p"/>
              </m:rPr>
              <m:t>a</m:t>
            </m:r>
            <m:r>
              <m:rPr>
                <m:sty m:val="p"/>
              </m:rPr>
              <m:t>i</m:t>
            </m:r>
            <m:r>
              <m:rPr>
                <m:sty m:val="p"/>
              </m:rPr>
              <m:t>n</m:t>
            </m:r>
          </m:sub>
        </m:sSub>
        <m:r>
          <m:rPr>
            <m:sty m:val="p"/>
          </m:rPr>
          <m:t>≪</m:t>
        </m:r>
        <m:sSub>
          <m:e>
            <m:r>
              <m:t>n</m:t>
            </m:r>
          </m:e>
          <m:sub>
            <m:r>
              <m:rPr>
                <m:sty m:val="p"/>
              </m:rPr>
              <m:t>a</m:t>
            </m:r>
            <m:r>
              <m:rPr>
                <m:sty m:val="p"/>
              </m:rPr>
              <m:t>l</m:t>
            </m:r>
            <m:r>
              <m:rPr>
                <m:sty m:val="p"/>
              </m:rPr>
              <m:t>l</m:t>
            </m:r>
          </m:sub>
        </m:sSub>
      </m:oMath>
      <w:r>
        <w:t xml:space="preserve"> but still pay the forward pass and a partial backward pass. A simpler trainable-parameter accounting, </w:t>
      </w:r>
      <m:oMath>
        <m:r>
          <m:t>K</m:t>
        </m:r>
        <m:r>
          <m:rPr>
            <m:sty m:val="p"/>
          </m:rPr>
          <m:t>′</m:t>
        </m:r>
        <m:r>
          <m:rPr>
            <m:sty m:val="p"/>
          </m:rPr>
          <m:t>=</m:t>
        </m:r>
        <m:r>
          <m:t>6</m:t>
        </m:r>
        <m:r>
          <m:t>κ</m:t>
        </m:r>
        <m:r>
          <m:t> </m:t>
        </m:r>
        <m:sSub>
          <m:e>
            <m:r>
              <m:t>n</m:t>
            </m:r>
          </m:e>
          <m:sub>
            <m:r>
              <m:rPr>
                <m:sty m:val="p"/>
              </m:rPr>
              <m:t>t</m:t>
            </m:r>
            <m:r>
              <m:rPr>
                <m:sty m:val="p"/>
              </m:rPr>
              <m:t>r</m:t>
            </m:r>
            <m:r>
              <m:rPr>
                <m:sty m:val="p"/>
              </m:rPr>
              <m:t>a</m:t>
            </m:r>
            <m:r>
              <m:rPr>
                <m:sty m:val="p"/>
              </m:rPr>
              <m:t>i</m:t>
            </m:r>
            <m:r>
              <m:rPr>
                <m:sty m:val="p"/>
              </m:rPr>
              <m:t>n</m:t>
            </m:r>
          </m:sub>
        </m:sSub>
        <m:r>
          <m:t>T</m:t>
        </m:r>
      </m:oMath>
      <w:r>
        <w:t xml:space="preserve">, coincides with </w:t>
      </w:r>
      <m:oMath>
        <m:r>
          <m:t>K</m:t>
        </m:r>
      </m:oMath>
      <w:r>
        <w:t xml:space="preserve"> for full fine-tuning and understates the cost of efficient mechanisms; it is used in Section IX as a lower bound that isolates the part of cost that differs across mechanisms. Retrieval events incur an indexing cost </w:t>
      </w:r>
      <m:oMath>
        <m:sSub>
          <m:e>
            <m:r>
              <m:t>k</m:t>
            </m:r>
          </m:e>
          <m:sub>
            <m:r>
              <m:t>C</m:t>
            </m:r>
          </m:sub>
        </m:sSub>
      </m:oMath>
      <w:r>
        <w:t xml:space="preserve"> per unit time that scales with corpus size rather than model size.</w:t>
      </w:r>
    </w:p>
    <w:p>
      <w:pPr>
        <w:pStyle w:val="Text"/>
      </w:pPr>
      <w:r>
        <w:t xml:space="preserve">The long-run objective is to choose maintenance times, displacements, and corpus updates to minimize the average cost rate</w:t>
      </w:r>
    </w:p>
    <w:p>
      <w:pPr>
        <w:pStyle w:val="Equation"/>
        <w:tabs>
          <w:tab w:val="clear" w:pos="5040"/>
          <w:tab w:val="center" w:pos="2520"/>
          <w:tab w:val="right" w:pos="5040"/>
        </w:tabs>
        <w:spacing w:before="60" w:after="60"/>
      </w:pPr>
      <w:r>
        <w:tab/>
      </w:r>
      <m:oMath>
        <m:m>
          <m:mPr>
            <m:baseJc m:val="center"/>
            <m:plcHide m:val="on"/>
            <m:mcs>
              <m:mc>
                <m:mcPr>
                  <m:count m:val="1"/>
                  <m:mcJc m:val="center"/>
                </m:mcPr>
              </m:mc>
            </m:mcs>
          </m:mPr>
          <m:mr>
            <m:e>
              <m:r>
                <m:t>J</m:t>
              </m:r>
              <m:r>
                <m:rPr>
                  <m:sty m:val="p"/>
                </m:rPr>
                <m:t>=</m:t>
              </m:r>
              <m:sSub>
                <m:e>
                  <m:r>
                    <m:rPr>
                      <m:sty m:val="p"/>
                    </m:rPr>
                    <m:t>limsup</m:t>
                  </m:r>
                </m:e>
                <m:sub>
                  <m:r>
                    <m:t>T</m:t>
                  </m:r>
                  <m:r>
                    <m:rPr>
                      <m:sty m:val="p"/>
                    </m:rPr>
                    <m:t>→</m:t>
                  </m:r>
                  <m:r>
                    <m:rPr>
                      <m:sty m:val="p"/>
                    </m:rPr>
                    <m:t>∞</m:t>
                  </m:r>
                </m:sub>
              </m:sSub>
              <m:f>
                <m:fPr>
                  <m:type m:val="bar"/>
                </m:fPr>
                <m:num>
                  <m:r>
                    <m:t>1</m:t>
                  </m:r>
                </m:num>
                <m:den>
                  <m:r>
                    <m:t>T</m:t>
                  </m:r>
                </m:den>
              </m:f>
              <m:r>
                <m:t> </m:t>
              </m:r>
              <m:r>
                <m:rPr>
                  <m:scr m:val="double-struck"/>
                  <m:sty m:val="p"/>
                </m:rPr>
                <m:t>E</m:t>
              </m:r>
              <m:r>
                <m:rPr>
                  <m:sty m:val="p"/>
                </m:rPr>
                <m:t>[</m:t>
              </m:r>
              <m:nary>
                <m:naryPr>
                  <m:chr m:val="∫"/>
                  <m:limLoc m:val="subSup"/>
                  <m:subHide m:val="off"/>
                  <m:supHide m:val="off"/>
                </m:naryPr>
                <m:sub>
                  <m:r>
                    <m:t>0</m:t>
                  </m:r>
                </m:sub>
                <m:sup>
                  <m:r>
                    <m:t>T</m:t>
                  </m:r>
                </m:sup>
                <m:e>
                  <m:sSub>
                    <m:e>
                      <m:r>
                        <m:t>c</m:t>
                      </m:r>
                    </m:e>
                    <m:sub>
                      <m:r>
                        <m:t>L</m:t>
                      </m:r>
                    </m:sub>
                  </m:sSub>
                </m:e>
              </m:nary>
              <m:r>
                <m:t>D</m:t>
              </m:r>
              <m:d>
                <m:dPr>
                  <m:begChr m:val="("/>
                  <m:sepChr m:val=""/>
                  <m:endChr m:val=")"/>
                  <m:grow/>
                </m:dPr>
                <m:e>
                  <m:r>
                    <m:t>t</m:t>
                  </m:r>
                </m:e>
              </m:d>
              <m:r>
                <m:t> </m:t>
              </m:r>
              <m:r>
                <m:t>d</m:t>
              </m:r>
              <m:r>
                <m:t>t</m:t>
              </m:r>
            </m:e>
          </m:mr>
          <m:mr>
            <m:e>
              <m:r>
                <m:rPr>
                  <m:sty m:val="p"/>
                </m:rPr>
                <m:t>+</m:t>
              </m:r>
              <m:nary>
                <m:naryPr>
                  <m:chr m:val="∑"/>
                  <m:limLoc m:val="undOvr"/>
                  <m:subHide m:val="off"/>
                  <m:supHide m:val="on"/>
                </m:naryPr>
                <m:sub>
                  <m:sSub>
                    <m:e>
                      <m:r>
                        <m:t>τ</m:t>
                      </m:r>
                    </m:e>
                    <m:sub>
                      <m:r>
                        <m:t>k</m:t>
                      </m:r>
                    </m:sub>
                  </m:sSub>
                  <m:r>
                    <m:rPr>
                      <m:sty m:val="p"/>
                    </m:rPr>
                    <m:t>≤</m:t>
                  </m:r>
                  <m:r>
                    <m:t>T</m:t>
                  </m:r>
                </m:sub>
                <m:sup>
                  <m:r>
                    <m:t>​</m:t>
                  </m:r>
                </m:sup>
                <m:e>
                  <m:d>
                    <m:dPr>
                      <m:begChr m:val="("/>
                      <m:sepChr m:val=""/>
                      <m:endChr m:val=")"/>
                      <m:grow/>
                    </m:dPr>
                    <m:e>
                      <m:r>
                        <m:t>K</m:t>
                      </m:r>
                      <m:d>
                        <m:dPr>
                          <m:begChr m:val="("/>
                          <m:sepChr m:val=""/>
                          <m:endChr m:val=")"/>
                          <m:grow/>
                        </m:dPr>
                        <m:e>
                          <m:r>
                            <m:t>Δ</m:t>
                          </m:r>
                          <m:sSub>
                            <m:e>
                              <m:r>
                                <m:t>θ</m:t>
                              </m:r>
                            </m:e>
                            <m:sub>
                              <m:r>
                                <m:t>k</m:t>
                              </m:r>
                            </m:sub>
                          </m:sSub>
                        </m:e>
                      </m:d>
                      <m:r>
                        <m:rPr>
                          <m:sty m:val="p"/>
                        </m:rPr>
                        <m:t>+</m:t>
                      </m:r>
                      <m:sSub>
                        <m:e>
                          <m:r>
                            <m:t>c</m:t>
                          </m:r>
                        </m:e>
                        <m:sub>
                          <m:r>
                            <m:t>F</m:t>
                          </m:r>
                        </m:sub>
                      </m:sSub>
                      <m:r>
                        <m:t>F</m:t>
                      </m:r>
                      <m:d>
                        <m:dPr>
                          <m:begChr m:val="("/>
                          <m:sepChr m:val=""/>
                          <m:endChr m:val=")"/>
                          <m:grow/>
                        </m:dPr>
                        <m:e>
                          <m:r>
                            <m:t>Δ</m:t>
                          </m:r>
                          <m:sSub>
                            <m:e>
                              <m:r>
                                <m:t>θ</m:t>
                              </m:r>
                            </m:e>
                            <m:sub>
                              <m:r>
                                <m:t>k</m:t>
                              </m:r>
                            </m:sub>
                          </m:sSub>
                        </m:e>
                      </m:d>
                    </m:e>
                  </m:d>
                </m:e>
              </m:nary>
              <m:r>
                <m:rPr>
                  <m:sty m:val="p"/>
                </m:rPr>
                <m:t>+</m:t>
              </m:r>
              <m:nary>
                <m:naryPr>
                  <m:chr m:val="∫"/>
                  <m:limLoc m:val="subSup"/>
                  <m:subHide m:val="off"/>
                  <m:supHide m:val="off"/>
                </m:naryPr>
                <m:sub>
                  <m:r>
                    <m:t>0</m:t>
                  </m:r>
                </m:sub>
                <m:sup>
                  <m:r>
                    <m:t>T</m:t>
                  </m:r>
                </m:sup>
                <m:e>
                  <m:sSub>
                    <m:e>
                      <m:r>
                        <m:t>k</m:t>
                      </m:r>
                    </m:e>
                    <m:sub>
                      <m:r>
                        <m:t>C</m:t>
                      </m:r>
                    </m:sub>
                  </m:sSub>
                </m:e>
              </m:nary>
              <m:r>
                <m:t> </m:t>
              </m:r>
              <m:sSub>
                <m:e>
                  <m:r>
                    <m:rPr>
                      <m:sty m:val="b"/>
                    </m:rPr>
                    <m:t>1</m:t>
                  </m:r>
                </m:e>
                <m:sub>
                  <m:r>
                    <m:rPr>
                      <m:sty m:val="p"/>
                    </m:rPr>
                    <m:t>{</m:t>
                  </m:r>
                  <m:r>
                    <m:t>C</m:t>
                  </m:r>
                  <m:r>
                    <m:rPr>
                      <m:sty m:val="p"/>
                    </m:rPr>
                    <m:t>a</m:t>
                  </m:r>
                  <m:r>
                    <m:rPr>
                      <m:sty m:val="p"/>
                    </m:rPr>
                    <m:t>c</m:t>
                  </m:r>
                  <m:r>
                    <m:rPr>
                      <m:sty m:val="p"/>
                    </m:rPr>
                    <m:t>t</m:t>
                  </m:r>
                  <m:r>
                    <m:rPr>
                      <m:sty m:val="p"/>
                    </m:rPr>
                    <m:t>i</m:t>
                  </m:r>
                  <m:r>
                    <m:rPr>
                      <m:sty m:val="p"/>
                    </m:rPr>
                    <m:t>v</m:t>
                  </m:r>
                  <m:r>
                    <m:rPr>
                      <m:sty m:val="p"/>
                    </m:rPr>
                    <m:t>e</m:t>
                  </m:r>
                  <m:r>
                    <m:rPr>
                      <m:sty m:val="p"/>
                    </m:rPr>
                    <m:t>}</m:t>
                  </m:r>
                </m:sub>
              </m:sSub>
              <m:r>
                <m:t> </m:t>
              </m:r>
              <m:r>
                <m:t>d</m:t>
              </m:r>
              <m:r>
                <m:t>t</m:t>
              </m:r>
              <m:r>
                <m:rPr>
                  <m:sty m:val="p"/>
                </m:rPr>
                <m:t>]</m:t>
              </m:r>
              <m:r>
                <m:rPr>
                  <m:sty m:val="p"/>
                </m:rPr>
                <m:t>.</m:t>
              </m:r>
            </m:e>
          </m:mr>
        </m:m>
      </m:oMath>
      <w:r>
        <w:tab/>
        <w:t>(6)</w:t>
      </w:r>
    </w:p>
    <w:p>
      <w:pPr>
        <w:pStyle w:val="Text"/>
      </w:pPr>
      <w:r>
        <w:t xml:space="preserve">Here </w:t>
      </w:r>
      <m:oMath>
        <m:sSub>
          <m:e>
            <m:r>
              <m:t>c</m:t>
            </m:r>
          </m:e>
          <m:sub>
            <m:r>
              <m:t>L</m:t>
            </m:r>
          </m:sub>
        </m:sSub>
      </m:oMath>
      <w:r>
        <w:t xml:space="preserve"> converts degradation into an operating-loss rate (lost users, compliance exposure, downstream error), and </w:t>
      </w:r>
      <m:oMath>
        <m:sSub>
          <m:e>
            <m:r>
              <m:t>c</m:t>
            </m:r>
          </m:e>
          <m:sub>
            <m:r>
              <m:t>F</m:t>
            </m:r>
          </m:sub>
        </m:sSub>
      </m:oMath>
      <w:r>
        <w:t xml:space="preserve"> is a one-off charge per unit of forgetting (regression triage, recertification, visible behavioral change). Forgetting is charged twice by design: once as an event cost through </w:t>
      </w:r>
      <m:oMath>
        <m:sSub>
          <m:e>
            <m:r>
              <m:t>c</m:t>
            </m:r>
          </m:e>
          <m:sub>
            <m:r>
              <m:t>F</m:t>
            </m:r>
          </m:sub>
        </m:sSub>
      </m:oMath>
      <w:r>
        <w:t xml:space="preserve">, and once as a flow cost through </w:t>
      </w:r>
      <m:oMath>
        <m:sSub>
          <m:e>
            <m:r>
              <m:t>c</m:t>
            </m:r>
          </m:e>
          <m:sub>
            <m:r>
              <m:t>L</m:t>
            </m:r>
          </m:sub>
        </m:sSub>
      </m:oMath>
      <w:r>
        <w:t xml:space="preserve"> for as long as residual damage remains in </w:t>
      </w:r>
      <m:oMath>
        <m:r>
          <m:t>D</m:t>
        </m:r>
      </m:oMath>
      <w:r>
        <w:t xml:space="preserve">. Setting </w:t>
      </w:r>
      <m:oMath>
        <m:sSub>
          <m:e>
            <m:r>
              <m:t>c</m:t>
            </m:r>
          </m:e>
          <m:sub>
            <m:r>
              <m:t>F</m:t>
            </m:r>
          </m:sub>
        </m:sSub>
        <m:r>
          <m:rPr>
            <m:sty m:val="p"/>
          </m:rPr>
          <m:t>=</m:t>
        </m:r>
        <m:r>
          <m:t>0</m:t>
        </m:r>
      </m:oMath>
      <w:r>
        <w:t xml:space="preserve"> keeps only the flow cost.</w:t>
      </w:r>
    </w:p>
    <w:p>
      <w:pPr>
        <w:pStyle w:val="Heading2"/>
        <w:numPr>
          <w:ilvl w:val="0"/>
          <w:numId w:val="0"/>
        </w:numPr>
        <w:ind w:left="0" w:firstLine="0"/>
      </w:pPr>
      <w:r>
        <w:t xml:space="preserve">E. Standing Assumptions</w:t>
      </w:r>
    </w:p>
    <w:p>
      <w:pPr>
        <w:pStyle w:val="Text"/>
      </w:pPr>
      <w:r>
        <w:rPr>
          <w:b/>
          <w:bCs/>
          <w:i/>
          <w:iCs/>
        </w:rPr>
        <w:t xml:space="preserve">Assumption 1 (Scalar additive accuracy). </w:t>
      </w:r>
      <w:r>
        <w:t xml:space="preserve">Freshness is a scalar, and staleness and forgetting are commensurable in </w:t>
      </w:r>
      <m:oMath>
        <m:r>
          <m:t>D</m:t>
        </m:r>
      </m:oMath>
      <w:r>
        <w:t xml:space="preserve">. In deployment a model is scored on many axes that can drift at different rates; Section X returns to the vector extension.</w:t>
      </w:r>
    </w:p>
    <w:p>
      <w:pPr>
        <w:pStyle w:val="Text"/>
      </w:pPr>
      <w:r>
        <w:rPr>
          <w:b/>
          <w:bCs/>
          <w:i/>
          <w:iCs/>
        </w:rPr>
        <w:t xml:space="preserve">Assumption 2 (Exogenous world). </w:t>
      </w:r>
      <m:oMath>
        <m:r>
          <m:t>W</m:t>
        </m:r>
        <m:d>
          <m:dPr>
            <m:begChr m:val="("/>
            <m:sepChr m:val=""/>
            <m:endChr m:val=")"/>
            <m:grow/>
          </m:dPr>
          <m:e>
            <m:r>
              <m:t>t</m:t>
            </m:r>
          </m:e>
        </m:d>
      </m:oMath>
      <w:r>
        <w:t xml:space="preserve"> does not depend on the model's own outputs.</w:t>
      </w:r>
    </w:p>
    <w:p>
      <w:pPr>
        <w:pStyle w:val="Text"/>
      </w:pPr>
      <w:r>
        <w:rPr>
          <w:b/>
          <w:bCs/>
          <w:i/>
          <w:iCs/>
        </w:rPr>
        <w:t xml:space="preserve">Assumption 3 (Discrete maintenance). </w:t>
      </w:r>
      <w:r>
        <w:t xml:space="preserve">Actions are events. Continuous adaptation is the limit in which the minimum inter-event time vanishes.</w:t>
      </w:r>
    </w:p>
    <w:p>
      <w:pPr>
        <w:pStyle w:val="Text"/>
      </w:pPr>
      <w:r>
        <w:rPr>
          <w:b/>
          <w:bCs/>
          <w:i/>
          <w:iCs/>
        </w:rPr>
        <w:t xml:space="preserve">Assumption 4 (Independent marks). </w:t>
      </w:r>
      <w:r>
        <w:t xml:space="preserve">Drift magnitudes </w:t>
      </w:r>
      <m:oMath>
        <m:sSub>
          <m:e>
            <m:r>
              <m:t>ξ</m:t>
            </m:r>
          </m:e>
          <m:sub>
            <m:r>
              <m:t>i</m:t>
            </m:r>
          </m:sub>
        </m:sSub>
      </m:oMath>
      <w:r>
        <w:t xml:space="preserve"> are independent and identically distributed with finite mean </w:t>
      </w:r>
      <m:oMath>
        <m:sSub>
          <m:e>
            <m:r>
              <m:t>μ</m:t>
            </m:r>
          </m:e>
          <m:sub>
            <m:r>
              <m:t>ξ</m:t>
            </m:r>
          </m:sub>
        </m:sSub>
      </m:oMath>
      <w:r>
        <w:t xml:space="preserve">, independent of the arrival process.</w:t>
      </w:r>
    </w:p>
    <w:p>
      <w:pPr>
        <w:pStyle w:val="Text"/>
      </w:pPr>
      <w:r>
        <w:rPr>
          <w:b/>
          <w:bCs/>
          <w:i/>
          <w:iCs/>
        </w:rPr>
        <w:t xml:space="preserve">Assumption 5 (Local optimality). </w:t>
      </w:r>
      <w:r>
        <w:t xml:space="preserve">Immediately before an update, </w:t>
      </w:r>
      <m:oMath>
        <m:r>
          <m:t>θ</m:t>
        </m:r>
      </m:oMath>
      <w:r>
        <w:t xml:space="preserve"> is approximately a local minimum of the loss on the old world, so that the loss admits a second-order expansion with a diagonal Fisher matrix </w:t>
      </w:r>
      <m:oMath>
        <m:r>
          <m:t>I</m:t>
        </m:r>
        <m:d>
          <m:dPr>
            <m:begChr m:val="("/>
            <m:sepChr m:val=""/>
            <m:endChr m:val=")"/>
            <m:grow/>
          </m:dPr>
          <m:e>
            <m:r>
              <m:t>θ</m:t>
            </m:r>
          </m:e>
        </m:d>
      </m:oMath>
      <w:r>
        <w:t xml:space="preserve">.</w:t>
      </w:r>
    </w:p>
    <w:p>
      <w:pPr>
        <w:pStyle w:val="Text"/>
      </w:pPr>
      <w:r>
        <w:rPr>
          <w:b/>
          <w:bCs/>
          <w:i/>
          <w:iCs/>
        </w:rPr>
        <w:t xml:space="preserve">Assumption 6 (Monotone MDP structure). </w:t>
      </w:r>
      <w:r>
        <w:t xml:space="preserve">For each drift regime: (i) the tail probabilities of the next degradation state are nondecreasing in the current state for every action; (ii) the action set is totally ordered by nondecreasing effectiveness and nondecreasing cost; (iii) the expected continuation value is submodular in the state–action pair. The chain is unichain.</w:t>
      </w:r>
    </w:p>
    <w:p>
      <w:pPr>
        <w:pStyle w:val="Heading1"/>
      </w:pPr>
      <w:r>
        <w:t xml:space="preserve">IV. Shock-and-Wear Staleness and the Single-Threshold Program</w:t>
      </w:r>
    </w:p>
    <w:p>
      <w:pPr>
        <w:pStyle w:val="Heading2"/>
        <w:numPr>
          <w:ilvl w:val="0"/>
          <w:numId w:val="0"/>
        </w:numPr>
        <w:ind w:left="0" w:firstLine="0"/>
      </w:pPr>
      <w:r>
        <w:t xml:space="preserve">A. Drift as a Marked Point Process</w:t>
      </w:r>
    </w:p>
    <w:p>
      <w:pPr>
        <w:pStyle w:val="Text"/>
      </w:pPr>
      <w:r>
        <w:t xml:space="preserve">Drift events, the discrete moments at which </w:t>
      </w:r>
      <m:oMath>
        <m:r>
          <m:t>W</m:t>
        </m:r>
        <m:d>
          <m:dPr>
            <m:begChr m:val="("/>
            <m:sepChr m:val=""/>
            <m:endChr m:val=")"/>
            <m:grow/>
          </m:dPr>
          <m:e>
            <m:r>
              <m:t>t</m:t>
            </m:r>
          </m:e>
        </m:d>
      </m:oMath>
      <w:r>
        <w:t xml:space="preserve"> shifts enough to be behaviorally consequential, arrive as a marked point process </w:t>
      </w:r>
      <m:oMath>
        <m:r>
          <m:rPr>
            <m:sty m:val="p"/>
          </m:rPr>
          <m:t>{</m:t>
        </m:r>
        <m:d>
          <m:dPr>
            <m:begChr m:val="("/>
            <m:sepChr m:val=""/>
            <m:endChr m:val=")"/>
            <m:grow/>
          </m:dPr>
          <m:e>
            <m:sSub>
              <m:e>
                <m:r>
                  <m:t>T</m:t>
                </m:r>
              </m:e>
              <m:sub>
                <m:r>
                  <m:t>i</m:t>
                </m:r>
              </m:sub>
            </m:sSub>
            <m:r>
              <m:rPr>
                <m:sty m:val="p"/>
              </m:rPr>
              <m:t>,</m:t>
            </m:r>
            <m:sSub>
              <m:e>
                <m:r>
                  <m:t>ξ</m:t>
                </m:r>
              </m:e>
              <m:sub>
                <m:r>
                  <m:t>i</m:t>
                </m:r>
              </m:sub>
            </m:sSub>
          </m:e>
        </m:d>
        <m:r>
          <m:rPr>
            <m:sty m:val="p"/>
          </m:rPr>
          <m:t>}</m:t>
        </m:r>
      </m:oMath>
      <w:r>
        <w:t xml:space="preserve">, where </w:t>
      </w:r>
      <m:oMath>
        <m:sSub>
          <m:e>
            <m:r>
              <m:t>T</m:t>
            </m:r>
          </m:e>
          <m:sub>
            <m:r>
              <m:t>i</m:t>
            </m:r>
          </m:sub>
        </m:sSub>
      </m:oMath>
      <w:r>
        <w:t xml:space="preserve"> are epochs and </w:t>
      </w:r>
      <m:oMath>
        <m:sSub>
          <m:e>
            <m:r>
              <m:t>ξ</m:t>
            </m:r>
          </m:e>
          <m:sub>
            <m:r>
              <m:t>i</m:t>
            </m:r>
          </m:sub>
        </m:sSub>
      </m:oMath>
      <w:r>
        <w:t xml:space="preserve"> are magnitudes satisfying Assumption 4. In the Poisson case the arrival rate is </w:t>
      </w:r>
      <m:oMath>
        <m:r>
          <m:t>λ</m:t>
        </m:r>
      </m:oMath>
      <w:r>
        <w:t xml:space="preserve">. More generally the inter-arrival law </w:t>
      </w:r>
      <m:oMath>
        <m:r>
          <m:t>G</m:t>
        </m:r>
      </m:oMath>
      <w:r>
        <w:t xml:space="preserve"> has hazard </w:t>
      </w:r>
      <m:oMath>
        <m:r>
          <m:t>h</m:t>
        </m:r>
        <m:d>
          <m:dPr>
            <m:begChr m:val="("/>
            <m:sepChr m:val=""/>
            <m:endChr m:val=")"/>
            <m:grow/>
          </m:dPr>
          <m:e>
            <m:r>
              <m:rPr>
                <m:sty m:val="p"/>
              </m:rPr>
              <m:t>⋅</m:t>
            </m:r>
          </m:e>
        </m:d>
      </m:oMath>
      <w:r>
        <w:t xml:space="preserve">, which allows drift seasons with increasing or decreasing mean residual life, the distinction emphasized in [19] and consistent with the taxonomy of [17].</w:t>
      </w:r>
    </w:p>
    <w:p>
      <w:pPr>
        <w:pStyle w:val="Text"/>
      </w:pPr>
      <w:r>
        <w:t xml:space="preserve">Between events, staleness accumulates through ordinary exposure to a slowly moving world (vocabulary drift, slow factual turnover), modeled as a deterministic leak </w:t>
      </w:r>
      <m:oMath>
        <m:r>
          <m:t>β</m:t>
        </m:r>
      </m:oMath>
      <w:r>
        <w:t xml:space="preserve">. At each event it jumps by the mark:</w:t>
      </w:r>
    </w:p>
    <w:p>
      <w:pPr>
        <w:pStyle w:val="Equation"/>
        <w:tabs>
          <w:tab w:val="clear" w:pos="5040"/>
          <w:tab w:val="center" w:pos="2520"/>
          <w:tab w:val="right" w:pos="5040"/>
        </w:tabs>
        <w:spacing w:before="60" w:after="60"/>
      </w:pPr>
      <w:r>
        <w:tab/>
      </w:r>
      <m:oMath>
        <m:r>
          <m:t>d</m:t>
        </m:r>
        <m:r>
          <m:t>S</m:t>
        </m:r>
        <m:d>
          <m:dPr>
            <m:begChr m:val="("/>
            <m:sepChr m:val=""/>
            <m:endChr m:val=")"/>
            <m:grow/>
          </m:dPr>
          <m:e>
            <m:r>
              <m:t>t</m:t>
            </m:r>
          </m:e>
        </m:d>
        <m:r>
          <m:rPr>
            <m:sty m:val="p"/>
          </m:rPr>
          <m:t>=</m:t>
        </m:r>
        <m:r>
          <m:t>β</m:t>
        </m:r>
        <m:r>
          <m:t> </m:t>
        </m:r>
        <m:r>
          <m:t>d</m:t>
        </m:r>
        <m:r>
          <m:t>t</m:t>
        </m:r>
        <m:r>
          <m:rPr>
            <m:sty m:val="p"/>
          </m:rPr>
          <m:t>+</m:t>
        </m:r>
        <m:nary>
          <m:naryPr>
            <m:chr m:val="∑"/>
            <m:limLoc m:val="undOvr"/>
            <m:subHide m:val="off"/>
            <m:supHide m:val="on"/>
          </m:naryPr>
          <m:sub>
            <m:r>
              <m:t>i</m:t>
            </m:r>
          </m:sub>
          <m:sup>
            <m:r>
              <m:t>​</m:t>
            </m:r>
          </m:sup>
          <m:e>
            <m:sSub>
              <m:e>
                <m:r>
                  <m:t>ξ</m:t>
                </m:r>
              </m:e>
              <m:sub>
                <m:r>
                  <m:t>i</m:t>
                </m:r>
              </m:sub>
            </m:sSub>
          </m:e>
        </m:nary>
        <m:r>
          <m:t> </m:t>
        </m:r>
        <m:sSub>
          <m:e>
            <m:r>
              <m:t>δ</m:t>
            </m:r>
          </m:e>
          <m:sub>
            <m:sSub>
              <m:e>
                <m:r>
                  <m:t>T</m:t>
                </m:r>
              </m:e>
              <m:sub>
                <m:r>
                  <m:t>i</m:t>
                </m:r>
              </m:sub>
            </m:sSub>
          </m:sub>
        </m:sSub>
        <m:d>
          <m:dPr>
            <m:begChr m:val="("/>
            <m:sepChr m:val=""/>
            <m:endChr m:val=")"/>
            <m:grow/>
          </m:dPr>
          <m:e>
            <m:r>
              <m:t>d</m:t>
            </m:r>
            <m:r>
              <m:t>t</m:t>
            </m:r>
          </m:e>
        </m:d>
        <m:r>
          <m:rPr>
            <m:sty m:val="p"/>
          </m:rPr>
          <m:t>,</m:t>
        </m:r>
        <m:r>
          <m:t>  </m:t>
        </m:r>
        <m:r>
          <m:t>S</m:t>
        </m:r>
        <m:d>
          <m:dPr>
            <m:begChr m:val="("/>
            <m:sepChr m:val=""/>
            <m:endChr m:val=")"/>
            <m:grow/>
          </m:dPr>
          <m:e>
            <m:sSup>
              <m:e>
                <m:r>
                  <m:t>τ</m:t>
                </m:r>
              </m:e>
              <m:sup>
                <m:r>
                  <m:rPr>
                    <m:sty m:val="p"/>
                  </m:rPr>
                  <m:t>+</m:t>
                </m:r>
              </m:sup>
            </m:sSup>
          </m:e>
        </m:d>
        <m:r>
          <m:rPr>
            <m:sty m:val="p"/>
          </m:rPr>
          <m:t>=</m:t>
        </m:r>
        <m:r>
          <m:t>0</m:t>
        </m:r>
        <m:r>
          <m:rPr>
            <m:sty m:val="p"/>
          </m:rPr>
          <m:t>,</m:t>
        </m:r>
      </m:oMath>
      <w:r>
        <w:tab/>
        <w:t>(7)</w:t>
      </w:r>
    </w:p>
    <w:p>
      <w:pPr>
        <w:pStyle w:val="Text"/>
      </w:pPr>
      <w:r>
        <w:t xml:space="preserve">which is a shock-and-wear equation of the kind used for physical systems [3]. Fig. 1 shows a simulated sample path together with the mean-path approximation used below. By Wald's identity and Assumption 4,</w:t>
      </w:r>
    </w:p>
    <w:p>
      <w:pPr>
        <w:pStyle w:val="Equation"/>
        <w:tabs>
          <w:tab w:val="clear" w:pos="5040"/>
          <w:tab w:val="center" w:pos="2520"/>
          <w:tab w:val="right" w:pos="5040"/>
        </w:tabs>
        <w:spacing w:before="60" w:after="60"/>
      </w:pPr>
      <w:r>
        <w:tab/>
      </w:r>
      <m:oMath>
        <m:r>
          <m:rPr>
            <m:scr m:val="double-struck"/>
            <m:sty m:val="p"/>
          </m:rPr>
          <m:t>E</m:t>
        </m:r>
        <m:d>
          <m:dPr>
            <m:begChr m:val="["/>
            <m:sepChr m:val=""/>
            <m:endChr m:val="]"/>
            <m:grow/>
          </m:dPr>
          <m:e>
            <m:r>
              <m:t>S</m:t>
            </m:r>
            <m:d>
              <m:dPr>
                <m:begChr m:val="("/>
                <m:sepChr m:val=""/>
                <m:endChr m:val=")"/>
                <m:grow/>
              </m:dPr>
              <m:e>
                <m:r>
                  <m:t>t</m:t>
                </m:r>
              </m:e>
            </m:d>
          </m:e>
        </m:d>
        <m:r>
          <m:rPr>
            <m:sty m:val="p"/>
          </m:rPr>
          <m:t>=</m:t>
        </m:r>
        <m:r>
          <m:t>β</m:t>
        </m:r>
        <m:r>
          <m:t>t</m:t>
        </m:r>
        <m:r>
          <m:rPr>
            <m:sty m:val="p"/>
          </m:rPr>
          <m:t>+</m:t>
        </m:r>
        <m:sSub>
          <m:e>
            <m:r>
              <m:t>μ</m:t>
            </m:r>
          </m:e>
          <m:sub>
            <m:r>
              <m:t>ξ</m:t>
            </m:r>
          </m:sub>
        </m:sSub>
        <m:r>
          <m:t> </m:t>
        </m:r>
        <m:r>
          <m:t>m</m:t>
        </m:r>
        <m:d>
          <m:dPr>
            <m:begChr m:val="("/>
            <m:sepChr m:val=""/>
            <m:endChr m:val=")"/>
            <m:grow/>
          </m:dPr>
          <m:e>
            <m:r>
              <m:t>t</m:t>
            </m:r>
          </m:e>
        </m:d>
        <m:r>
          <m:rPr>
            <m:sty m:val="p"/>
          </m:rPr>
          <m:t>,</m:t>
        </m:r>
      </m:oMath>
      <w:r>
        <w:tab/>
        <w:t>(8)</w:t>
      </w:r>
    </w:p>
    <w:p>
      <w:pPr>
        <w:pStyle w:val="Text"/>
      </w:pPr>
      <w:r>
        <w:t xml:space="preserve">where </w:t>
      </w:r>
      <m:oMath>
        <m:r>
          <m:t>m</m:t>
        </m:r>
        <m:d>
          <m:dPr>
            <m:begChr m:val="("/>
            <m:sepChr m:val=""/>
            <m:endChr m:val=")"/>
            <m:grow/>
          </m:dPr>
          <m:e>
            <m:r>
              <m:t>t</m:t>
            </m:r>
          </m:e>
        </m:d>
      </m:oMath>
      <w:r>
        <w:t xml:space="preserve"> is the renewal function of the arrival process on an interval of length </w:t>
      </w:r>
      <m:oMath>
        <m:r>
          <m:t>t</m:t>
        </m:r>
      </m:oMath>
      <w:r>
        <w:t xml:space="preserve">. In the Poisson case </w:t>
      </w:r>
      <m:oMath>
        <m:r>
          <m:t>m</m:t>
        </m:r>
        <m:d>
          <m:dPr>
            <m:begChr m:val="("/>
            <m:sepChr m:val=""/>
            <m:endChr m:val=")"/>
            <m:grow/>
          </m:dPr>
          <m:e>
            <m:r>
              <m:t>t</m:t>
            </m:r>
          </m:e>
        </m:d>
        <m:r>
          <m:rPr>
            <m:sty m:val="p"/>
          </m:rPr>
          <m:t>=</m:t>
        </m:r>
        <m:r>
          <m:t>λ</m:t>
        </m:r>
        <m:r>
          <m:t>t</m:t>
        </m:r>
      </m:oMath>
      <w:r>
        <w:t xml:space="preserve">, so expected staleness grows affinely with slope </w:t>
      </w:r>
      <m:oMath>
        <m:r>
          <m:t>γ</m:t>
        </m:r>
        <m:box>
          <m:boxPr>
            <m:opEmu m:val="on"/>
          </m:boxPr>
          <m:e>
            <m:r>
              <m:rPr>
                <m:sty m:val="p"/>
              </m:rPr>
              <m:t>:=</m:t>
            </m:r>
          </m:e>
        </m:box>
        <m:r>
          <m:t>β</m:t>
        </m:r>
        <m:r>
          <m:rPr>
            <m:sty m:val="p"/>
          </m:rPr>
          <m:t>+</m:t>
        </m:r>
        <m:r>
          <m:t>λ</m:t>
        </m:r>
        <m:sSub>
          <m:e>
            <m:r>
              <m:t>μ</m:t>
            </m:r>
          </m:e>
          <m:sub>
            <m:r>
              <m:t>ξ</m:t>
            </m:r>
          </m:sub>
        </m:sSub>
      </m:oMath>
      <w:r>
        <w:t xml:space="preserve">. The affine form is a local approximation: in a finite world of facts it saturates once events begin to revisit items that are already stale.</w:t>
      </w:r>
    </w:p>
    <w:p>
      <w:pPr>
        <w:keepNext/>
        <w:spacing w:before="60" w:after="40"/>
        <w:jc w:val="center"/>
      </w:pPr>
      <w:r>
        <w:drawing>
          <wp:inline distT="0" distB="0" distL="0" distR="0">
            <wp:extent cx="3017520" cy="1562687"/>
            <wp:docPr id="201" name="Figure 1"/>
            <wp:cNvGraphicFramePr/>
            <a:graphic xmlns:a="http://schemas.openxmlformats.org/drawingml/2006/main">
              <a:graphicData uri="http://schemas.openxmlformats.org/drawingml/2006/picture">
                <pic:pic xmlns:pic="http://schemas.openxmlformats.org/drawingml/2006/picture">
                  <pic:nvPicPr>
                    <pic:cNvPr id="201" name="fig1.png"/>
                    <pic:cNvPicPr/>
                  </pic:nvPicPr>
                  <pic:blipFill>
                    <a:blip r:embed="rId100"/>
                    <a:stretch>
                      <a:fillRect/>
                    </a:stretch>
                  </pic:blipFill>
                  <pic:spPr>
                    <a:xfrm>
                      <a:off x="0" y="0"/>
                      <a:ext cx="3017520" cy="1562687"/>
                    </a:xfrm>
                    <a:prstGeom prst="rect">
                      <a:avLst/>
                    </a:prstGeom>
                  </pic:spPr>
                </pic:pic>
              </a:graphicData>
            </a:graphic>
          </wp:inline>
        </w:drawing>
      </w:r>
    </w:p>
    <w:p>
      <w:pPr>
        <w:pStyle w:val="FigureCaption"/>
        <w:spacing w:after="120"/>
      </w:pPr>
      <w:r>
        <w:rPr>
          <w:b/>
          <w:bCs/>
          <w:sz w:val="16"/>
          <w:szCs w:val="16"/>
        </w:rPr>
        <w:t xml:space="preserve">Fig. 1.</w:t>
      </w:r>
      <w:r>
        <w:rPr>
          <w:sz w:val="16"/>
          <w:szCs w:val="16"/>
        </w:rPr>
        <w:t xml:space="preserve"> </w:t>
      </w:r>
      <w:r>
        <w:rPr>
          <w:sz w:val="16"/>
          <w:szCs w:val="16"/>
        </w:rPr>
        <w:t xml:space="preserve">Illustrative shock-and-wear sample path of staleness under a control-limit policy. Jumps are drift events; the dashed line is the mean path on each cycle; the dotted line is the intervention threshold. After each full retrain the index resets to zero.</w:t>
      </w:r>
    </w:p>
    <w:p>
      <w:pPr>
        <w:pStyle w:val="Heading2"/>
        <w:numPr>
          <w:ilvl w:val="0"/>
          <w:numId w:val="0"/>
        </w:numPr>
        <w:ind w:left="0" w:firstLine="0"/>
      </w:pPr>
      <w:r>
        <w:t xml:space="preserve">B. Renewal-Reward Optimum for Full Retraining</w:t>
      </w:r>
    </w:p>
    <w:p>
      <w:pPr>
        <w:pStyle w:val="Text"/>
      </w:pPr>
      <w:r>
        <w:t xml:space="preserve">Consider first the restricted class in which maintenance is always a perfect full retrain (</w:t>
      </w:r>
      <m:oMath>
        <m:r>
          <m:t>F</m:t>
        </m:r>
        <m:r>
          <m:rPr>
            <m:sty m:val="p"/>
          </m:rPr>
          <m:t>=</m:t>
        </m:r>
        <m:r>
          <m:t>0</m:t>
        </m:r>
      </m:oMath>
      <w:r>
        <w:t xml:space="preserve">, </w:t>
      </w:r>
      <m:oMath>
        <m:r>
          <m:t>S</m:t>
        </m:r>
        <m:d>
          <m:dPr>
            <m:begChr m:val="("/>
            <m:sepChr m:val=""/>
            <m:endChr m:val=")"/>
            <m:grow/>
          </m:dPr>
          <m:e>
            <m:sSup>
              <m:e>
                <m:r>
                  <m:t>τ</m:t>
                </m:r>
              </m:e>
              <m:sup>
                <m:r>
                  <m:rPr>
                    <m:sty m:val="p"/>
                  </m:rPr>
                  <m:t>+</m:t>
                </m:r>
              </m:sup>
            </m:sSup>
          </m:e>
        </m:d>
        <m:r>
          <m:rPr>
            <m:sty m:val="p"/>
          </m:rPr>
          <m:t>=</m:t>
        </m:r>
        <m:r>
          <m:t>0</m:t>
        </m:r>
      </m:oMath>
      <w:r>
        <w:t xml:space="preserve">), triggered when expected staleness first reaches a threshold </w:t>
      </w:r>
      <m:oMath>
        <m:r>
          <m:t>η</m:t>
        </m:r>
      </m:oMath>
      <w:r>
        <w:t xml:space="preserve">. This is a control-limit policy on the degradation index. Under a mean-path approximation the cycle length is </w:t>
      </w:r>
      <m:oMath>
        <m:r>
          <m:t>t</m:t>
        </m:r>
        <m:d>
          <m:dPr>
            <m:begChr m:val="("/>
            <m:sepChr m:val=""/>
            <m:endChr m:val=")"/>
            <m:grow/>
          </m:dPr>
          <m:e>
            <m:r>
              <m:t>η</m:t>
            </m:r>
          </m:e>
        </m:d>
        <m:r>
          <m:rPr>
            <m:sty m:val="p"/>
          </m:rPr>
          <m:t>=</m:t>
        </m:r>
        <m:r>
          <m:t>η</m:t>
        </m:r>
        <m:r>
          <m:rPr>
            <m:sty m:val="p"/>
          </m:rPr>
          <m:t>/</m:t>
        </m:r>
        <m:r>
          <m:t>γ</m:t>
        </m:r>
      </m:oMath>
      <w:r>
        <w:t xml:space="preserve">, which is accurate when individual marks are small relative to </w:t>
      </w:r>
      <m:oMath>
        <m:r>
          <m:t>η</m:t>
        </m:r>
      </m:oMath>
      <w:r>
        <w:t xml:space="preserve"> so that overshoot is negligible. Let </w:t>
      </w:r>
      <m:oMath>
        <m:sSub>
          <m:e>
            <m:r>
              <m:t>K</m:t>
            </m:r>
          </m:e>
          <m:sub>
            <m:r>
              <m:t>R</m:t>
            </m:r>
          </m:sub>
        </m:sSub>
      </m:oMath>
      <w:r>
        <w:t xml:space="preserve"> be the retrain cost. The renewal-reward theorem [32] gives the long-run average cost rate</w:t>
      </w:r>
    </w:p>
    <w:p>
      <w:pPr>
        <w:pStyle w:val="Equation"/>
        <w:tabs>
          <w:tab w:val="clear" w:pos="5040"/>
          <w:tab w:val="center" w:pos="2520"/>
          <w:tab w:val="right" w:pos="5040"/>
        </w:tabs>
        <w:spacing w:before="60" w:after="60"/>
      </w:pPr>
      <w:r>
        <w:tab/>
      </w:r>
      <m:oMath>
        <m:r>
          <m:t>J</m:t>
        </m:r>
        <m:d>
          <m:dPr>
            <m:begChr m:val="("/>
            <m:sepChr m:val=""/>
            <m:endChr m:val=")"/>
            <m:grow/>
          </m:dPr>
          <m:e>
            <m:r>
              <m:t>η</m:t>
            </m:r>
          </m:e>
        </m:d>
        <m:r>
          <m:rPr>
            <m:sty m:val="p"/>
          </m:rPr>
          <m:t>=</m:t>
        </m:r>
        <m:f>
          <m:fPr>
            <m:type m:val="bar"/>
          </m:fPr>
          <m:num>
            <m:sSub>
              <m:e>
                <m:r>
                  <m:t>K</m:t>
                </m:r>
              </m:e>
              <m:sub>
                <m:r>
                  <m:t>R</m:t>
                </m:r>
              </m:sub>
            </m:sSub>
            <m:r>
              <m:rPr>
                <m:sty m:val="p"/>
              </m:rPr>
              <m:t>+</m:t>
            </m:r>
            <m:sSub>
              <m:e>
                <m:r>
                  <m:t>c</m:t>
                </m:r>
              </m:e>
              <m:sub>
                <m:r>
                  <m:t>L</m:t>
                </m:r>
              </m:sub>
            </m:sSub>
            <m:nary>
              <m:naryPr>
                <m:chr m:val="∫"/>
                <m:limLoc m:val="subSup"/>
                <m:subHide m:val="off"/>
                <m:supHide m:val="off"/>
              </m:naryPr>
              <m:sub>
                <m:r>
                  <m:t>0</m:t>
                </m:r>
              </m:sub>
              <m:sup>
                <m:r>
                  <m:t>t</m:t>
                </m:r>
                <m:d>
                  <m:dPr>
                    <m:begChr m:val="("/>
                    <m:sepChr m:val=""/>
                    <m:endChr m:val=")"/>
                    <m:grow/>
                  </m:dPr>
                  <m:e>
                    <m:r>
                      <m:t>η</m:t>
                    </m:r>
                  </m:e>
                </m:d>
              </m:sup>
              <m:e>
                <m:r>
                  <m:t>γ</m:t>
                </m:r>
              </m:e>
            </m:nary>
            <m:r>
              <m:t>s</m:t>
            </m:r>
            <m:r>
              <m:t> </m:t>
            </m:r>
            <m:r>
              <m:t>d</m:t>
            </m:r>
            <m:r>
              <m:t>s</m:t>
            </m:r>
          </m:num>
          <m:den>
            <m:r>
              <m:t>t</m:t>
            </m:r>
            <m:d>
              <m:dPr>
                <m:begChr m:val="("/>
                <m:sepChr m:val=""/>
                <m:endChr m:val=")"/>
                <m:grow/>
              </m:dPr>
              <m:e>
                <m:r>
                  <m:t>η</m:t>
                </m:r>
              </m:e>
            </m:d>
          </m:den>
        </m:f>
        <m:r>
          <m:rPr>
            <m:sty m:val="p"/>
          </m:rPr>
          <m:t>=</m:t>
        </m:r>
        <m:f>
          <m:fPr>
            <m:type m:val="bar"/>
          </m:fPr>
          <m:num>
            <m:sSub>
              <m:e>
                <m:r>
                  <m:t>K</m:t>
                </m:r>
              </m:e>
              <m:sub>
                <m:r>
                  <m:t>R</m:t>
                </m:r>
              </m:sub>
            </m:sSub>
            <m:r>
              <m:t>γ</m:t>
            </m:r>
          </m:num>
          <m:den>
            <m:r>
              <m:t>η</m:t>
            </m:r>
          </m:den>
        </m:f>
        <m:r>
          <m:rPr>
            <m:sty m:val="p"/>
          </m:rPr>
          <m:t>+</m:t>
        </m:r>
        <m:f>
          <m:fPr>
            <m:type m:val="bar"/>
          </m:fPr>
          <m:num>
            <m:sSub>
              <m:e>
                <m:r>
                  <m:t>c</m:t>
                </m:r>
              </m:e>
              <m:sub>
                <m:r>
                  <m:t>L</m:t>
                </m:r>
              </m:sub>
            </m:sSub>
            <m:r>
              <m:t>η</m:t>
            </m:r>
          </m:num>
          <m:den>
            <m:r>
              <m:t>2</m:t>
            </m:r>
          </m:den>
        </m:f>
        <m:r>
          <m:rPr>
            <m:sty m:val="p"/>
          </m:rPr>
          <m:t>.</m:t>
        </m:r>
      </m:oMath>
      <w:r>
        <w:tab/>
        <w:t>(9)</w:t>
      </w:r>
    </w:p>
    <w:p>
      <w:pPr>
        <w:pStyle w:val="Text"/>
      </w:pPr>
      <w:r>
        <w:t xml:space="preserve">Minimizing over </w:t>
      </w:r>
      <m:oMath>
        <m:r>
          <m:t>η</m:t>
        </m:r>
      </m:oMath>
      <w:r>
        <w:t xml:space="preserve"> produces the classical square-root form</w:t>
      </w:r>
    </w:p>
    <w:p>
      <w:pPr>
        <w:pStyle w:val="Equation"/>
        <w:tabs>
          <w:tab w:val="clear" w:pos="5040"/>
          <w:tab w:val="center" w:pos="2520"/>
          <w:tab w:val="right" w:pos="5040"/>
        </w:tabs>
        <w:spacing w:before="60" w:after="60"/>
      </w:pPr>
      <w:r>
        <w:tab/>
      </w:r>
      <m:oMath>
        <m:sSup>
          <m:e>
            <m:r>
              <m:t>η</m:t>
            </m:r>
          </m:e>
          <m:sup>
            <m:r>
              <m:rPr>
                <m:sty m:val="p"/>
              </m:rPr>
              <m:t>*</m:t>
            </m:r>
          </m:sup>
        </m:sSup>
        <m:r>
          <m:rPr>
            <m:sty m:val="p"/>
          </m:rPr>
          <m:t>=</m:t>
        </m:r>
        <m:rad>
          <m:radPr>
            <m:degHide m:val="on"/>
          </m:radPr>
          <m:deg/>
          <m:e>
            <m:f>
              <m:fPr>
                <m:type m:val="bar"/>
              </m:fPr>
              <m:num>
                <m:r>
                  <m:t>2</m:t>
                </m:r>
                <m:sSub>
                  <m:e>
                    <m:r>
                      <m:t>K</m:t>
                    </m:r>
                  </m:e>
                  <m:sub>
                    <m:r>
                      <m:t>R</m:t>
                    </m:r>
                  </m:sub>
                </m:sSub>
                <m:r>
                  <m:t>γ</m:t>
                </m:r>
              </m:num>
              <m:den>
                <m:sSub>
                  <m:e>
                    <m:r>
                      <m:t>c</m:t>
                    </m:r>
                  </m:e>
                  <m:sub>
                    <m:r>
                      <m:t>L</m:t>
                    </m:r>
                  </m:sub>
                </m:sSub>
              </m:den>
            </m:f>
          </m:e>
        </m:rad>
        <m:r>
          <m:rPr>
            <m:sty m:val="p"/>
          </m:rPr>
          <m:t>,</m:t>
        </m:r>
        <m:r>
          <m:t>  </m:t>
        </m:r>
        <m:sSup>
          <m:e>
            <m:r>
              <m:t>t</m:t>
            </m:r>
          </m:e>
          <m:sup>
            <m:r>
              <m:rPr>
                <m:sty m:val="p"/>
              </m:rPr>
              <m:t>*</m:t>
            </m:r>
          </m:sup>
        </m:sSup>
        <m:r>
          <m:rPr>
            <m:sty m:val="p"/>
          </m:rPr>
          <m:t>=</m:t>
        </m:r>
        <m:rad>
          <m:radPr>
            <m:degHide m:val="on"/>
          </m:radPr>
          <m:deg/>
          <m:e>
            <m:f>
              <m:fPr>
                <m:type m:val="bar"/>
              </m:fPr>
              <m:num>
                <m:r>
                  <m:t>2</m:t>
                </m:r>
                <m:sSub>
                  <m:e>
                    <m:r>
                      <m:t>K</m:t>
                    </m:r>
                  </m:e>
                  <m:sub>
                    <m:r>
                      <m:t>R</m:t>
                    </m:r>
                  </m:sub>
                </m:sSub>
              </m:num>
              <m:den>
                <m:sSub>
                  <m:e>
                    <m:r>
                      <m:t>c</m:t>
                    </m:r>
                  </m:e>
                  <m:sub>
                    <m:r>
                      <m:t>L</m:t>
                    </m:r>
                  </m:sub>
                </m:sSub>
                <m:r>
                  <m:t>γ</m:t>
                </m:r>
              </m:den>
            </m:f>
          </m:e>
        </m:rad>
        <m:r>
          <m:rPr>
            <m:sty m:val="p"/>
          </m:rPr>
          <m:t>,</m:t>
        </m:r>
        <m:r>
          <m:t>  </m:t>
        </m:r>
        <m:sSup>
          <m:e>
            <m:r>
              <m:t>J</m:t>
            </m:r>
          </m:e>
          <m:sup>
            <m:r>
              <m:rPr>
                <m:sty m:val="p"/>
              </m:rPr>
              <m:t>*</m:t>
            </m:r>
          </m:sup>
        </m:sSup>
        <m:r>
          <m:rPr>
            <m:sty m:val="p"/>
          </m:rPr>
          <m:t>=</m:t>
        </m:r>
        <m:rad>
          <m:radPr>
            <m:degHide m:val="on"/>
          </m:radPr>
          <m:deg/>
          <m:e>
            <m:r>
              <m:t>2</m:t>
            </m:r>
            <m:sSub>
              <m:e>
                <m:r>
                  <m:t>K</m:t>
                </m:r>
              </m:e>
              <m:sub>
                <m:r>
                  <m:t>R</m:t>
                </m:r>
              </m:sub>
            </m:sSub>
            <m:sSub>
              <m:e>
                <m:r>
                  <m:t>c</m:t>
                </m:r>
              </m:e>
              <m:sub>
                <m:r>
                  <m:t>L</m:t>
                </m:r>
              </m:sub>
            </m:sSub>
            <m:r>
              <m:t>γ</m:t>
            </m:r>
          </m:e>
        </m:rad>
        <m:r>
          <m:rPr>
            <m:sty m:val="p"/>
          </m:rPr>
          <m:t>.</m:t>
        </m:r>
      </m:oMath>
      <w:r>
        <w:tab/>
        <w:t>(10)</w:t>
      </w:r>
    </w:p>
    <w:p>
      <w:pPr>
        <w:pStyle w:val="Text"/>
      </w:pPr>
      <w:r>
        <w:t xml:space="preserve">Two comparative-static predictions follow at once and are the simplest testable implications of the model.</w:t>
      </w:r>
    </w:p>
    <w:p>
      <w:pPr>
        <w:pStyle w:val="Text"/>
      </w:pPr>
      <w:r>
        <w:rPr>
          <w:i/>
          <w:iCs/>
        </w:rPr>
        <w:t xml:space="preserve">Prediction 1.</w:t>
      </w:r>
      <w:r>
        <w:t xml:space="preserve"> The optimal calendar interval </w:t>
      </w:r>
      <m:oMath>
        <m:sSup>
          <m:e>
            <m:r>
              <m:t>t</m:t>
            </m:r>
          </m:e>
          <m:sup>
            <m:r>
              <m:rPr>
                <m:sty m:val="p"/>
              </m:rPr>
              <m:t>*</m:t>
            </m:r>
          </m:sup>
        </m:sSup>
      </m:oMath>
      <w:r>
        <w:t xml:space="preserve"> shrinks with the square root of drift intensity </w:t>
      </w:r>
      <m:oMath>
        <m:r>
          <m:t>γ</m:t>
        </m:r>
      </m:oMath>
      <w:r>
        <w:t xml:space="preserve">, while the tolerated staleness </w:t>
      </w:r>
      <m:oMath>
        <m:sSup>
          <m:e>
            <m:r>
              <m:t>η</m:t>
            </m:r>
          </m:e>
          <m:sup>
            <m:r>
              <m:rPr>
                <m:sty m:val="p"/>
              </m:rPr>
              <m:t>*</m:t>
            </m:r>
          </m:sup>
        </m:sSup>
      </m:oMath>
      <w:r>
        <w:t xml:space="preserve"> grows with the square root of </w:t>
      </w:r>
      <m:oMath>
        <m:r>
          <m:t>γ</m:t>
        </m:r>
      </m:oMath>
      <w:r>
        <w:t xml:space="preserve">. Faster drift calls for more frequent maintenance in calendar time, but each cycle is allowed to end at a higher staleness level. A fourfold rise in </w:t>
      </w:r>
      <m:oMath>
        <m:r>
          <m:t>γ</m:t>
        </m:r>
      </m:oMath>
      <w:r>
        <w:t xml:space="preserve"> halves </w:t>
      </w:r>
      <m:oMath>
        <m:sSup>
          <m:e>
            <m:r>
              <m:t>t</m:t>
            </m:r>
          </m:e>
          <m:sup>
            <m:r>
              <m:rPr>
                <m:sty m:val="p"/>
              </m:rPr>
              <m:t>*</m:t>
            </m:r>
          </m:sup>
        </m:sSup>
      </m:oMath>
      <w:r>
        <w:t xml:space="preserve"> and doubles </w:t>
      </w:r>
      <m:oMath>
        <m:sSup>
          <m:e>
            <m:r>
              <m:t>η</m:t>
            </m:r>
          </m:e>
          <m:sup>
            <m:r>
              <m:rPr>
                <m:sty m:val="p"/>
              </m:rPr>
              <m:t>*</m:t>
            </m:r>
          </m:sup>
        </m:sSup>
      </m:oMath>
      <w:r>
        <w:t xml:space="preserve">; it does not quarter the interval. Naive “match the drift rate” heuristics therefore overreact.</w:t>
      </w:r>
    </w:p>
    <w:p>
      <w:pPr>
        <w:pStyle w:val="Text"/>
      </w:pPr>
      <w:r>
        <w:rPr>
          <w:i/>
          <w:iCs/>
        </w:rPr>
        <w:t xml:space="preserve">Prediction 2.</w:t>
      </w:r>
      <w:r>
        <w:t xml:space="preserve"> The optimal interval grows only with the square root of the retrain cost. An order-of-magnitude increase in </w:t>
      </w:r>
      <m:oMath>
        <m:sSub>
          <m:e>
            <m:r>
              <m:t>K</m:t>
            </m:r>
          </m:e>
          <m:sub>
            <m:r>
              <m:t>R</m:t>
            </m:r>
          </m:sub>
        </m:sSub>
      </m:oMath>
      <w:r>
        <w:t xml:space="preserve">, of the kind implied by scaling laws when one moves to a much larger model, lengthens </w:t>
      </w:r>
      <m:oMath>
        <m:sSup>
          <m:e>
            <m:r>
              <m:t>t</m:t>
            </m:r>
          </m:e>
          <m:sup>
            <m:r>
              <m:rPr>
                <m:sty m:val="p"/>
              </m:rPr>
              <m:t>*</m:t>
            </m:r>
          </m:sup>
        </m:sSup>
      </m:oMath>
      <w:r>
        <w:t xml:space="preserve"> by a factor of about three, not ten. Stretching the cadence in proportion to cost leaves expensive models stale for too long. The same curvature is consistent with the clinical finding of [20] that a fourfold reduction in frequency (weekly to monthly) was non-inferior while saving three quarters of the computation.</w:t>
      </w:r>
    </w:p>
    <w:p>
      <w:pPr>
        <w:pStyle w:val="Heading2"/>
        <w:numPr>
          <w:ilvl w:val="0"/>
          <w:numId w:val="0"/>
        </w:numPr>
        <w:ind w:left="0" w:firstLine="0"/>
      </w:pPr>
      <w:r>
        <w:t xml:space="preserve">C. Non-Poisson Arrivals and the Hazard Regime</w:t>
      </w:r>
    </w:p>
    <w:p>
      <w:pPr>
        <w:pStyle w:val="Text"/>
      </w:pPr>
      <w:r>
        <w:t xml:space="preserve">When arrivals are not Poisson, </w:t>
      </w:r>
      <m:oMath>
        <m:r>
          <m:t>m</m:t>
        </m:r>
        <m:d>
          <m:dPr>
            <m:begChr m:val="("/>
            <m:sepChr m:val=""/>
            <m:endChr m:val=")"/>
            <m:grow/>
          </m:dPr>
          <m:e>
            <m:r>
              <m:t>t</m:t>
            </m:r>
          </m:e>
        </m:d>
      </m:oMath>
      <w:r>
        <w:t xml:space="preserve"> is nonlinear and the conditional intensity over the coming interval depends on the time elapsed since the last event, information that a policy monitoring only </w:t>
      </w:r>
      <m:oMath>
        <m:r>
          <m:t>S</m:t>
        </m:r>
      </m:oMath>
      <w:r>
        <w:t xml:space="preserve"> ignores. Maintenance cannot pre-empt a shock that has not occurred; elapsed time matters because it changes the rate at which staleness is expected to accumulate after the next repair and therefore, through the square-root relation, the economically appropriate cycle.</w:t>
      </w:r>
    </w:p>
    <w:p>
      <w:pPr>
        <w:pStyle w:val="Text"/>
      </w:pPr>
      <w:r>
        <w:t xml:space="preserve">Carrying over the ageing distinction of [19] gives two hypotheses rather than theorems. Under decreasing mean residual life, a long quiet interval signals that the next shock is expected sooner, which raises the near-term </w:t>
      </w:r>
      <m:oMath>
        <m:r>
          <m:t>γ</m:t>
        </m:r>
      </m:oMath>
      <w:r>
        <w:t xml:space="preserve"> and shortens the indicated calendar interval. Under increasing mean residual life the opposite adjustment is indicated, and a heuristic that treats every quiet spell as a reason to maintain sooner is miscalibrated. The two regimes can be told apart from the hazard of drift-detector alarms. Section VII folds the distinction into the MDP as an exogenous regime variable, so that the direction of the threshold shift is a numerical output and not an assumption.</w:t>
      </w:r>
    </w:p>
    <w:p>
      <w:pPr>
        <w:pStyle w:val="Heading2"/>
        <w:numPr>
          <w:ilvl w:val="0"/>
          <w:numId w:val="0"/>
        </w:numPr>
        <w:ind w:left="0" w:firstLine="0"/>
      </w:pPr>
      <w:r>
        <w:t xml:space="preserve">D. Estimating the Decay Parameters</w:t>
      </w:r>
    </w:p>
    <w:p>
      <w:pPr>
        <w:pStyle w:val="Text"/>
      </w:pPr>
      <w:r>
        <w:t xml:space="preserve">The parameters </w:t>
      </w:r>
      <m:oMath>
        <m:r>
          <m:t>β</m:t>
        </m:r>
      </m:oMath>
      <w:r>
        <w:t xml:space="preserve">, </w:t>
      </w:r>
      <m:oMath>
        <m:r>
          <m:t>λ</m:t>
        </m:r>
      </m:oMath>
      <w:r>
        <w:t xml:space="preserve">, and </w:t>
      </w:r>
      <m:oMath>
        <m:sSub>
          <m:e>
            <m:r>
              <m:t>μ</m:t>
            </m:r>
          </m:e>
          <m:sub>
            <m:r>
              <m:t>ξ</m:t>
            </m:r>
          </m:sub>
        </m:sSub>
      </m:oMath>
      <w:r>
        <w:t xml:space="preserve">, or more generally </w:t>
      </w:r>
      <m:oMath>
        <m:r>
          <m:t>m</m:t>
        </m:r>
        <m:d>
          <m:dPr>
            <m:begChr m:val="("/>
            <m:sepChr m:val=""/>
            <m:endChr m:val=")"/>
            <m:grow/>
          </m:dPr>
          <m:e>
            <m:r>
              <m:rPr>
                <m:sty m:val="p"/>
              </m:rPr>
              <m:t>⋅</m:t>
            </m:r>
          </m:e>
        </m:d>
      </m:oMath>
      <w:r>
        <w:t xml:space="preserve">, are not observed directly. They can be recovered from a monitoring pipeline that periodically scores the deployed model against held-out, freshly collected evaluation data, which is the infrastructure already recommended in the concept-drift literature. Because </w:t>
      </w:r>
      <m:oMath>
        <m:r>
          <m:rPr>
            <m:scr m:val="double-struck"/>
            <m:sty m:val="p"/>
          </m:rPr>
          <m:t>E</m:t>
        </m:r>
        <m:d>
          <m:dPr>
            <m:begChr m:val="["/>
            <m:sepChr m:val=""/>
            <m:endChr m:val="]"/>
            <m:grow/>
          </m:dPr>
          <m:e>
            <m:r>
              <m:t>S</m:t>
            </m:r>
            <m:d>
              <m:dPr>
                <m:begChr m:val="("/>
                <m:sepChr m:val=""/>
                <m:endChr m:val=")"/>
                <m:grow/>
              </m:dPr>
              <m:e>
                <m:r>
                  <m:t>t</m:t>
                </m:r>
              </m:e>
            </m:d>
          </m:e>
        </m:d>
      </m:oMath>
      <w:r>
        <w:t xml:space="preserve"> is affine in </w:t>
      </w:r>
      <m:oMath>
        <m:r>
          <m:t>t</m:t>
        </m:r>
      </m:oMath>
      <w:r>
        <w:t xml:space="preserve"> between maintenance events, the slope </w:t>
      </w:r>
      <m:oMath>
        <m:r>
          <m:t>γ</m:t>
        </m:r>
      </m:oMath>
      <w:r>
        <w:t xml:space="preserve"> is the coefficient of an OLS regression of measured staleness on time since the last repair, pooled across cycles. A nonzero intercept reflects residual error of the freshly maintained model and does not affect the slope. Departures from affinity diagnose either non-Poisson arrivals or saturation. Section IX runs this regression on a public model.</w:t>
      </w:r>
    </w:p>
    <w:p>
      <w:pPr>
        <w:pStyle w:val="Heading1"/>
      </w:pPr>
      <w:r>
        <w:t xml:space="preserve">V. Imperfect Repair: Fisher-Constrained Forgetting</w:t>
      </w:r>
    </w:p>
    <w:p>
      <w:pPr>
        <w:pStyle w:val="Heading2"/>
        <w:numPr>
          <w:ilvl w:val="0"/>
          <w:numId w:val="0"/>
        </w:numPr>
        <w:ind w:left="0" w:firstLine="0"/>
      </w:pPr>
      <w:r>
        <w:t xml:space="preserve">A. Forgetting as Displacement Geometry</w:t>
      </w:r>
    </w:p>
    <w:p>
      <w:pPr>
        <w:pStyle w:val="Text"/>
      </w:pPr>
      <w:r>
        <w:t xml:space="preserve">Assumption 5 and the Laplace argument underlying EWC give a second-order expansion of the pre-update loss </w:t>
      </w:r>
      <m:oMath>
        <m:sSub>
          <m:e>
            <m:r>
              <m:t>L</m:t>
            </m:r>
          </m:e>
          <m:sub>
            <m:r>
              <m:rPr>
                <m:sty m:val="p"/>
              </m:rPr>
              <m:t>o</m:t>
            </m:r>
            <m:r>
              <m:rPr>
                <m:sty m:val="p"/>
              </m:rPr>
              <m:t>l</m:t>
            </m:r>
            <m:r>
              <m:rPr>
                <m:sty m:val="p"/>
              </m:rPr>
              <m:t>d</m:t>
            </m:r>
          </m:sub>
        </m:sSub>
      </m:oMath>
      <w:r>
        <w:t xml:space="preserve"> about </w:t>
      </w:r>
      <m:oMath>
        <m:r>
          <m:t>θ</m:t>
        </m:r>
        <m:d>
          <m:dPr>
            <m:begChr m:val="("/>
            <m:sepChr m:val=""/>
            <m:endChr m:val=")"/>
            <m:grow/>
          </m:dPr>
          <m:e>
            <m:sSup>
              <m:e>
                <m:r>
                  <m:t>τ</m:t>
                </m:r>
              </m:e>
              <m:sup>
                <m:r>
                  <m:rPr>
                    <m:sty m:val="p"/>
                  </m:rPr>
                  <m:t>−</m:t>
                </m:r>
              </m:sup>
            </m:sSup>
          </m:e>
        </m:d>
      </m:oMath>
      <w:r>
        <w:t xml:space="preserve">,</w:t>
      </w:r>
    </w:p>
    <w:p>
      <w:pPr>
        <w:pStyle w:val="Equation"/>
        <w:tabs>
          <w:tab w:val="clear" w:pos="5040"/>
          <w:tab w:val="center" w:pos="2520"/>
          <w:tab w:val="right" w:pos="5040"/>
        </w:tabs>
        <w:spacing w:before="60" w:after="60"/>
      </w:pPr>
      <w:r>
        <w:tab/>
      </w:r>
      <m:oMath>
        <m:sSub>
          <m:e>
            <m:r>
              <m:t>L</m:t>
            </m:r>
          </m:e>
          <m:sub>
            <m:r>
              <m:rPr>
                <m:sty m:val="p"/>
              </m:rPr>
              <m:t>o</m:t>
            </m:r>
            <m:r>
              <m:rPr>
                <m:sty m:val="p"/>
              </m:rPr>
              <m:t>l</m:t>
            </m:r>
            <m:r>
              <m:rPr>
                <m:sty m:val="p"/>
              </m:rPr>
              <m:t>d</m:t>
            </m:r>
          </m:sub>
        </m:sSub>
        <m:d>
          <m:dPr>
            <m:begChr m:val="("/>
            <m:sepChr m:val=""/>
            <m:endChr m:val=")"/>
            <m:grow/>
          </m:dPr>
          <m:e>
            <m:r>
              <m:t>θ</m:t>
            </m:r>
            <m:d>
              <m:dPr>
                <m:begChr m:val="("/>
                <m:sepChr m:val=""/>
                <m:endChr m:val=")"/>
                <m:grow/>
              </m:dPr>
              <m:e>
                <m:sSup>
                  <m:e>
                    <m:r>
                      <m:t>τ</m:t>
                    </m:r>
                  </m:e>
                  <m:sup>
                    <m:r>
                      <m:rPr>
                        <m:sty m:val="p"/>
                      </m:rPr>
                      <m:t>−</m:t>
                    </m:r>
                  </m:sup>
                </m:sSup>
              </m:e>
            </m:d>
            <m:r>
              <m:rPr>
                <m:sty m:val="p"/>
              </m:rPr>
              <m:t>+</m:t>
            </m:r>
            <m:r>
              <m:t>Δ</m:t>
            </m:r>
            <m:r>
              <m:t>θ</m:t>
            </m:r>
          </m:e>
        </m:d>
        <m:r>
          <m:rPr>
            <m:sty m:val="p"/>
          </m:rPr>
          <m:t>≈</m:t>
        </m:r>
        <m:sSub>
          <m:e>
            <m:r>
              <m:t>L</m:t>
            </m:r>
          </m:e>
          <m:sub>
            <m:r>
              <m:rPr>
                <m:sty m:val="p"/>
              </m:rPr>
              <m:t>o</m:t>
            </m:r>
            <m:r>
              <m:rPr>
                <m:sty m:val="p"/>
              </m:rPr>
              <m:t>l</m:t>
            </m:r>
            <m:r>
              <m:rPr>
                <m:sty m:val="p"/>
              </m:rPr>
              <m:t>d</m:t>
            </m:r>
          </m:sub>
        </m:sSub>
        <m:d>
          <m:dPr>
            <m:begChr m:val="("/>
            <m:sepChr m:val=""/>
            <m:endChr m:val=")"/>
            <m:grow/>
          </m:dPr>
          <m:e>
            <m:r>
              <m:t>θ</m:t>
            </m:r>
            <m:d>
              <m:dPr>
                <m:begChr m:val="("/>
                <m:sepChr m:val=""/>
                <m:endChr m:val=")"/>
                <m:grow/>
              </m:dPr>
              <m:e>
                <m:sSup>
                  <m:e>
                    <m:r>
                      <m:t>τ</m:t>
                    </m:r>
                  </m:e>
                  <m:sup>
                    <m:r>
                      <m:rPr>
                        <m:sty m:val="p"/>
                      </m:rPr>
                      <m:t>−</m:t>
                    </m:r>
                  </m:sup>
                </m:sSup>
              </m:e>
            </m:d>
          </m:e>
        </m:d>
        <m:r>
          <m:rPr>
            <m:sty m:val="p"/>
          </m:rPr>
          <m:t>+</m:t>
        </m:r>
        <m:f>
          <m:fPr>
            <m:type m:val="bar"/>
          </m:fPr>
          <m:num>
            <m:r>
              <m:t>1</m:t>
            </m:r>
          </m:num>
          <m:den>
            <m:r>
              <m:t>2</m:t>
            </m:r>
          </m:den>
        </m:f>
        <m:r>
          <m:t> </m:t>
        </m:r>
        <m:r>
          <m:t>Δ</m:t>
        </m:r>
        <m:sSup>
          <m:e>
            <m:r>
              <m:t>θ</m:t>
            </m:r>
          </m:e>
          <m:sup>
            <m:r>
              <m:rPr>
                <m:sty m:val="p"/>
              </m:rPr>
              <m:t>⊤</m:t>
            </m:r>
          </m:sup>
        </m:sSup>
        <m:r>
          <m:t>I</m:t>
        </m:r>
        <m:d>
          <m:dPr>
            <m:begChr m:val="("/>
            <m:sepChr m:val=""/>
            <m:endChr m:val=")"/>
            <m:grow/>
          </m:dPr>
          <m:e>
            <m:r>
              <m:t>θ</m:t>
            </m:r>
            <m:d>
              <m:dPr>
                <m:begChr m:val="("/>
                <m:sepChr m:val=""/>
                <m:endChr m:val=")"/>
                <m:grow/>
              </m:dPr>
              <m:e>
                <m:sSup>
                  <m:e>
                    <m:r>
                      <m:t>τ</m:t>
                    </m:r>
                  </m:e>
                  <m:sup>
                    <m:r>
                      <m:rPr>
                        <m:sty m:val="p"/>
                      </m:rPr>
                      <m:t>−</m:t>
                    </m:r>
                  </m:sup>
                </m:sSup>
              </m:e>
            </m:d>
          </m:e>
        </m:d>
        <m:r>
          <m:t> </m:t>
        </m:r>
        <m:r>
          <m:t>Δ</m:t>
        </m:r>
        <m:r>
          <m:t>θ</m:t>
        </m:r>
        <m:r>
          <m:rPr>
            <m:sty m:val="p"/>
          </m:rPr>
          <m:t>,</m:t>
        </m:r>
      </m:oMath>
      <w:r>
        <w:tab/>
        <w:t>(11)</w:t>
      </w:r>
    </w:p>
    <w:p>
      <w:pPr>
        <w:pStyle w:val="Text"/>
      </w:pPr>
      <w:r>
        <w:t xml:space="preserve">where </w:t>
      </w:r>
      <m:oMath>
        <m:r>
          <m:t>I</m:t>
        </m:r>
      </m:oMath>
      <w:r>
        <w:t xml:space="preserve"> is the diagonal-approximated Fisher matrix on the old world and the linear term vanishes at a local minimum. Taking accuracy loss as proportional to the rise in loss, with the constant absorbed into the units,</w:t>
      </w:r>
    </w:p>
    <w:p>
      <w:pPr>
        <w:pStyle w:val="Equation"/>
        <w:tabs>
          <w:tab w:val="clear" w:pos="5040"/>
          <w:tab w:val="center" w:pos="2520"/>
          <w:tab w:val="right" w:pos="5040"/>
        </w:tabs>
        <w:spacing w:before="60" w:after="60"/>
      </w:pPr>
      <w:r>
        <w:tab/>
      </w:r>
      <m:oMath>
        <m:r>
          <m:t>F</m:t>
        </m:r>
        <m:d>
          <m:dPr>
            <m:begChr m:val="("/>
            <m:sepChr m:val=""/>
            <m:endChr m:val=")"/>
            <m:grow/>
          </m:dPr>
          <m:e>
            <m:r>
              <m:t>Δ</m:t>
            </m:r>
            <m:r>
              <m:t>θ</m:t>
            </m:r>
          </m:e>
        </m:d>
        <m:r>
          <m:rPr>
            <m:sty m:val="p"/>
          </m:rPr>
          <m:t>≈</m:t>
        </m:r>
        <m:f>
          <m:fPr>
            <m:type m:val="bar"/>
          </m:fPr>
          <m:num>
            <m:r>
              <m:t>1</m:t>
            </m:r>
          </m:num>
          <m:den>
            <m:r>
              <m:t>2</m:t>
            </m:r>
          </m:den>
        </m:f>
        <m:r>
          <m:t> </m:t>
        </m:r>
        <m:r>
          <m:t>Δ</m:t>
        </m:r>
        <m:sSup>
          <m:e>
            <m:r>
              <m:t>θ</m:t>
            </m:r>
          </m:e>
          <m:sup>
            <m:r>
              <m:rPr>
                <m:sty m:val="p"/>
              </m:rPr>
              <m:t>⊤</m:t>
            </m:r>
          </m:sup>
        </m:sSup>
        <m:r>
          <m:t>I</m:t>
        </m:r>
        <m:d>
          <m:dPr>
            <m:begChr m:val="("/>
            <m:sepChr m:val=""/>
            <m:endChr m:val=")"/>
            <m:grow/>
          </m:dPr>
          <m:e>
            <m:r>
              <m:t>θ</m:t>
            </m:r>
            <m:d>
              <m:dPr>
                <m:begChr m:val="("/>
                <m:sepChr m:val=""/>
                <m:endChr m:val=")"/>
                <m:grow/>
              </m:dPr>
              <m:e>
                <m:sSup>
                  <m:e>
                    <m:r>
                      <m:t>τ</m:t>
                    </m:r>
                  </m:e>
                  <m:sup>
                    <m:r>
                      <m:rPr>
                        <m:sty m:val="p"/>
                      </m:rPr>
                      <m:t>−</m:t>
                    </m:r>
                  </m:sup>
                </m:sSup>
              </m:e>
            </m:d>
          </m:e>
        </m:d>
        <m:r>
          <m:t> </m:t>
        </m:r>
        <m:r>
          <m:t>Δ</m:t>
        </m:r>
        <m:r>
          <m:t>θ</m:t>
        </m:r>
        <m:r>
          <m:rPr>
            <m:sty m:val="p"/>
          </m:rPr>
          <m:t>.</m:t>
        </m:r>
      </m:oMath>
      <w:r>
        <w:tab/>
        <w:t>(12)</w:t>
      </w:r>
    </w:p>
    <w:p>
      <w:pPr>
        <w:pStyle w:val="Text"/>
      </w:pPr>
      <w:r>
        <w:t xml:space="preserve">Equation (12) is the penalty added to the training objective under EWC. The modeling choice here is to treat it as a constraint that enters the maintenance cost, so that the organization's tolerance </w:t>
      </w:r>
      <m:oMath>
        <m:r>
          <m:t>ε</m:t>
        </m:r>
      </m:oMath>
      <w:r>
        <w:t xml:space="preserve"> for forgetting is an explicit, auditable quantity.</w:t>
      </w:r>
    </w:p>
    <w:p>
      <w:pPr>
        <w:pStyle w:val="Heading2"/>
        <w:numPr>
          <w:ilvl w:val="0"/>
          <w:numId w:val="0"/>
        </w:numPr>
        <w:ind w:left="0" w:firstLine="0"/>
      </w:pPr>
      <w:r>
        <w:t xml:space="preserve">B. The Constrained Update</w:t>
      </w:r>
    </w:p>
    <w:p>
      <w:pPr>
        <w:pStyle w:val="Text"/>
      </w:pPr>
      <w:r>
        <w:t xml:space="preserve">Given a target staleness reduction </w:t>
      </w:r>
      <m:oMath>
        <m:sSub>
          <m:e>
            <m:r>
              <m:t>π</m:t>
            </m:r>
          </m:e>
          <m:sub>
            <m:r>
              <m:rPr>
                <m:sty m:val="p"/>
              </m:rPr>
              <m:t>t</m:t>
            </m:r>
            <m:r>
              <m:rPr>
                <m:sty m:val="p"/>
              </m:rPr>
              <m:t>a</m:t>
            </m:r>
            <m:r>
              <m:rPr>
                <m:sty m:val="p"/>
              </m:rPr>
              <m:t>r</m:t>
            </m:r>
            <m:r>
              <m:rPr>
                <m:sty m:val="p"/>
              </m:rPr>
              <m:t>g</m:t>
            </m:r>
            <m:r>
              <m:rPr>
                <m:sty m:val="p"/>
              </m:rPr>
              <m:t>e</m:t>
            </m:r>
            <m:r>
              <m:rPr>
                <m:sty m:val="p"/>
              </m:rPr>
              <m:t>t</m:t>
            </m:r>
          </m:sub>
        </m:sSub>
      </m:oMath>
      <w:r>
        <w:t xml:space="preserve"> that the repair is meant to deliver, the update problem at a maintenance epoch is</w:t>
      </w:r>
    </w:p>
    <w:p>
      <w:pPr>
        <w:pStyle w:val="Equation"/>
        <w:tabs>
          <w:tab w:val="clear" w:pos="5040"/>
          <w:tab w:val="center" w:pos="2520"/>
          <w:tab w:val="right" w:pos="5040"/>
        </w:tabs>
        <w:spacing w:before="60" w:after="60"/>
      </w:pPr>
      <w:r>
        <w:tab/>
      </w:r>
      <m:oMath>
        <m:sSub>
          <m:e>
            <m:r>
              <m:rPr>
                <m:sty m:val="p"/>
              </m:rPr>
              <m:t>min</m:t>
            </m:r>
          </m:e>
          <m:sub>
            <m:r>
              <m:t>Δ</m:t>
            </m:r>
            <m:r>
              <m:t>θ</m:t>
            </m:r>
          </m:sub>
        </m:sSub>
        <m:r>
          <m:t>K</m:t>
        </m:r>
        <m:d>
          <m:dPr>
            <m:begChr m:val="("/>
            <m:sepChr m:val=""/>
            <m:endChr m:val=")"/>
            <m:grow/>
          </m:dPr>
          <m:e>
            <m:r>
              <m:t>Δ</m:t>
            </m:r>
            <m:r>
              <m:t>θ</m:t>
            </m:r>
          </m:e>
        </m:d>
        <m:r>
          <m:t> </m:t>
        </m:r>
        <m:r>
          <m:rPr>
            <m:nor/>
          </m:rPr>
          <m:t>s.t.</m:t>
        </m:r>
        <m:r>
          <m:t> </m:t>
        </m:r>
        <m:r>
          <m:t>π</m:t>
        </m:r>
        <m:d>
          <m:dPr>
            <m:begChr m:val="("/>
            <m:sepChr m:val=""/>
            <m:endChr m:val=")"/>
            <m:grow/>
          </m:dPr>
          <m:e>
            <m:r>
              <m:t>Δ</m:t>
            </m:r>
            <m:r>
              <m:t>θ</m:t>
            </m:r>
          </m:e>
        </m:d>
        <m:r>
          <m:rPr>
            <m:sty m:val="p"/>
          </m:rPr>
          <m:t>≥</m:t>
        </m:r>
        <m:sSub>
          <m:e>
            <m:r>
              <m:t>π</m:t>
            </m:r>
          </m:e>
          <m:sub>
            <m:r>
              <m:rPr>
                <m:sty m:val="p"/>
              </m:rPr>
              <m:t>t</m:t>
            </m:r>
            <m:r>
              <m:rPr>
                <m:sty m:val="p"/>
              </m:rPr>
              <m:t>a</m:t>
            </m:r>
            <m:r>
              <m:rPr>
                <m:sty m:val="p"/>
              </m:rPr>
              <m:t>r</m:t>
            </m:r>
            <m:r>
              <m:rPr>
                <m:sty m:val="p"/>
              </m:rPr>
              <m:t>g</m:t>
            </m:r>
            <m:r>
              <m:rPr>
                <m:sty m:val="p"/>
              </m:rPr>
              <m:t>e</m:t>
            </m:r>
            <m:r>
              <m:rPr>
                <m:sty m:val="p"/>
              </m:rPr>
              <m:t>t</m:t>
            </m:r>
          </m:sub>
        </m:sSub>
        <m:r>
          <m:rPr>
            <m:sty m:val="p"/>
          </m:rPr>
          <m:t>,</m:t>
        </m:r>
        <m:r>
          <m:t>F</m:t>
        </m:r>
        <m:d>
          <m:dPr>
            <m:begChr m:val="("/>
            <m:sepChr m:val=""/>
            <m:endChr m:val=")"/>
            <m:grow/>
          </m:dPr>
          <m:e>
            <m:r>
              <m:t>Δ</m:t>
            </m:r>
            <m:r>
              <m:t>θ</m:t>
            </m:r>
          </m:e>
        </m:d>
        <m:r>
          <m:rPr>
            <m:sty m:val="p"/>
          </m:rPr>
          <m:t>≤</m:t>
        </m:r>
        <m:r>
          <m:t>ε</m:t>
        </m:r>
        <m:r>
          <m:rPr>
            <m:sty m:val="p"/>
          </m:rPr>
          <m:t>.</m:t>
        </m:r>
      </m:oMath>
      <w:r>
        <w:tab/>
        <w:t>(13)</w:t>
      </w:r>
    </w:p>
    <w:p>
      <w:pPr>
        <w:pStyle w:val="Text"/>
      </w:pPr>
      <w:r>
        <w:t xml:space="preserve">By the accounting of Section IV, the mechanism-dependent part of </w:t>
      </w:r>
      <m:oMath>
        <m:r>
          <m:t>K</m:t>
        </m:r>
      </m:oMath>
      <w:r>
        <w:t xml:space="preserve"> grows with the number of parameters touched and with how deep in the network they lie. The program therefore trades sparsity and locality of the displacement against cost and against the Fisher-weighted norm. This is the formal reason that a knowledge edit confined to a small subspace can purchase plasticity at negligible stability cost. It is also the reason that “parameter-efficient” is not synonymous with “low forgetting”: a low-rank adapter bounds the Euclidean size of </w:t>
      </w:r>
      <m:oMath>
        <m:r>
          <m:t>Δ</m:t>
        </m:r>
        <m:r>
          <m:t>θ</m:t>
        </m:r>
      </m:oMath>
      <w:r>
        <w:t xml:space="preserve">, not its Fisher-weighted size. Section IX records a measured violation.</w:t>
      </w:r>
    </w:p>
    <w:p>
      <w:pPr>
        <w:pStyle w:val="Heading2"/>
        <w:numPr>
          <w:ilvl w:val="0"/>
          <w:numId w:val="0"/>
        </w:numPr>
        <w:ind w:left="0" w:firstLine="0"/>
      </w:pPr>
      <w:r>
        <w:t xml:space="preserve">C. Stability–Plasticity Frontier</w:t>
      </w:r>
    </w:p>
    <w:p>
      <w:pPr>
        <w:pStyle w:val="Text"/>
      </w:pPr>
      <w:r>
        <w:t xml:space="preserve">Plasticity is the staleness reduction delivered by </w:t>
      </w:r>
      <m:oMath>
        <m:r>
          <m:t>Δ</m:t>
        </m:r>
        <m:r>
          <m:t>θ</m:t>
        </m:r>
      </m:oMath>
      <w:r>
        <w:t xml:space="preserve">; stability cost is </w:t>
      </w:r>
      <m:oMath>
        <m:r>
          <m:t>F</m:t>
        </m:r>
        <m:d>
          <m:dPr>
            <m:begChr m:val="("/>
            <m:sepChr m:val=""/>
            <m:endChr m:val=")"/>
            <m:grow/>
          </m:dPr>
          <m:e>
            <m:r>
              <m:t>Δ</m:t>
            </m:r>
            <m:r>
              <m:t>θ</m:t>
            </m:r>
          </m:e>
        </m:d>
      </m:oMath>
      <w:r>
        <w:t xml:space="preserve">. For a fixed budget </w:t>
      </w:r>
      <m:oMath>
        <m:r>
          <m:t>K</m:t>
        </m:r>
      </m:oMath>
      <w:r>
        <w:t xml:space="preserve">, the Pareto frontier of this bi-objective problem is governed by the alignment between the gradient that reduces staleness on new data and the leading eigenvectors of </w:t>
      </w:r>
      <m:oMath>
        <m:r>
          <m:t>I</m:t>
        </m:r>
      </m:oMath>
      <w:r>
        <w:t xml:space="preserve">. When those directions are nearly orthogonal, the regime that knowledge editing is designed to exploit, the frontier is flat and large plasticity can be bought cheaply in forgetting. When they are nearly parallel, as in a broad alignment update, the frontier is steep and every unit of new-behavior plasticity is bought at substantial cost to old-behavior stability. Mixing the new objective with the original pre-training loss, the mitigation used in [31], is a device for biasing </w:t>
      </w:r>
      <m:oMath>
        <m:r>
          <m:t>Δ</m:t>
        </m:r>
        <m:r>
          <m:t>θ</m:t>
        </m:r>
      </m:oMath>
      <w:r>
        <w:t xml:space="preserve"> toward directions with a smaller </w:t>
      </w:r>
      <m:oMath>
        <m:r>
          <m:t>I</m:t>
        </m:r>
      </m:oMath>
      <w:r>
        <w:t xml:space="preserve">-weighted norm.</w:t>
      </w:r>
    </w:p>
    <w:p>
      <w:pPr>
        <w:pStyle w:val="Heading2"/>
        <w:numPr>
          <w:ilvl w:val="0"/>
          <w:numId w:val="0"/>
        </w:numPr>
        <w:ind w:left="0" w:firstLine="0"/>
      </w:pPr>
      <w:r>
        <w:t xml:space="preserve">D. Imperfect Repair Inside the Renewal Program</w:t>
      </w:r>
    </w:p>
    <w:p>
      <w:pPr>
        <w:pStyle w:val="Text"/>
      </w:pPr>
      <w:r>
        <w:t xml:space="preserve">A nonzero forgetting event leaves residual damage </w:t>
      </w:r>
      <m:oMath>
        <m:r>
          <m:t>F</m:t>
        </m:r>
      </m:oMath>
      <w:r>
        <w:t xml:space="preserve"> at the moment of maintenance, so </w:t>
      </w:r>
      <m:oMath>
        <m:r>
          <m:t>D</m:t>
        </m:r>
      </m:oMath>
      <w:r>
        <w:t xml:space="preserve"> restarts at </w:t>
      </w:r>
      <m:oMath>
        <m:r>
          <m:t>F</m:t>
        </m:r>
      </m:oMath>
      <w:r>
        <w:t xml:space="preserve"> rather than at zero. Consider a policy that applies the same mechanism whenever </w:t>
      </w:r>
      <m:oMath>
        <m:r>
          <m:t>D</m:t>
        </m:r>
      </m:oMath>
      <w:r>
        <w:t xml:space="preserve"> reaches </w:t>
      </w:r>
      <m:oMath>
        <m:r>
          <m:t>η</m:t>
        </m:r>
      </m:oMath>
      <w:r>
        <w:t xml:space="preserve">. Under the mean-path approximation, a cycle lasts </w:t>
      </w:r>
      <m:oMath>
        <m:d>
          <m:dPr>
            <m:begChr m:val="("/>
            <m:sepChr m:val=""/>
            <m:endChr m:val=")"/>
            <m:grow/>
          </m:dPr>
          <m:e>
            <m:r>
              <m:t>η</m:t>
            </m:r>
            <m:r>
              <m:rPr>
                <m:sty m:val="p"/>
              </m:rPr>
              <m:t>−</m:t>
            </m:r>
            <m:r>
              <m:t>F</m:t>
            </m:r>
          </m:e>
        </m:d>
        <m:r>
          <m:rPr>
            <m:sty m:val="p"/>
          </m:rPr>
          <m:t>/</m:t>
        </m:r>
        <m:r>
          <m:t>γ</m:t>
        </m:r>
      </m:oMath>
      <w:r>
        <w:t xml:space="preserve"> and the integrated degradation over the cycle is </w:t>
      </w:r>
      <m:oMath>
        <m:d>
          <m:dPr>
            <m:begChr m:val="("/>
            <m:sepChr m:val=""/>
            <m:endChr m:val=")"/>
            <m:grow/>
          </m:dPr>
          <m:e>
            <m:r>
              <m:t>η</m:t>
            </m:r>
            <m:r>
              <m:rPr>
                <m:sty m:val="p"/>
              </m:rPr>
              <m:t>+</m:t>
            </m:r>
            <m:r>
              <m:t>F</m:t>
            </m:r>
          </m:e>
        </m:d>
        <m:d>
          <m:dPr>
            <m:begChr m:val="("/>
            <m:sepChr m:val=""/>
            <m:endChr m:val=")"/>
            <m:grow/>
          </m:dPr>
          <m:e>
            <m:r>
              <m:t>η</m:t>
            </m:r>
            <m:r>
              <m:rPr>
                <m:sty m:val="p"/>
              </m:rPr>
              <m:t>−</m:t>
            </m:r>
            <m:r>
              <m:t>F</m:t>
            </m:r>
          </m:e>
        </m:d>
        <m:r>
          <m:rPr>
            <m:sty m:val="p"/>
          </m:rPr>
          <m:t>/</m:t>
        </m:r>
        <m:d>
          <m:dPr>
            <m:begChr m:val="("/>
            <m:sepChr m:val=""/>
            <m:endChr m:val=")"/>
            <m:grow/>
          </m:dPr>
          <m:e>
            <m:r>
              <m:t>2</m:t>
            </m:r>
            <m:r>
              <m:t>γ</m:t>
            </m:r>
          </m:e>
        </m:d>
      </m:oMath>
      <w:r>
        <w:t xml:space="preserve">. Charging </w:t>
      </w:r>
      <m:oMath>
        <m:sSub>
          <m:e>
            <m:r>
              <m:t>c</m:t>
            </m:r>
          </m:e>
          <m:sub>
            <m:r>
              <m:t>F</m:t>
            </m:r>
          </m:sub>
        </m:sSub>
        <m:r>
          <m:t>F</m:t>
        </m:r>
      </m:oMath>
      <w:r>
        <w:t xml:space="preserve"> once per cycle yields</w:t>
      </w:r>
    </w:p>
    <w:p>
      <w:pPr>
        <w:pStyle w:val="Equation"/>
        <w:tabs>
          <w:tab w:val="clear" w:pos="5040"/>
          <w:tab w:val="center" w:pos="2520"/>
          <w:tab w:val="right" w:pos="5040"/>
        </w:tabs>
        <w:spacing w:before="60" w:after="60"/>
      </w:pPr>
      <w:r>
        <w:tab/>
      </w:r>
      <m:oMath>
        <m:r>
          <m:t>J</m:t>
        </m:r>
        <m:d>
          <m:dPr>
            <m:begChr m:val="("/>
            <m:sepChr m:val=""/>
            <m:endChr m:val=")"/>
            <m:grow/>
          </m:dPr>
          <m:e>
            <m:r>
              <m:t>η</m:t>
            </m:r>
            <m:r>
              <m:rPr>
                <m:sty m:val="p"/>
              </m:rPr>
              <m:t>;</m:t>
            </m:r>
            <m:r>
              <m:t>F</m:t>
            </m:r>
          </m:e>
        </m:d>
        <m:r>
          <m:rPr>
            <m:sty m:val="p"/>
          </m:rPr>
          <m:t>=</m:t>
        </m:r>
        <m:f>
          <m:fPr>
            <m:type m:val="bar"/>
          </m:fPr>
          <m:num>
            <m:d>
              <m:dPr>
                <m:begChr m:val="("/>
                <m:sepChr m:val=""/>
                <m:endChr m:val=")"/>
                <m:grow/>
              </m:dPr>
              <m:e>
                <m:r>
                  <m:t>K</m:t>
                </m:r>
                <m:r>
                  <m:rPr>
                    <m:sty m:val="p"/>
                  </m:rPr>
                  <m:t>+</m:t>
                </m:r>
                <m:sSub>
                  <m:e>
                    <m:r>
                      <m:t>c</m:t>
                    </m:r>
                  </m:e>
                  <m:sub>
                    <m:r>
                      <m:t>F</m:t>
                    </m:r>
                  </m:sub>
                </m:sSub>
                <m:r>
                  <m:t>F</m:t>
                </m:r>
              </m:e>
            </m:d>
            <m:r>
              <m:t> </m:t>
            </m:r>
            <m:r>
              <m:t>γ</m:t>
            </m:r>
          </m:num>
          <m:den>
            <m:r>
              <m:t>η</m:t>
            </m:r>
            <m:r>
              <m:rPr>
                <m:sty m:val="p"/>
              </m:rPr>
              <m:t>−</m:t>
            </m:r>
            <m:r>
              <m:t>F</m:t>
            </m:r>
          </m:den>
        </m:f>
        <m:r>
          <m:rPr>
            <m:sty m:val="p"/>
          </m:rPr>
          <m:t>+</m:t>
        </m:r>
        <m:f>
          <m:fPr>
            <m:type m:val="bar"/>
          </m:fPr>
          <m:num>
            <m:sSub>
              <m:e>
                <m:r>
                  <m:t>c</m:t>
                </m:r>
              </m:e>
              <m:sub>
                <m:r>
                  <m:t>L</m:t>
                </m:r>
              </m:sub>
            </m:sSub>
            <m:d>
              <m:dPr>
                <m:begChr m:val="("/>
                <m:sepChr m:val=""/>
                <m:endChr m:val=")"/>
                <m:grow/>
              </m:dPr>
              <m:e>
                <m:r>
                  <m:t>η</m:t>
                </m:r>
                <m:r>
                  <m:rPr>
                    <m:sty m:val="p"/>
                  </m:rPr>
                  <m:t>+</m:t>
                </m:r>
                <m:r>
                  <m:t>F</m:t>
                </m:r>
              </m:e>
            </m:d>
          </m:num>
          <m:den>
            <m:r>
              <m:t>2</m:t>
            </m:r>
          </m:den>
        </m:f>
        <m:r>
          <m:rPr>
            <m:sty m:val="p"/>
          </m:rPr>
          <m:t>.</m:t>
        </m:r>
      </m:oMath>
      <w:r>
        <w:tab/>
        <w:t>(14)</w:t>
      </w:r>
    </w:p>
    <w:p>
      <w:pPr>
        <w:pStyle w:val="Text"/>
      </w:pPr>
      <w:r>
        <w:t xml:space="preserve">Writing </w:t>
      </w:r>
      <m:oMath>
        <m:r>
          <m:t>η</m:t>
        </m:r>
        <m:r>
          <m:rPr>
            <m:sty m:val="p"/>
          </m:rPr>
          <m:t>=</m:t>
        </m:r>
        <m:r>
          <m:t>F</m:t>
        </m:r>
        <m:r>
          <m:rPr>
            <m:sty m:val="p"/>
          </m:rPr>
          <m:t>+</m:t>
        </m:r>
        <m:r>
          <m:t>δ</m:t>
        </m:r>
      </m:oMath>
      <w:r>
        <w:t xml:space="preserve"> and minimizing in </w:t>
      </w:r>
      <m:oMath>
        <m:r>
          <m:t>δ</m:t>
        </m:r>
      </m:oMath>
      <w:r>
        <w:t xml:space="preserve"> gives</w:t>
      </w:r>
    </w:p>
    <w:p>
      <w:pPr>
        <w:pStyle w:val="Equation"/>
        <w:tabs>
          <w:tab w:val="clear" w:pos="5040"/>
          <w:tab w:val="center" w:pos="2520"/>
          <w:tab w:val="right" w:pos="5040"/>
        </w:tabs>
        <w:spacing w:before="60" w:after="60"/>
      </w:pPr>
      <w:r>
        <w:tab/>
      </w:r>
      <m:oMath>
        <m:m>
          <m:mPr>
            <m:baseJc m:val="center"/>
            <m:plcHide m:val="on"/>
            <m:mcs>
              <m:mc>
                <m:mcPr>
                  <m:count m:val="1"/>
                  <m:mcJc m:val="center"/>
                </m:mcPr>
              </m:mc>
            </m:mcs>
          </m:mPr>
          <m:mr>
            <m:e>
              <m:sSup>
                <m:e>
                  <m:r>
                    <m:t>δ</m:t>
                  </m:r>
                </m:e>
                <m:sup>
                  <m:r>
                    <m:rPr>
                      <m:sty m:val="p"/>
                    </m:rPr>
                    <m:t>*</m:t>
                  </m:r>
                </m:sup>
              </m:sSup>
              <m:r>
                <m:rPr>
                  <m:sty m:val="p"/>
                </m:rPr>
                <m:t>=</m:t>
              </m:r>
              <m:rad>
                <m:radPr>
                  <m:degHide m:val="on"/>
                </m:radPr>
                <m:deg/>
                <m:e>
                  <m:f>
                    <m:fPr>
                      <m:type m:val="bar"/>
                    </m:fPr>
                    <m:num>
                      <m:r>
                        <m:t>2</m:t>
                      </m:r>
                      <m:d>
                        <m:dPr>
                          <m:begChr m:val="("/>
                          <m:sepChr m:val=""/>
                          <m:endChr m:val=")"/>
                          <m:grow/>
                        </m:dPr>
                        <m:e>
                          <m:r>
                            <m:t>K</m:t>
                          </m:r>
                          <m:r>
                            <m:rPr>
                              <m:sty m:val="p"/>
                            </m:rPr>
                            <m:t>+</m:t>
                          </m:r>
                          <m:sSub>
                            <m:e>
                              <m:r>
                                <m:t>c</m:t>
                              </m:r>
                            </m:e>
                            <m:sub>
                              <m:r>
                                <m:t>F</m:t>
                              </m:r>
                            </m:sub>
                          </m:sSub>
                          <m:r>
                            <m:t>F</m:t>
                          </m:r>
                        </m:e>
                      </m:d>
                      <m:r>
                        <m:t>γ</m:t>
                      </m:r>
                    </m:num>
                    <m:den>
                      <m:sSub>
                        <m:e>
                          <m:r>
                            <m:t>c</m:t>
                          </m:r>
                        </m:e>
                        <m:sub>
                          <m:r>
                            <m:t>L</m:t>
                          </m:r>
                        </m:sub>
                      </m:sSub>
                    </m:den>
                  </m:f>
                </m:e>
              </m:rad>
              <m:r>
                <m:rPr>
                  <m:sty m:val="p"/>
                </m:rPr>
                <m:t>,</m:t>
              </m:r>
              <m:r>
                <m:t>  </m:t>
              </m:r>
              <m:sSup>
                <m:e>
                  <m:r>
                    <m:t>t</m:t>
                  </m:r>
                </m:e>
                <m:sup>
                  <m:r>
                    <m:rPr>
                      <m:sty m:val="p"/>
                    </m:rPr>
                    <m:t>*</m:t>
                  </m:r>
                </m:sup>
              </m:sSup>
              <m:r>
                <m:rPr>
                  <m:sty m:val="p"/>
                </m:rPr>
                <m:t>=</m:t>
              </m:r>
              <m:f>
                <m:fPr>
                  <m:type m:val="bar"/>
                </m:fPr>
                <m:num>
                  <m:sSup>
                    <m:e>
                      <m:r>
                        <m:t>δ</m:t>
                      </m:r>
                    </m:e>
                    <m:sup>
                      <m:r>
                        <m:rPr>
                          <m:sty m:val="p"/>
                        </m:rPr>
                        <m:t>*</m:t>
                      </m:r>
                    </m:sup>
                  </m:sSup>
                </m:num>
                <m:den>
                  <m:r>
                    <m:t>γ</m:t>
                  </m:r>
                </m:den>
              </m:f>
              <m:r>
                <m:rPr>
                  <m:sty m:val="p"/>
                </m:rPr>
                <m:t>,</m:t>
              </m:r>
              <m:r>
                <m:t> </m:t>
              </m:r>
              <m:sSup>
                <m:e>
                  <m:r>
                    <m:t>J</m:t>
                  </m:r>
                </m:e>
                <m:sup>
                  <m:r>
                    <m:rPr>
                      <m:sty m:val="p"/>
                    </m:rPr>
                    <m:t>*</m:t>
                  </m:r>
                </m:sup>
              </m:sSup>
              <m:r>
                <m:rPr>
                  <m:sty m:val="p"/>
                </m:rPr>
                <m:t>=</m:t>
              </m:r>
              <m:rad>
                <m:radPr>
                  <m:degHide m:val="on"/>
                </m:radPr>
                <m:deg/>
                <m:e>
                  <m:r>
                    <m:t>2</m:t>
                  </m:r>
                  <m:sSub>
                    <m:e>
                      <m:r>
                        <m:t>c</m:t>
                      </m:r>
                    </m:e>
                    <m:sub>
                      <m:r>
                        <m:t>L</m:t>
                      </m:r>
                    </m:sub>
                  </m:sSub>
                  <m:r>
                    <m:t>γ</m:t>
                  </m:r>
                  <m:r>
                    <m:t> </m:t>
                  </m:r>
                  <m:d>
                    <m:dPr>
                      <m:begChr m:val="("/>
                      <m:sepChr m:val=""/>
                      <m:endChr m:val=")"/>
                      <m:grow/>
                    </m:dPr>
                    <m:e>
                      <m:r>
                        <m:t>K</m:t>
                      </m:r>
                      <m:r>
                        <m:rPr>
                          <m:sty m:val="p"/>
                        </m:rPr>
                        <m:t>+</m:t>
                      </m:r>
                      <m:sSub>
                        <m:e>
                          <m:r>
                            <m:t>c</m:t>
                          </m:r>
                        </m:e>
                        <m:sub>
                          <m:r>
                            <m:t>F</m:t>
                          </m:r>
                        </m:sub>
                      </m:sSub>
                      <m:r>
                        <m:t>F</m:t>
                      </m:r>
                    </m:e>
                  </m:d>
                </m:e>
              </m:rad>
              <m:r>
                <m:rPr>
                  <m:sty m:val="p"/>
                </m:rPr>
                <m:t>+</m:t>
              </m:r>
              <m:sSub>
                <m:e>
                  <m:r>
                    <m:t>c</m:t>
                  </m:r>
                </m:e>
                <m:sub>
                  <m:r>
                    <m:t>L</m:t>
                  </m:r>
                </m:sub>
              </m:sSub>
              <m:r>
                <m:t>F</m:t>
              </m:r>
              <m:r>
                <m:rPr>
                  <m:sty m:val="p"/>
                </m:rPr>
                <m:t>.</m:t>
              </m:r>
            </m:e>
          </m:mr>
        </m:m>
      </m:oMath>
      <w:r>
        <w:tab/>
        <w:t>(15)</w:t>
      </w:r>
    </w:p>
    <w:p>
      <w:pPr>
        <w:pStyle w:val="Text"/>
      </w:pPr>
      <w:r>
        <w:t xml:space="preserve">The optimal cost rate therefore rises through two channels: the effective one-off cost inflates from </w:t>
      </w:r>
      <m:oMath>
        <m:r>
          <m:t>K</m:t>
        </m:r>
      </m:oMath>
      <w:r>
        <w:t xml:space="preserve"> to </w:t>
      </w:r>
      <m:oMath>
        <m:r>
          <m:t>K</m:t>
        </m:r>
        <m:r>
          <m:rPr>
            <m:sty m:val="p"/>
          </m:rPr>
          <m:t>+</m:t>
        </m:r>
        <m:sSub>
          <m:e>
            <m:r>
              <m:t>c</m:t>
            </m:r>
          </m:e>
          <m:sub>
            <m:r>
              <m:t>F</m:t>
            </m:r>
          </m:sub>
        </m:sSub>
        <m:r>
          <m:t>F</m:t>
        </m:r>
      </m:oMath>
      <w:r>
        <w:t xml:space="preserve">, and a permanent flow </w:t>
      </w:r>
      <m:oMath>
        <m:sSub>
          <m:e>
            <m:r>
              <m:t>c</m:t>
            </m:r>
          </m:e>
          <m:sub>
            <m:r>
              <m:t>L</m:t>
            </m:r>
          </m:sub>
        </m:sSub>
        <m:r>
          <m:t>F</m:t>
        </m:r>
      </m:oMath>
      <w:r>
        <w:t xml:space="preserve"> remains that no cadence can remove. Holding </w:t>
      </w:r>
      <m:oMath>
        <m:r>
          <m:t>K</m:t>
        </m:r>
      </m:oMath>
      <w:r>
        <w:t xml:space="preserve"> fixed, a mechanism with smaller </w:t>
      </w:r>
      <m:oMath>
        <m:r>
          <m:t>F</m:t>
        </m:r>
      </m:oMath>
      <w:r>
        <w:t xml:space="preserve"> has a smaller effective one-off cost and therefore a smaller </w:t>
      </w:r>
      <m:oMath>
        <m:sSup>
          <m:e>
            <m:r>
              <m:t>δ</m:t>
            </m:r>
          </m:e>
          <m:sup>
            <m:r>
              <m:rPr>
                <m:sty m:val="p"/>
              </m:rPr>
              <m:t>*</m:t>
            </m:r>
          </m:sup>
        </m:sSup>
      </m:oMath>
      <w:r>
        <w:t xml:space="preserve"> and a shorter optimal interval. </w:t>
      </w:r>
      <w:r>
        <w:rPr>
          <w:i/>
          <w:iCs/>
        </w:rPr>
        <w:t xml:space="preserve">Safer repairs should be used more often, not less.</w:t>
      </w:r>
      <w:r>
        <w:t xml:space="preserve"> When mechanisms differ in both </w:t>
      </w:r>
      <m:oMath>
        <m:r>
          <m:t>K</m:t>
        </m:r>
      </m:oMath>
      <w:r>
        <w:t xml:space="preserve"> and </w:t>
      </w:r>
      <m:oMath>
        <m:r>
          <m:t>F</m:t>
        </m:r>
      </m:oMath>
      <w:r>
        <w:t xml:space="preserve"> they must be compared through the minimized </w:t>
      </w:r>
      <m:oMath>
        <m:sSup>
          <m:e>
            <m:r>
              <m:t>J</m:t>
            </m:r>
          </m:e>
          <m:sup>
            <m:r>
              <m:rPr>
                <m:sty m:val="p"/>
              </m:rPr>
              <m:t>*</m:t>
            </m:r>
          </m:sup>
        </m:sSup>
      </m:oMath>
      <w:r>
        <w:t xml:space="preserve">, not through </w:t>
      </w:r>
      <m:oMath>
        <m:r>
          <m:t>K</m:t>
        </m:r>
      </m:oMath>
      <w:r>
        <w:t xml:space="preserve"> or </w:t>
      </w:r>
      <m:oMath>
        <m:r>
          <m:t>F</m:t>
        </m:r>
      </m:oMath>
      <w:r>
        <w:t xml:space="preserve"> alone: a cheap mechanism with large residual damage can lose to an expensive perfect repair because of the permanent term. This comparative static runs opposite to the drift-intensity effect in Section V and is the second closed-form prediction of the paper. Fig. 2 shows the resulting U-shaped cost-rate curves and the rightward shift of the minimizer as residual damage grows.</w:t>
      </w:r>
    </w:p>
    <w:p>
      <w:pPr>
        <w:keepNext/>
        <w:spacing w:before="60" w:after="40"/>
        <w:jc w:val="center"/>
      </w:pPr>
      <w:r>
        <w:drawing>
          <wp:inline distT="0" distB="0" distL="0" distR="0">
            <wp:extent cx="3017520" cy="1545909"/>
            <wp:docPr id="202" name="Figure 2"/>
            <wp:cNvGraphicFramePr/>
            <a:graphic xmlns:a="http://schemas.openxmlformats.org/drawingml/2006/main">
              <a:graphicData uri="http://schemas.openxmlformats.org/drawingml/2006/picture">
                <pic:pic xmlns:pic="http://schemas.openxmlformats.org/drawingml/2006/picture">
                  <pic:nvPicPr>
                    <pic:cNvPr id="202" name="fig2.png"/>
                    <pic:cNvPicPr/>
                  </pic:nvPicPr>
                  <pic:blipFill>
                    <a:blip r:embed="rId101"/>
                    <a:stretch>
                      <a:fillRect/>
                    </a:stretch>
                  </pic:blipFill>
                  <pic:spPr>
                    <a:xfrm>
                      <a:off x="0" y="0"/>
                      <a:ext cx="3017520" cy="1545909"/>
                    </a:xfrm>
                    <a:prstGeom prst="rect">
                      <a:avLst/>
                    </a:prstGeom>
                  </pic:spPr>
                </pic:pic>
              </a:graphicData>
            </a:graphic>
          </wp:inline>
        </w:drawing>
      </w:r>
    </w:p>
    <w:p>
      <w:pPr>
        <w:pStyle w:val="FigureCaption"/>
        <w:spacing w:after="120"/>
      </w:pPr>
      <w:r>
        <w:rPr>
          <w:b/>
          <w:bCs/>
          <w:sz w:val="16"/>
          <w:szCs w:val="16"/>
        </w:rPr>
        <w:t xml:space="preserve">Fig. 2.</w:t>
      </w:r>
      <w:r>
        <w:rPr>
          <w:sz w:val="16"/>
          <w:szCs w:val="16"/>
        </w:rPr>
        <w:t xml:space="preserve"> </w:t>
      </w:r>
      <w:r>
        <w:rPr>
          <w:sz w:val="16"/>
          <w:szCs w:val="16"/>
        </w:rPr>
        <w:t xml:space="preserve">Long-run average cost rate as a function of the degradation threshold, for perfect repair and two imperfect-repair levels. Dots mark the minimizers. Residual forgetting both raises the optimal cost rate and shifts the optimal threshold.</w:t>
      </w:r>
    </w:p>
    <w:p>
      <w:pPr>
        <w:pStyle w:val="Heading1"/>
      </w:pPr>
      <w:r>
        <w:t xml:space="preserve">VI. Multi-Action Scheduling as an Average-Cost MDP</w:t>
      </w:r>
    </w:p>
    <w:p>
      <w:pPr>
        <w:pStyle w:val="Heading2"/>
        <w:numPr>
          <w:ilvl w:val="0"/>
          <w:numId w:val="0"/>
        </w:numPr>
        <w:ind w:left="0" w:firstLine="0"/>
      </w:pPr>
      <w:r>
        <w:t xml:space="preserve">A. State, Action, and Transition</w:t>
      </w:r>
    </w:p>
    <w:p>
      <w:pPr>
        <w:pStyle w:val="Text"/>
      </w:pPr>
      <w:r>
        <w:t xml:space="preserve">Time is discretized into decision epochs. The state is </w:t>
      </w:r>
      <m:oMath>
        <m:r>
          <m:t>x</m:t>
        </m:r>
        <m:r>
          <m:rPr>
            <m:sty m:val="p"/>
          </m:rPr>
          <m:t>=</m:t>
        </m:r>
        <m:d>
          <m:dPr>
            <m:begChr m:val="("/>
            <m:sepChr m:val=""/>
            <m:endChr m:val=")"/>
            <m:grow/>
          </m:dPr>
          <m:e>
            <m:r>
              <m:t>d</m:t>
            </m:r>
            <m:r>
              <m:rPr>
                <m:sty m:val="p"/>
              </m:rPr>
              <m:t>,</m:t>
            </m:r>
            <m:r>
              <m:t>r</m:t>
            </m:r>
          </m:e>
        </m:d>
      </m:oMath>
      <w:r>
        <w:t xml:space="preserve">, where </w:t>
      </w:r>
      <m:oMath>
        <m:r>
          <m:t>d</m:t>
        </m:r>
      </m:oMath>
      <w:r>
        <w:t xml:space="preserve"> is the discretized degradation index and </w:t>
      </w:r>
      <m:oMath>
        <m:r>
          <m:t>r</m:t>
        </m:r>
      </m:oMath>
      <w:r>
        <w:t xml:space="preserve"> is a coarse estimate of the current drift-hazard regime (for example, an indicator of whether the time since the last shock is in a decreasing- or increasing-mean-residual-life phase). The regime evolves as an exogenous Markov chain, independent of </w:t>
      </w:r>
      <m:oMath>
        <m:r>
          <m:t>d</m:t>
        </m:r>
      </m:oMath>
      <w:r>
        <w:t xml:space="preserve"> and of the action. At each epoch the maintainer chooses a parametric action</w:t>
      </w:r>
    </w:p>
    <w:p>
      <w:pPr>
        <w:pStyle w:val="Equation"/>
        <w:tabs>
          <w:tab w:val="clear" w:pos="5040"/>
          <w:tab w:val="center" w:pos="2520"/>
          <w:tab w:val="right" w:pos="5040"/>
        </w:tabs>
        <w:spacing w:before="60" w:after="60"/>
      </w:pPr>
      <w:r>
        <w:tab/>
      </w:r>
      <m:oMath>
        <m:m>
          <m:mPr>
            <m:baseJc m:val="center"/>
            <m:plcHide m:val="on"/>
            <m:mcs>
              <m:mc>
                <m:mcPr>
                  <m:count m:val="1"/>
                  <m:mcJc m:val="center"/>
                </m:mcPr>
              </m:mc>
            </m:mcs>
          </m:mPr>
          <m:mr>
            <m:e>
              <m:r>
                <m:t>a</m:t>
              </m:r>
              <m:r>
                <m:rPr>
                  <m:sty m:val="p"/>
                </m:rPr>
                <m:t>∈</m:t>
              </m:r>
              <m:r>
                <m:rPr>
                  <m:scr m:val="script"/>
                  <m:sty m:val="p"/>
                </m:rPr>
                <m:t>A</m:t>
              </m:r>
              <m:r>
                <m:rPr>
                  <m:sty m:val="p"/>
                </m:rPr>
                <m:t>=</m:t>
              </m:r>
              <m:r>
                <m:rPr>
                  <m:sty m:val="p"/>
                </m:rPr>
                <m:t>{</m:t>
              </m:r>
              <m:r>
                <m:rPr>
                  <m:nor/>
                </m:rPr>
                <m:t>no-op, knowledge edit,</m:t>
              </m:r>
              <m:r>
                <m:t> </m:t>
              </m:r>
              <m:r>
                <m:rPr>
                  <m:nor/>
                </m:rPr>
                <m:t>parameter-efficient fine-tune, full retrain</m:t>
              </m:r>
              <m:r>
                <m:rPr>
                  <m:sty m:val="p"/>
                </m:rPr>
                <m:t>}</m:t>
              </m:r>
              <m:r>
                <m:rPr>
                  <m:sty m:val="p"/>
                </m:rPr>
                <m:t>,</m:t>
              </m:r>
            </m:e>
          </m:mr>
        </m:m>
      </m:oMath>
      <w:r>
        <w:tab/>
        <w:t>(16)</w:t>
      </w:r>
    </w:p>
    <w:p>
      <w:pPr>
        <w:pStyle w:val="Text"/>
      </w:pPr>
      <w:r>
        <w:t xml:space="preserve">with cost </w:t>
      </w:r>
      <m:oMath>
        <m:r>
          <m:t>K</m:t>
        </m:r>
        <m:d>
          <m:dPr>
            <m:begChr m:val="("/>
            <m:sepChr m:val=""/>
            <m:endChr m:val=")"/>
            <m:grow/>
          </m:dPr>
          <m:e>
            <m:r>
              <m:t>a</m:t>
            </m:r>
          </m:e>
        </m:d>
      </m:oMath>
      <w:r>
        <w:t xml:space="preserve">, forgetting increment </w:t>
      </w:r>
      <m:oMath>
        <m:r>
          <m:t>F</m:t>
        </m:r>
        <m:d>
          <m:dPr>
            <m:begChr m:val="("/>
            <m:sepChr m:val=""/>
            <m:endChr m:val=")"/>
            <m:grow/>
          </m:dPr>
          <m:e>
            <m:r>
              <m:t>a</m:t>
            </m:r>
          </m:e>
        </m:d>
      </m:oMath>
      <w:r>
        <w:t xml:space="preserve">, and degradation-reduction fraction </w:t>
      </w:r>
      <m:oMath>
        <m:r>
          <m:t>ρ</m:t>
        </m:r>
        <m:d>
          <m:dPr>
            <m:begChr m:val="("/>
            <m:sepChr m:val=""/>
            <m:endChr m:val=")"/>
            <m:grow/>
          </m:dPr>
          <m:e>
            <m:r>
              <m:t>a</m:t>
            </m:r>
          </m:e>
        </m:d>
        <m:r>
          <m:rPr>
            <m:sty m:val="p"/>
          </m:rPr>
          <m:t>∈</m:t>
        </m:r>
        <m:d>
          <m:dPr>
            <m:begChr m:val="["/>
            <m:sepChr m:val=""/>
            <m:endChr m:val="]"/>
            <m:grow/>
          </m:dPr>
          <m:e>
            <m:r>
              <m:t>0</m:t>
            </m:r>
            <m:r>
              <m:rPr>
                <m:sty m:val="p"/>
              </m:rPr>
              <m:t>,</m:t>
            </m:r>
            <m:r>
              <m:t>1</m:t>
            </m:r>
          </m:e>
        </m:d>
      </m:oMath>
      <w:r>
        <w:t xml:space="preserve">, so that</w:t>
      </w:r>
    </w:p>
    <w:p>
      <w:pPr>
        <w:pStyle w:val="Equation"/>
        <w:tabs>
          <w:tab w:val="clear" w:pos="5040"/>
          <w:tab w:val="center" w:pos="2520"/>
          <w:tab w:val="right" w:pos="5040"/>
        </w:tabs>
        <w:spacing w:before="60" w:after="60"/>
      </w:pPr>
      <w:r>
        <w:tab/>
      </w:r>
      <m:oMath>
        <m:r>
          <m:t>d</m:t>
        </m:r>
        <m:r>
          <m:rPr>
            <m:sty m:val="p"/>
          </m:rPr>
          <m:t>′</m:t>
        </m:r>
        <m:r>
          <m:rPr>
            <m:sty m:val="p"/>
          </m:rPr>
          <m:t>=</m:t>
        </m:r>
        <m:d>
          <m:dPr>
            <m:begChr m:val="("/>
            <m:sepChr m:val=""/>
            <m:endChr m:val=")"/>
            <m:grow/>
          </m:dPr>
          <m:e>
            <m:r>
              <m:t>1</m:t>
            </m:r>
            <m:r>
              <m:rPr>
                <m:sty m:val="p"/>
              </m:rPr>
              <m:t>−</m:t>
            </m:r>
            <m:r>
              <m:t>ρ</m:t>
            </m:r>
            <m:d>
              <m:dPr>
                <m:begChr m:val="("/>
                <m:sepChr m:val=""/>
                <m:endChr m:val=")"/>
                <m:grow/>
              </m:dPr>
              <m:e>
                <m:r>
                  <m:t>a</m:t>
                </m:r>
              </m:e>
            </m:d>
          </m:e>
        </m:d>
        <m:r>
          <m:t> </m:t>
        </m:r>
        <m:r>
          <m:t>d</m:t>
        </m:r>
        <m:r>
          <m:rPr>
            <m:sty m:val="p"/>
          </m:rPr>
          <m:t>+</m:t>
        </m:r>
        <m:r>
          <m:t>F</m:t>
        </m:r>
        <m:d>
          <m:dPr>
            <m:begChr m:val="("/>
            <m:sepChr m:val=""/>
            <m:endChr m:val=")"/>
            <m:grow/>
          </m:dPr>
          <m:e>
            <m:r>
              <m:t>a</m:t>
            </m:r>
          </m:e>
        </m:d>
        <m:r>
          <m:rPr>
            <m:sty m:val="p"/>
          </m:rPr>
          <m:t>+</m:t>
        </m:r>
        <m:r>
          <m:t>ζ</m:t>
        </m:r>
        <m:r>
          <m:rPr>
            <m:sty m:val="p"/>
          </m:rPr>
          <m:t>,</m:t>
        </m:r>
      </m:oMath>
      <w:r>
        <w:tab/>
        <w:t>(17)</w:t>
      </w:r>
    </w:p>
    <w:p>
      <w:pPr>
        <w:pStyle w:val="Text"/>
      </w:pPr>
      <w:r>
        <w:t xml:space="preserve">where </w:t>
      </w:r>
      <m:oMath>
        <m:r>
          <m:t>ζ</m:t>
        </m:r>
      </m:oMath>
      <w:r>
        <w:t xml:space="preserve"> is the random staleness increment accrued during the epoch, with a law that depends on </w:t>
      </w:r>
      <m:oMath>
        <m:r>
          <m:t>r</m:t>
        </m:r>
      </m:oMath>
      <w:r>
        <w:t xml:space="preserve">. Retrieval is deliberately not an element of </w:t>
      </w:r>
      <m:oMath>
        <m:r>
          <m:rPr>
            <m:scr m:val="script"/>
            <m:sty m:val="p"/>
          </m:rPr>
          <m:t>A</m:t>
        </m:r>
      </m:oMath>
      <w:r>
        <w:t xml:space="preserve">. It does not reduce degradation already in </w:t>
      </w:r>
      <m:oMath>
        <m:r>
          <m:t>d</m:t>
        </m:r>
      </m:oMath>
      <w:r>
        <w:t xml:space="preserve">; it lowers the mean of </w:t>
      </w:r>
      <m:oMath>
        <m:r>
          <m:t>ζ</m:t>
        </m:r>
      </m:oMath>
      <w:r>
        <w:t xml:space="preserve"> from </w:t>
      </w:r>
      <m:oMath>
        <m:r>
          <m:t>γ</m:t>
        </m:r>
      </m:oMath>
      <w:r>
        <w:t xml:space="preserve"> to </w:t>
      </w:r>
      <m:oMath>
        <m:r>
          <m:t>γ</m:t>
        </m:r>
        <m:r>
          <m:rPr>
            <m:sty m:val="p"/>
          </m:rPr>
          <m:t>−</m:t>
        </m:r>
        <m:r>
          <m:t>α</m:t>
        </m:r>
      </m:oMath>
      <w:r>
        <w:t xml:space="preserve"> per unit time at upkeep </w:t>
      </w:r>
      <m:oMath>
        <m:sSub>
          <m:e>
            <m:r>
              <m:t>k</m:t>
            </m:r>
          </m:e>
          <m:sub>
            <m:r>
              <m:t>C</m:t>
            </m:r>
          </m:sub>
        </m:sSub>
      </m:oMath>
      <w:r>
        <w:t xml:space="preserve">. Whether to keep the store is an outer comparison of the optimal average costs with and without retrieval (Section VIII).</w:t>
      </w:r>
    </w:p>
    <w:p>
      <w:pPr>
        <w:pStyle w:val="Heading2"/>
        <w:numPr>
          <w:ilvl w:val="0"/>
          <w:numId w:val="0"/>
        </w:numPr>
        <w:ind w:left="0" w:firstLine="0"/>
      </w:pPr>
      <w:r>
        <w:t xml:space="preserve">B. Optimality Equation</w:t>
      </w:r>
    </w:p>
    <w:p>
      <w:pPr>
        <w:pStyle w:val="Text"/>
      </w:pPr>
      <w:r>
        <w:t xml:space="preserve">The one-step cost is </w:t>
      </w:r>
      <m:oMath>
        <m:r>
          <m:t>c</m:t>
        </m:r>
        <m:d>
          <m:dPr>
            <m:begChr m:val="("/>
            <m:sepChr m:val=""/>
            <m:endChr m:val=")"/>
            <m:grow/>
          </m:dPr>
          <m:e>
            <m:r>
              <m:t>d</m:t>
            </m:r>
            <m:r>
              <m:rPr>
                <m:sty m:val="p"/>
              </m:rPr>
              <m:t>,</m:t>
            </m:r>
            <m:r>
              <m:t>a</m:t>
            </m:r>
          </m:e>
        </m:d>
        <m:r>
          <m:rPr>
            <m:sty m:val="p"/>
          </m:rPr>
          <m:t>=</m:t>
        </m:r>
        <m:sSub>
          <m:e>
            <m:r>
              <m:t>c</m:t>
            </m:r>
          </m:e>
          <m:sub>
            <m:r>
              <m:t>L</m:t>
            </m:r>
          </m:sub>
        </m:sSub>
        <m:r>
          <m:t>d</m:t>
        </m:r>
        <m:r>
          <m:rPr>
            <m:sty m:val="p"/>
          </m:rPr>
          <m:t>+</m:t>
        </m:r>
        <m:r>
          <m:t>K</m:t>
        </m:r>
        <m:d>
          <m:dPr>
            <m:begChr m:val="("/>
            <m:sepChr m:val=""/>
            <m:endChr m:val=")"/>
            <m:grow/>
          </m:dPr>
          <m:e>
            <m:r>
              <m:t>a</m:t>
            </m:r>
          </m:e>
        </m:d>
        <m:r>
          <m:rPr>
            <m:sty m:val="p"/>
          </m:rPr>
          <m:t>+</m:t>
        </m:r>
        <m:sSub>
          <m:e>
            <m:r>
              <m:t>c</m:t>
            </m:r>
          </m:e>
          <m:sub>
            <m:r>
              <m:t>F</m:t>
            </m:r>
          </m:sub>
        </m:sSub>
        <m:r>
          <m:t>F</m:t>
        </m:r>
        <m:d>
          <m:dPr>
            <m:begChr m:val="("/>
            <m:sepChr m:val=""/>
            <m:endChr m:val=")"/>
            <m:grow/>
          </m:dPr>
          <m:e>
            <m:r>
              <m:t>a</m:t>
            </m:r>
          </m:e>
        </m:d>
      </m:oMath>
      <w:r>
        <w:t xml:space="preserve">. The average-cost optimality equation [33], [34] is</w:t>
      </w:r>
    </w:p>
    <w:p>
      <w:pPr>
        <w:pStyle w:val="Equation"/>
        <w:tabs>
          <w:tab w:val="clear" w:pos="5040"/>
          <w:tab w:val="center" w:pos="2520"/>
          <w:tab w:val="right" w:pos="5040"/>
        </w:tabs>
        <w:spacing w:before="60" w:after="60"/>
      </w:pPr>
      <w:r>
        <w:tab/>
      </w:r>
      <m:oMath>
        <m:r>
          <m:t>g</m:t>
        </m:r>
        <m:r>
          <m:rPr>
            <m:sty m:val="p"/>
          </m:rPr>
          <m:t>+</m:t>
        </m:r>
        <m:r>
          <m:t>V</m:t>
        </m:r>
        <m:d>
          <m:dPr>
            <m:begChr m:val="("/>
            <m:sepChr m:val=""/>
            <m:endChr m:val=")"/>
            <m:grow/>
          </m:dPr>
          <m:e>
            <m:r>
              <m:t>d</m:t>
            </m:r>
            <m:r>
              <m:rPr>
                <m:sty m:val="p"/>
              </m:rPr>
              <m:t>,</m:t>
            </m:r>
            <m:r>
              <m:t>r</m:t>
            </m:r>
          </m:e>
        </m:d>
        <m:r>
          <m:rPr>
            <m:sty m:val="p"/>
          </m:rPr>
          <m:t>=</m:t>
        </m:r>
        <m:sSub>
          <m:e>
            <m:r>
              <m:rPr>
                <m:sty m:val="p"/>
              </m:rPr>
              <m:t>min</m:t>
            </m:r>
          </m:e>
          <m:sub>
            <m:r>
              <m:t>a</m:t>
            </m:r>
            <m:r>
              <m:rPr>
                <m:sty m:val="p"/>
              </m:rPr>
              <m:t>∈</m:t>
            </m:r>
            <m:r>
              <m:rPr>
                <m:scr m:val="script"/>
                <m:sty m:val="p"/>
              </m:rPr>
              <m:t>A</m:t>
            </m:r>
          </m:sub>
        </m:sSub>
        <m:d>
          <m:dPr>
            <m:begChr m:val="{"/>
            <m:sepChr m:val=""/>
            <m:endChr m:val="}"/>
            <m:grow/>
          </m:dPr>
          <m:e>
            <m:r>
              <m:t>c</m:t>
            </m:r>
            <m:d>
              <m:dPr>
                <m:begChr m:val="("/>
                <m:sepChr m:val=""/>
                <m:endChr m:val=")"/>
                <m:grow/>
              </m:dPr>
              <m:e>
                <m:r>
                  <m:t>d</m:t>
                </m:r>
                <m:r>
                  <m:rPr>
                    <m:sty m:val="p"/>
                  </m:rPr>
                  <m:t>,</m:t>
                </m:r>
                <m:r>
                  <m:t>a</m:t>
                </m:r>
              </m:e>
            </m:d>
            <m:r>
              <m:rPr>
                <m:sty m:val="p"/>
              </m:rPr>
              <m:t>+</m:t>
            </m:r>
            <m:nary>
              <m:naryPr>
                <m:chr m:val="∑"/>
                <m:limLoc m:val="undOvr"/>
                <m:subHide m:val="off"/>
                <m:supHide m:val="on"/>
              </m:naryPr>
              <m:sub>
                <m:r>
                  <m:t>d</m:t>
                </m:r>
                <m:r>
                  <m:rPr>
                    <m:sty m:val="p"/>
                  </m:rPr>
                  <m:t>′</m:t>
                </m:r>
                <m:r>
                  <m:rPr>
                    <m:sty m:val="p"/>
                  </m:rPr>
                  <m:t>,</m:t>
                </m:r>
                <m:r>
                  <m:t>r</m:t>
                </m:r>
                <m:r>
                  <m:rPr>
                    <m:sty m:val="p"/>
                  </m:rPr>
                  <m:t>′</m:t>
                </m:r>
              </m:sub>
              <m:sup>
                <m:r>
                  <m:t>​</m:t>
                </m:r>
              </m:sup>
              <m:e>
                <m:r>
                  <m:t>P</m:t>
                </m:r>
              </m:e>
            </m:nary>
            <m:d>
              <m:dPr>
                <m:begChr m:val="("/>
                <m:sepChr m:val=""/>
                <m:endChr m:val=")"/>
                <m:grow/>
              </m:dPr>
              <m:e>
                <m:r>
                  <m:t>d</m:t>
                </m:r>
                <m:r>
                  <m:rPr>
                    <m:sty m:val="p"/>
                  </m:rPr>
                  <m:t>′</m:t>
                </m:r>
                <m:r>
                  <m:rPr>
                    <m:sty m:val="p"/>
                  </m:rPr>
                  <m:t>,</m:t>
                </m:r>
                <m:r>
                  <m:t>r</m:t>
                </m:r>
                <m:r>
                  <m:rPr>
                    <m:sty m:val="p"/>
                  </m:rPr>
                  <m:t>′</m:t>
                </m:r>
                <m:r>
                  <m:rPr>
                    <m:sty m:val="p"/>
                  </m:rPr>
                  <m:t>∣</m:t>
                </m:r>
                <m:r>
                  <m:t>d</m:t>
                </m:r>
                <m:r>
                  <m:rPr>
                    <m:sty m:val="p"/>
                  </m:rPr>
                  <m:t>,</m:t>
                </m:r>
                <m:r>
                  <m:t>r</m:t>
                </m:r>
                <m:r>
                  <m:rPr>
                    <m:sty m:val="p"/>
                  </m:rPr>
                  <m:t>,</m:t>
                </m:r>
                <m:r>
                  <m:t>a</m:t>
                </m:r>
              </m:e>
            </m:d>
            <m:r>
              <m:t> </m:t>
            </m:r>
            <m:r>
              <m:t>V</m:t>
            </m:r>
            <m:d>
              <m:dPr>
                <m:begChr m:val="("/>
                <m:sepChr m:val=""/>
                <m:endChr m:val=")"/>
                <m:grow/>
              </m:dPr>
              <m:e>
                <m:r>
                  <m:t>d</m:t>
                </m:r>
                <m:r>
                  <m:rPr>
                    <m:sty m:val="p"/>
                  </m:rPr>
                  <m:t>′</m:t>
                </m:r>
                <m:r>
                  <m:rPr>
                    <m:sty m:val="p"/>
                  </m:rPr>
                  <m:t>,</m:t>
                </m:r>
                <m:r>
                  <m:t>r</m:t>
                </m:r>
                <m:r>
                  <m:rPr>
                    <m:sty m:val="p"/>
                  </m:rPr>
                  <m:t>′</m:t>
                </m:r>
              </m:e>
            </m:d>
          </m:e>
        </m:d>
        <m:r>
          <m:rPr>
            <m:sty m:val="p"/>
          </m:rPr>
          <m:t>,</m:t>
        </m:r>
      </m:oMath>
      <w:r>
        <w:tab/>
        <w:t>(18)</w:t>
      </w:r>
    </w:p>
    <w:p>
      <w:pPr>
        <w:pStyle w:val="Text"/>
      </w:pPr>
      <w:r>
        <w:t xml:space="preserve">where </w:t>
      </w:r>
      <m:oMath>
        <m:r>
          <m:t>g</m:t>
        </m:r>
      </m:oMath>
      <w:r>
        <w:t xml:space="preserve"> is the optimal average cost rate and </w:t>
      </w:r>
      <m:oMath>
        <m:r>
          <m:t>V</m:t>
        </m:r>
      </m:oMath>
      <w:r>
        <w:t xml:space="preserve"> is a relative value function, unique up to an additive constant. The state space is low-dimensional by design, so (18) is solvable by relative value iteration for any numerical instantiation. The point of this section is the structural property that survives across parameterizations.</w:t>
      </w:r>
    </w:p>
    <w:p>
      <w:pPr>
        <w:pStyle w:val="Heading2"/>
        <w:numPr>
          <w:ilvl w:val="0"/>
          <w:numId w:val="0"/>
        </w:numPr>
        <w:ind w:left="0" w:firstLine="0"/>
      </w:pPr>
      <w:r>
        <w:t xml:space="preserve">C. Control-Limit Theorem</w:t>
      </w:r>
    </w:p>
    <w:p>
      <w:pPr>
        <w:pStyle w:val="Text"/>
      </w:pPr>
      <w:r>
        <w:rPr>
          <w:b/>
          <w:bCs/>
          <w:i/>
          <w:iCs/>
        </w:rPr>
        <w:t xml:space="preserve">Proposition 1 (Monotone control-limit policy). </w:t>
      </w:r>
      <w:r>
        <w:t xml:space="preserve">Suppose Assumption 6 holds. Then </w:t>
      </w:r>
      <m:oMath>
        <m:r>
          <m:t>V</m:t>
        </m:r>
        <m:d>
          <m:dPr>
            <m:begChr m:val="("/>
            <m:sepChr m:val=""/>
            <m:endChr m:val=")"/>
            <m:grow/>
          </m:dPr>
          <m:e>
            <m:r>
              <m:rPr>
                <m:sty m:val="p"/>
              </m:rPr>
              <m:t>⋅</m:t>
            </m:r>
            <m:r>
              <m:rPr>
                <m:sty m:val="p"/>
              </m:rPr>
              <m:t>,</m:t>
            </m:r>
            <m:r>
              <m:t>r</m:t>
            </m:r>
          </m:e>
        </m:d>
      </m:oMath>
      <w:r>
        <w:t xml:space="preserve"> is nondecreasing in </w:t>
      </w:r>
      <m:oMath>
        <m:r>
          <m:t>d</m:t>
        </m:r>
      </m:oMath>
      <w:r>
        <w:t xml:space="preserve"> for each regime </w:t>
      </w:r>
      <m:oMath>
        <m:r>
          <m:t>r</m:t>
        </m:r>
      </m:oMath>
      <w:r>
        <w:t xml:space="preserve">, and there exists an average-cost optimal policy </w:t>
      </w:r>
      <m:oMath>
        <m:sSup>
          <m:e>
            <m:r>
              <m:t>π</m:t>
            </m:r>
          </m:e>
          <m:sup>
            <m:r>
              <m:rPr>
                <m:sty m:val="p"/>
              </m:rPr>
              <m:t>*</m:t>
            </m:r>
          </m:sup>
        </m:sSup>
      </m:oMath>
      <w:r>
        <w:t xml:space="preserve"> that is nondecreasing in </w:t>
      </w:r>
      <m:oMath>
        <m:r>
          <m:t>d</m:t>
        </m:r>
      </m:oMath>
      <w:r>
        <w:t xml:space="preserve">: there are thresholds </w:t>
      </w:r>
      <m:oMath>
        <m:r>
          <m:t>0</m:t>
        </m:r>
        <m:r>
          <m:rPr>
            <m:sty m:val="p"/>
          </m:rPr>
          <m:t>≤</m:t>
        </m:r>
        <m:sSub>
          <m:e>
            <m:r>
              <m:t>η</m:t>
            </m:r>
          </m:e>
          <m:sub>
            <m:r>
              <m:t>1</m:t>
            </m:r>
          </m:sub>
        </m:sSub>
        <m:d>
          <m:dPr>
            <m:begChr m:val="("/>
            <m:sepChr m:val=""/>
            <m:endChr m:val=")"/>
            <m:grow/>
          </m:dPr>
          <m:e>
            <m:r>
              <m:t>r</m:t>
            </m:r>
          </m:e>
        </m:d>
        <m:r>
          <m:rPr>
            <m:sty m:val="p"/>
          </m:rPr>
          <m:t>≤</m:t>
        </m:r>
        <m:sSub>
          <m:e>
            <m:r>
              <m:t>η</m:t>
            </m:r>
          </m:e>
          <m:sub>
            <m:r>
              <m:t>2</m:t>
            </m:r>
          </m:sub>
        </m:sSub>
        <m:d>
          <m:dPr>
            <m:begChr m:val="("/>
            <m:sepChr m:val=""/>
            <m:endChr m:val=")"/>
            <m:grow/>
          </m:dPr>
          <m:e>
            <m:r>
              <m:t>r</m:t>
            </m:r>
          </m:e>
        </m:d>
        <m:r>
          <m:rPr>
            <m:sty m:val="p"/>
          </m:rPr>
          <m:t>≤</m:t>
        </m:r>
        <m:sSub>
          <m:e>
            <m:r>
              <m:t>η</m:t>
            </m:r>
          </m:e>
          <m:sub>
            <m:r>
              <m:t>3</m:t>
            </m:r>
          </m:sub>
        </m:sSub>
        <m:d>
          <m:dPr>
            <m:begChr m:val="("/>
            <m:sepChr m:val=""/>
            <m:endChr m:val=")"/>
            <m:grow/>
          </m:dPr>
          <m:e>
            <m:r>
              <m:t>r</m:t>
            </m:r>
          </m:e>
        </m:d>
      </m:oMath>
      <w:r>
        <w:t xml:space="preserve"> such that the optimal action escalates through the ordered set {no-op, edit, efficient fine-tune, full retrain} as </w:t>
      </w:r>
      <m:oMath>
        <m:r>
          <m:t>d</m:t>
        </m:r>
      </m:oMath>
      <w:r>
        <w:t xml:space="preserve"> crosses each threshold in turn.</w:t>
      </w:r>
    </w:p>
    <w:p>
      <w:pPr>
        <w:pStyle w:val="Text"/>
      </w:pPr>
      <w:r>
        <w:t xml:space="preserve">The argument is standard and is given in the Appendix. One first establishes monotonicity and submodularity of the discounted value iterates by preservation of increasing tails and by Topkis's theorem [35], and then passes to the average-cost limit along a sequence of discount factors under the unichain assumption [33].</w:t>
      </w:r>
    </w:p>
    <w:p>
      <w:pPr>
        <w:pStyle w:val="Text"/>
      </w:pPr>
      <w:r>
        <w:t xml:space="preserve">Two remarks delimit the result. Condition (i) holds automatically for the transition (17) because a larger </w:t>
      </w:r>
      <m:oMath>
        <m:r>
          <m:t>d</m:t>
        </m:r>
      </m:oMath>
      <w:r>
        <w:t xml:space="preserve"> shifts </w:t>
      </w:r>
      <m:oMath>
        <m:r>
          <m:t>d</m:t>
        </m:r>
        <m:r>
          <m:rPr>
            <m:sty m:val="p"/>
          </m:rPr>
          <m:t>′</m:t>
        </m:r>
      </m:oMath>
      <w:r>
        <w:t xml:space="preserve"> upward by the factor </w:t>
      </w:r>
      <m:oMath>
        <m:d>
          <m:dPr>
            <m:begChr m:val="("/>
            <m:sepChr m:val=""/>
            <m:endChr m:val=")"/>
            <m:grow/>
          </m:dPr>
          <m:e>
            <m:r>
              <m:t>1</m:t>
            </m:r>
            <m:r>
              <m:rPr>
                <m:sty m:val="p"/>
              </m:rPr>
              <m:t>−</m:t>
            </m:r>
            <m:r>
              <m:t>ρ</m:t>
            </m:r>
            <m:d>
              <m:dPr>
                <m:begChr m:val="("/>
                <m:sepChr m:val=""/>
                <m:endChr m:val=")"/>
                <m:grow/>
              </m:dPr>
              <m:e>
                <m:r>
                  <m:t>a</m:t>
                </m:r>
              </m:e>
            </m:d>
          </m:e>
        </m:d>
      </m:oMath>
      <w:r>
        <w:t xml:space="preserve">. Condition (iii) is not automatic: it depends on the tail shape of </w:t>
      </w:r>
      <m:oMath>
        <m:r>
          <m:t>ζ</m:t>
        </m:r>
      </m:oMath>
      <w:r>
        <w:t xml:space="preserve"> and on the forgetting increments. It holds without further conditions for replacement-type actions with </w:t>
      </w:r>
      <m:oMath>
        <m:r>
          <m:t>ρ</m:t>
        </m:r>
        <m:r>
          <m:rPr>
            <m:sty m:val="p"/>
          </m:rPr>
          <m:t>=</m:t>
        </m:r>
        <m:r>
          <m:t>1</m:t>
        </m:r>
      </m:oMath>
      <w:r>
        <w:t xml:space="preserve">, because the next state then does not depend on </w:t>
      </w:r>
      <m:oMath>
        <m:r>
          <m:t>d</m:t>
        </m:r>
      </m:oMath>
      <w:r>
        <w:t xml:space="preserve"> while the no-action next state is stochastically increasing in </w:t>
      </w:r>
      <m:oMath>
        <m:r>
          <m:t>d</m:t>
        </m:r>
      </m:oMath>
      <w:r>
        <w:t xml:space="preserve">. In general it can be checked on the discretized kernel. Convexity of </w:t>
      </w:r>
      <m:oMath>
        <m:r>
          <m:t>V</m:t>
        </m:r>
      </m:oMath>
      <w:r>
        <w:t xml:space="preserve"> is neither claimed nor needed.</w:t>
      </w:r>
    </w:p>
    <w:p>
      <w:pPr>
        <w:pStyle w:val="Text"/>
      </w:pPr>
      <w:r>
        <w:t xml:space="preserve">The single-threshold policy of Section V is the special case </w:t>
      </w:r>
      <m:oMath>
        <m:d>
          <m:dPr>
            <m:begChr m:val="|"/>
            <m:sepChr m:val=""/>
            <m:endChr m:val="|"/>
            <m:grow/>
          </m:dPr>
          <m:e>
            <m:r>
              <m:rPr>
                <m:scr m:val="script"/>
                <m:sty m:val="p"/>
              </m:rPr>
              <m:t>A</m:t>
            </m:r>
          </m:e>
        </m:d>
        <m:r>
          <m:rPr>
            <m:sty m:val="p"/>
          </m:rPr>
          <m:t>=</m:t>
        </m:r>
        <m:r>
          <m:t>2</m:t>
        </m:r>
      </m:oMath>
      <w:r>
        <w:t xml:space="preserve"> with </w:t>
      </w:r>
      <m:oMath>
        <m:r>
          <m:t>F</m:t>
        </m:r>
        <m:r>
          <m:rPr>
            <m:sty m:val="p"/>
          </m:rPr>
          <m:t>=</m:t>
        </m:r>
        <m:r>
          <m:t>0</m:t>
        </m:r>
      </m:oMath>
      <w:r>
        <w:t xml:space="preserve">. Proposition 1 is the multi-action analogue of the control-limit policies that are optimal for monotone degradation processes [1]. It gives formal support to an escalation already used informally in operations pipelines (edit, then efficient fine-tune, then full retrain, with a retrieval store as a separate input) as the optimal qualitative shape under stated conditions, not as an engineering convenience.</w:t>
      </w:r>
    </w:p>
    <w:p>
      <w:pPr>
        <w:pStyle w:val="Text"/>
      </w:pPr>
      <w:r>
        <w:t xml:space="preserve">The thresholds depend on the regime </w:t>
      </w:r>
      <m:oMath>
        <m:r>
          <m:t>r</m:t>
        </m:r>
      </m:oMath>
      <w:r>
        <w:t xml:space="preserve">, but the proposition does not sign that dependence. The closed form (10) shows why intuition can mislead: higher drift intensity raises </w:t>
      </w:r>
      <m:oMath>
        <m:sSup>
          <m:e>
            <m:r>
              <m:t>η</m:t>
            </m:r>
          </m:e>
          <m:sup>
            <m:r>
              <m:rPr>
                <m:sty m:val="p"/>
              </m:rPr>
              <m:t>*</m:t>
            </m:r>
          </m:sup>
        </m:sSup>
      </m:oMath>
      <w:r>
        <w:t xml:space="preserve"> and shortens </w:t>
      </w:r>
      <m:oMath>
        <m:sSup>
          <m:e>
            <m:r>
              <m:t>t</m:t>
            </m:r>
          </m:e>
          <m:sup>
            <m:r>
              <m:rPr>
                <m:sty m:val="p"/>
              </m:rPr>
              <m:t>*</m:t>
            </m:r>
          </m:sup>
        </m:sSup>
      </m:oMath>
      <w:r>
        <w:t xml:space="preserve">. In a high-hazard regime the policy maintains more often in calendar time, though not necessarily at a lower degradation level. The direction for a fitted model is a numerical output of relative value iteration.</w:t>
      </w:r>
    </w:p>
    <w:p>
      <w:pPr>
        <w:pStyle w:val="Heading2"/>
        <w:numPr>
          <w:ilvl w:val="0"/>
          <w:numId w:val="0"/>
        </w:numPr>
        <w:ind w:left="0" w:firstLine="0"/>
      </w:pPr>
      <w:r>
        <w:t xml:space="preserve">D. Computation and a Caveat</w:t>
      </w:r>
    </w:p>
    <w:p>
      <w:pPr>
        <w:pStyle w:val="Text"/>
      </w:pPr>
      <w:r>
        <w:t xml:space="preserve">Relative value iteration fixes a reference state, initializes </w:t>
      </w:r>
      <m:oMath>
        <m:r>
          <m:t>V</m:t>
        </m:r>
        <m:r>
          <m:rPr>
            <m:sty m:val="p"/>
          </m:rPr>
          <m:t>=</m:t>
        </m:r>
        <m:r>
          <m:t>0</m:t>
        </m:r>
      </m:oMath>
      <w:r>
        <w:t xml:space="preserve">, and iterates the Poisson-equation form of (18) until the differential value and the subtracted reference term, which converges to </w:t>
      </w:r>
      <m:oMath>
        <m:r>
          <m:t>g</m:t>
        </m:r>
      </m:oMath>
      <w:r>
        <w:t xml:space="preserve">, stabilize; an aperiodicity transformation is applied if needed. Because the state space is a scalar degradation grid crossed with a handful of regimes, the computation is cheap relative to a single knowledge edit on a deployed model and can be re-solved as drift parameters are re-estimated. If Assumption 6 fails, the algorithm remains valid and simply returns whatever policy is optimal, so it doubles as a diagnostic for violations.</w:t>
      </w:r>
    </w:p>
    <w:p>
      <w:pPr>
        <w:pStyle w:val="Text"/>
      </w:pPr>
      <w:r>
        <w:t xml:space="preserve">The principal caveat is that </w:t>
      </w:r>
      <m:oMath>
        <m:r>
          <m:t>F</m:t>
        </m:r>
      </m:oMath>
      <w:r>
        <w:t xml:space="preserve"> is taken to depend on the action only. If an aggressive fine-tune from an already very stale state induces disproportionately severe forgetting, because the optimizer must travel further so that </w:t>
      </w:r>
      <m:oMath>
        <m:r>
          <m:t>F</m:t>
        </m:r>
        <m:r>
          <m:rPr>
            <m:sty m:val="p"/>
          </m:rPr>
          <m:t>=</m:t>
        </m:r>
        <m:r>
          <m:t>F</m:t>
        </m:r>
        <m:d>
          <m:dPr>
            <m:begChr m:val="("/>
            <m:sepChr m:val=""/>
            <m:endChr m:val=")"/>
            <m:grow/>
          </m:dPr>
          <m:e>
            <m:r>
              <m:t>a</m:t>
            </m:r>
            <m:r>
              <m:rPr>
                <m:sty m:val="p"/>
              </m:rPr>
              <m:t>,</m:t>
            </m:r>
            <m:r>
              <m:t>d</m:t>
            </m:r>
          </m:e>
        </m:d>
      </m:oMath>
      <w:r>
        <w:t xml:space="preserve">, then both the increasing-tail and the submodularity conditions can fail, and the optimal policy need not be monotone. Section VI suggests this is possible whenever the required displacement direction rotates as staleness accumulates. A non-monotone numerical policy is then a prediction of the model and not a defect of the solver.</w:t>
      </w:r>
    </w:p>
    <w:p>
      <w:pPr>
        <w:pStyle w:val="Heading1"/>
      </w:pPr>
      <w:r>
        <w:t xml:space="preserve">VII. Retrieval as a Feedback Compensator</w:t>
      </w:r>
    </w:p>
    <w:p>
      <w:pPr>
        <w:pStyle w:val="Heading2"/>
        <w:numPr>
          <w:ilvl w:val="0"/>
          <w:numId w:val="0"/>
        </w:numPr>
        <w:ind w:left="0" w:firstLine="0"/>
      </w:pPr>
      <w:r>
        <w:t xml:space="preserve">A. Effective Staleness</w:t>
      </w:r>
    </w:p>
    <w:p>
      <w:pPr>
        <w:pStyle w:val="Text"/>
      </w:pPr>
      <w:r>
        <w:t xml:space="preserve">Parametric actions displace </w:t>
      </w:r>
      <m:oMath>
        <m:r>
          <m:t>θ</m:t>
        </m:r>
      </m:oMath>
      <w:r>
        <w:t xml:space="preserve"> and therefore incur </w:t>
      </w:r>
      <m:oMath>
        <m:r>
          <m:t>F</m:t>
        </m:r>
      </m:oMath>
      <w:r>
        <w:t xml:space="preserve">. Retrieval reduces observed staleness by conditioning generation on passages from a corpus </w:t>
      </w:r>
      <m:oMath>
        <m:r>
          <m:t>C</m:t>
        </m:r>
        <m:d>
          <m:dPr>
            <m:begChr m:val="("/>
            <m:sepChr m:val=""/>
            <m:endChr m:val=")"/>
            <m:grow/>
          </m:dPr>
          <m:e>
            <m:r>
              <m:t>t</m:t>
            </m:r>
          </m:e>
        </m:d>
      </m:oMath>
      <w:r>
        <w:t xml:space="preserve"> that can be refreshed independently. In the notation of Section IV, a working retrieval system replaces </w:t>
      </w:r>
      <m:oMath>
        <m:r>
          <m:t>A</m:t>
        </m:r>
        <m:d>
          <m:dPr>
            <m:begChr m:val="("/>
            <m:sepChr m:val=""/>
            <m:endChr m:val=")"/>
            <m:grow/>
          </m:dPr>
          <m:e>
            <m:r>
              <m:t>θ</m:t>
            </m:r>
            <m:r>
              <m:rPr>
                <m:sty m:val="p"/>
              </m:rPr>
              <m:t>,</m:t>
            </m:r>
            <m:r>
              <m:t>W</m:t>
            </m:r>
          </m:e>
        </m:d>
      </m:oMath>
      <w:r>
        <w:t xml:space="preserve"> by an augmented functional </w:t>
      </w:r>
      <m:oMath>
        <m:r>
          <m:t>A</m:t>
        </m:r>
        <m:d>
          <m:dPr>
            <m:begChr m:val="("/>
            <m:sepChr m:val=""/>
            <m:endChr m:val=")"/>
            <m:grow/>
          </m:dPr>
          <m:e>
            <m:r>
              <m:t>θ</m:t>
            </m:r>
            <m:r>
              <m:rPr>
                <m:sty m:val="p"/>
              </m:rPr>
              <m:t>,</m:t>
            </m:r>
            <m:r>
              <m:t>W</m:t>
            </m:r>
            <m:r>
              <m:rPr>
                <m:sty m:val="p"/>
              </m:rPr>
              <m:t>,</m:t>
            </m:r>
            <m:r>
              <m:t>C</m:t>
            </m:r>
          </m:e>
        </m:d>
      </m:oMath>
      <w:r>
        <w:t xml:space="preserve">, and the effective staleness is</w:t>
      </w:r>
    </w:p>
    <w:p>
      <w:pPr>
        <w:pStyle w:val="Equation"/>
        <w:tabs>
          <w:tab w:val="clear" w:pos="5040"/>
          <w:tab w:val="center" w:pos="2520"/>
          <w:tab w:val="right" w:pos="5040"/>
        </w:tabs>
        <w:spacing w:before="60" w:after="60"/>
      </w:pPr>
      <w:r>
        <w:tab/>
      </w:r>
      <m:oMath>
        <m:sSub>
          <m:e>
            <m:r>
              <m:t>S</m:t>
            </m:r>
          </m:e>
          <m:sub>
            <m:r>
              <m:rPr>
                <m:sty m:val="p"/>
              </m:rPr>
              <m:t>e</m:t>
            </m:r>
            <m:r>
              <m:rPr>
                <m:sty m:val="p"/>
              </m:rPr>
              <m:t>f</m:t>
            </m:r>
            <m:r>
              <m:rPr>
                <m:sty m:val="p"/>
              </m:rPr>
              <m:t>f</m:t>
            </m:r>
          </m:sub>
        </m:sSub>
        <m:d>
          <m:dPr>
            <m:begChr m:val="("/>
            <m:sepChr m:val=""/>
            <m:endChr m:val=")"/>
            <m:grow/>
          </m:dPr>
          <m:e>
            <m:r>
              <m:t>t</m:t>
            </m:r>
          </m:e>
        </m:d>
        <m:r>
          <m:rPr>
            <m:sty m:val="p"/>
          </m:rPr>
          <m:t>=</m:t>
        </m:r>
        <m:r>
          <m:t>S</m:t>
        </m:r>
        <m:d>
          <m:dPr>
            <m:begChr m:val="("/>
            <m:sepChr m:val=""/>
            <m:endChr m:val=")"/>
            <m:grow/>
          </m:dPr>
          <m:e>
            <m:r>
              <m:t>t</m:t>
            </m:r>
          </m:e>
        </m:d>
        <m:r>
          <m:rPr>
            <m:sty m:val="p"/>
          </m:rPr>
          <m:t>−</m:t>
        </m:r>
        <m:r>
          <m:t>R</m:t>
        </m:r>
        <m:d>
          <m:dPr>
            <m:begChr m:val="("/>
            <m:sepChr m:val=""/>
            <m:endChr m:val=")"/>
            <m:grow/>
          </m:dPr>
          <m:e>
            <m:r>
              <m:t>t</m:t>
            </m:r>
          </m:e>
        </m:d>
        <m:r>
          <m:rPr>
            <m:sty m:val="p"/>
          </m:rPr>
          <m:t>,</m:t>
        </m:r>
      </m:oMath>
      <w:r>
        <w:tab/>
        <w:t>(19)</w:t>
      </w:r>
    </w:p>
    <w:p>
      <w:pPr>
        <w:pStyle w:val="Text"/>
      </w:pPr>
      <w:r>
        <w:t xml:space="preserve">where </w:t>
      </w:r>
      <m:oMath>
        <m:r>
          <m:t>R</m:t>
        </m:r>
        <m:d>
          <m:dPr>
            <m:begChr m:val="("/>
            <m:sepChr m:val=""/>
            <m:endChr m:val=")"/>
            <m:grow/>
          </m:dPr>
          <m:e>
            <m:r>
              <m:t>t</m:t>
            </m:r>
          </m:e>
        </m:d>
      </m:oMath>
      <w:r>
        <w:t xml:space="preserve"> is the reduction attributable to retrieval. It increases with the recency and coverage of </w:t>
      </w:r>
      <m:oMath>
        <m:r>
          <m:t>C</m:t>
        </m:r>
      </m:oMath>
      <w:r>
        <w:t xml:space="preserve"> relative to </w:t>
      </w:r>
      <m:oMath>
        <m:r>
          <m:t>W</m:t>
        </m:r>
      </m:oMath>
      <w:r>
        <w:t xml:space="preserve"> and is bounded above by retrievability: a new fact that can be indexed is absorbable, whereas a change in required reasoning style or safety norm is not.</w:t>
      </w:r>
    </w:p>
    <w:p>
      <w:pPr>
        <w:pStyle w:val="Heading2"/>
        <w:numPr>
          <w:ilvl w:val="0"/>
          <w:numId w:val="0"/>
        </w:numPr>
        <w:ind w:left="0" w:firstLine="0"/>
      </w:pPr>
      <w:r>
        <w:t xml:space="preserve">B. Blending Condition</w:t>
      </w:r>
    </w:p>
    <w:p>
      <w:pPr>
        <w:pStyle w:val="Text"/>
      </w:pPr>
      <w:r>
        <w:t xml:space="preserve">Suppose the store is kept current at upkeep </w:t>
      </w:r>
      <m:oMath>
        <m:sSub>
          <m:e>
            <m:r>
              <m:t>k</m:t>
            </m:r>
          </m:e>
          <m:sub>
            <m:r>
              <m:t>C</m:t>
            </m:r>
          </m:sub>
        </m:sSub>
      </m:oMath>
      <w:r>
        <w:t xml:space="preserve"> per unit time and absorbs drift at average rate </w:t>
      </w:r>
      <m:oMath>
        <m:r>
          <m:t>α</m:t>
        </m:r>
      </m:oMath>
      <w:r>
        <w:t xml:space="preserve">, so that effective staleness grows at </w:t>
      </w:r>
      <m:oMath>
        <m:r>
          <m:t>γ</m:t>
        </m:r>
        <m:r>
          <m:rPr>
            <m:sty m:val="p"/>
          </m:rPr>
          <m:t>−</m:t>
        </m:r>
        <m:r>
          <m:t>α</m:t>
        </m:r>
      </m:oMath>
      <w:r>
        <w:t xml:space="preserve"> between parametric events. Substituting </w:t>
      </w:r>
      <m:oMath>
        <m:r>
          <m:t>γ</m:t>
        </m:r>
        <m:r>
          <m:rPr>
            <m:sty m:val="p"/>
          </m:rPr>
          <m:t>−</m:t>
        </m:r>
        <m:r>
          <m:t>α</m:t>
        </m:r>
      </m:oMath>
      <w:r>
        <w:t xml:space="preserve"> for </w:t>
      </w:r>
      <m:oMath>
        <m:r>
          <m:t>γ</m:t>
        </m:r>
      </m:oMath>
      <w:r>
        <w:t xml:space="preserve"> in Section V gives</w:t>
      </w:r>
    </w:p>
    <w:p>
      <w:pPr>
        <w:pStyle w:val="Equation"/>
        <w:tabs>
          <w:tab w:val="clear" w:pos="5040"/>
          <w:tab w:val="center" w:pos="2520"/>
          <w:tab w:val="right" w:pos="5040"/>
        </w:tabs>
        <w:spacing w:before="60" w:after="60"/>
      </w:pPr>
      <w:r>
        <w:tab/>
      </w:r>
      <m:oMath>
        <m:sSubSup>
          <m:e>
            <m:r>
              <m:t>η</m:t>
            </m:r>
          </m:e>
          <m:sub>
            <m:r>
              <m:t>C</m:t>
            </m:r>
          </m:sub>
          <m:sup>
            <m:r>
              <m:rPr>
                <m:sty m:val="p"/>
              </m:rPr>
              <m:t>*</m:t>
            </m:r>
          </m:sup>
        </m:sSubSup>
        <m:r>
          <m:rPr>
            <m:sty m:val="p"/>
          </m:rPr>
          <m:t>=</m:t>
        </m:r>
        <m:rad>
          <m:radPr>
            <m:degHide m:val="on"/>
          </m:radPr>
          <m:deg/>
          <m:e>
            <m:f>
              <m:fPr>
                <m:type m:val="bar"/>
              </m:fPr>
              <m:num>
                <m:r>
                  <m:t>2</m:t>
                </m:r>
                <m:sSub>
                  <m:e>
                    <m:r>
                      <m:t>K</m:t>
                    </m:r>
                  </m:e>
                  <m:sub>
                    <m:r>
                      <m:t>R</m:t>
                    </m:r>
                  </m:sub>
                </m:sSub>
                <m:d>
                  <m:dPr>
                    <m:begChr m:val="("/>
                    <m:sepChr m:val=""/>
                    <m:endChr m:val=")"/>
                    <m:grow/>
                  </m:dPr>
                  <m:e>
                    <m:r>
                      <m:t>γ</m:t>
                    </m:r>
                    <m:r>
                      <m:rPr>
                        <m:sty m:val="p"/>
                      </m:rPr>
                      <m:t>−</m:t>
                    </m:r>
                    <m:r>
                      <m:t>α</m:t>
                    </m:r>
                  </m:e>
                </m:d>
              </m:num>
              <m:den>
                <m:sSub>
                  <m:e>
                    <m:r>
                      <m:t>c</m:t>
                    </m:r>
                  </m:e>
                  <m:sub>
                    <m:r>
                      <m:t>L</m:t>
                    </m:r>
                  </m:sub>
                </m:sSub>
              </m:den>
            </m:f>
          </m:e>
        </m:rad>
        <m:r>
          <m:rPr>
            <m:sty m:val="p"/>
          </m:rPr>
          <m:t>,</m:t>
        </m:r>
        <m:r>
          <m:t>  </m:t>
        </m:r>
        <m:sSubSup>
          <m:e>
            <m:r>
              <m:t>t</m:t>
            </m:r>
          </m:e>
          <m:sub>
            <m:r>
              <m:t>C</m:t>
            </m:r>
          </m:sub>
          <m:sup>
            <m:r>
              <m:rPr>
                <m:sty m:val="p"/>
              </m:rPr>
              <m:t>*</m:t>
            </m:r>
          </m:sup>
        </m:sSubSup>
        <m:r>
          <m:rPr>
            <m:sty m:val="p"/>
          </m:rPr>
          <m:t>=</m:t>
        </m:r>
        <m:rad>
          <m:radPr>
            <m:degHide m:val="on"/>
          </m:radPr>
          <m:deg/>
          <m:e>
            <m:f>
              <m:fPr>
                <m:type m:val="bar"/>
              </m:fPr>
              <m:num>
                <m:r>
                  <m:t>2</m:t>
                </m:r>
                <m:sSub>
                  <m:e>
                    <m:r>
                      <m:t>K</m:t>
                    </m:r>
                  </m:e>
                  <m:sub>
                    <m:r>
                      <m:t>R</m:t>
                    </m:r>
                  </m:sub>
                </m:sSub>
              </m:num>
              <m:den>
                <m:sSub>
                  <m:e>
                    <m:r>
                      <m:t>c</m:t>
                    </m:r>
                  </m:e>
                  <m:sub>
                    <m:r>
                      <m:t>L</m:t>
                    </m:r>
                  </m:sub>
                </m:sSub>
                <m:d>
                  <m:dPr>
                    <m:begChr m:val="("/>
                    <m:sepChr m:val=""/>
                    <m:endChr m:val=")"/>
                    <m:grow/>
                  </m:dPr>
                  <m:e>
                    <m:r>
                      <m:t>γ</m:t>
                    </m:r>
                    <m:r>
                      <m:rPr>
                        <m:sty m:val="p"/>
                      </m:rPr>
                      <m:t>−</m:t>
                    </m:r>
                    <m:r>
                      <m:t>α</m:t>
                    </m:r>
                  </m:e>
                </m:d>
              </m:den>
            </m:f>
          </m:e>
        </m:rad>
        <m:r>
          <m:rPr>
            <m:sty m:val="p"/>
          </m:rPr>
          <m:t>.</m:t>
        </m:r>
      </m:oMath>
      <w:r>
        <w:tab/>
        <w:t>(20)</w:t>
      </w:r>
    </w:p>
    <w:p>
      <w:pPr>
        <w:pStyle w:val="Text"/>
      </w:pPr>
      <w:r>
        <w:t xml:space="preserve">Relative to the no-retrieval optimum, the store lowers the staleness threshold by the factor </w:t>
      </w:r>
      <m:oMath>
        <m:rad>
          <m:radPr>
            <m:degHide m:val="on"/>
          </m:radPr>
          <m:deg/>
          <m:e>
            <m:r>
              <m:t>1</m:t>
            </m:r>
            <m:r>
              <m:rPr>
                <m:sty m:val="p"/>
              </m:rPr>
              <m:t>−</m:t>
            </m:r>
            <m:r>
              <m:t>α</m:t>
            </m:r>
            <m:r>
              <m:rPr>
                <m:sty m:val="p"/>
              </m:rPr>
              <m:t>/</m:t>
            </m:r>
            <m:r>
              <m:t>γ</m:t>
            </m:r>
          </m:e>
        </m:rad>
      </m:oMath>
      <w:r>
        <w:t xml:space="preserve"> and lengthens the parametric interval by the reciprocal factor </w:t>
      </w:r>
      <m:oMath>
        <m:rad>
          <m:radPr>
            <m:degHide m:val="on"/>
          </m:radPr>
          <m:deg/>
          <m:e>
            <m:r>
              <m:t>γ</m:t>
            </m:r>
            <m:r>
              <m:rPr>
                <m:sty m:val="p"/>
              </m:rPr>
              <m:t>/</m:t>
            </m:r>
            <m:d>
              <m:dPr>
                <m:begChr m:val="("/>
                <m:sepChr m:val=""/>
                <m:endChr m:val=")"/>
                <m:grow/>
              </m:dPr>
              <m:e>
                <m:r>
                  <m:t>γ</m:t>
                </m:r>
                <m:r>
                  <m:rPr>
                    <m:sty m:val="p"/>
                  </m:rPr>
                  <m:t>−</m:t>
                </m:r>
                <m:r>
                  <m:t>α</m:t>
                </m:r>
              </m:e>
            </m:d>
          </m:e>
        </m:rad>
      </m:oMath>
      <w:r>
        <w:t xml:space="preserve">. Comparing average costs yields the investment test</w:t>
      </w:r>
    </w:p>
    <w:p>
      <w:pPr>
        <w:pStyle w:val="Equation"/>
        <w:tabs>
          <w:tab w:val="clear" w:pos="5040"/>
          <w:tab w:val="center" w:pos="2520"/>
          <w:tab w:val="right" w:pos="5040"/>
        </w:tabs>
        <w:spacing w:before="60" w:after="60"/>
      </w:pPr>
      <w:r>
        <w:tab/>
      </w:r>
      <m:oMath>
        <m:sSub>
          <m:e>
            <m:r>
              <m:t>k</m:t>
            </m:r>
          </m:e>
          <m:sub>
            <m:r>
              <m:t>C</m:t>
            </m:r>
          </m:sub>
        </m:sSub>
        <m:r>
          <m:rPr>
            <m:sty m:val="p"/>
          </m:rPr>
          <m:t>&lt;</m:t>
        </m:r>
        <m:sSup>
          <m:e>
            <m:r>
              <m:t>J</m:t>
            </m:r>
          </m:e>
          <m:sup>
            <m:r>
              <m:rPr>
                <m:sty m:val="p"/>
              </m:rPr>
              <m:t>*</m:t>
            </m:r>
          </m:sup>
        </m:sSup>
        <m:d>
          <m:dPr>
            <m:begChr m:val="("/>
            <m:sepChr m:val=""/>
            <m:endChr m:val=")"/>
            <m:grow/>
          </m:dPr>
          <m:e>
            <m:r>
              <m:t>γ</m:t>
            </m:r>
          </m:e>
        </m:d>
        <m:r>
          <m:rPr>
            <m:sty m:val="p"/>
          </m:rPr>
          <m:t>−</m:t>
        </m:r>
        <m:sSup>
          <m:e>
            <m:r>
              <m:t>J</m:t>
            </m:r>
          </m:e>
          <m:sup>
            <m:r>
              <m:rPr>
                <m:sty m:val="p"/>
              </m:rPr>
              <m:t>*</m:t>
            </m:r>
          </m:sup>
        </m:sSup>
        <m:d>
          <m:dPr>
            <m:begChr m:val="("/>
            <m:sepChr m:val=""/>
            <m:endChr m:val=")"/>
            <m:grow/>
          </m:dPr>
          <m:e>
            <m:r>
              <m:t>γ</m:t>
            </m:r>
            <m:r>
              <m:rPr>
                <m:sty m:val="p"/>
              </m:rPr>
              <m:t>−</m:t>
            </m:r>
            <m:r>
              <m:t>α</m:t>
            </m:r>
          </m:e>
        </m:d>
        <m:r>
          <m:rPr>
            <m:sty m:val="p"/>
          </m:rPr>
          <m:t>=</m:t>
        </m:r>
        <m:rad>
          <m:radPr>
            <m:degHide m:val="on"/>
          </m:radPr>
          <m:deg/>
          <m:e>
            <m:r>
              <m:t>2</m:t>
            </m:r>
            <m:sSub>
              <m:e>
                <m:r>
                  <m:t>K</m:t>
                </m:r>
              </m:e>
              <m:sub>
                <m:r>
                  <m:t>R</m:t>
                </m:r>
              </m:sub>
            </m:sSub>
            <m:sSub>
              <m:e>
                <m:r>
                  <m:t>c</m:t>
                </m:r>
              </m:e>
              <m:sub>
                <m:r>
                  <m:t>L</m:t>
                </m:r>
              </m:sub>
            </m:sSub>
            <m:r>
              <m:t>γ</m:t>
            </m:r>
          </m:e>
        </m:rad>
        <m:d>
          <m:dPr>
            <m:begChr m:val="("/>
            <m:sepChr m:val=""/>
            <m:endChr m:val=")"/>
            <m:grow/>
          </m:dPr>
          <m:e>
            <m:r>
              <m:t>1</m:t>
            </m:r>
            <m:r>
              <m:rPr>
                <m:sty m:val="p"/>
              </m:rPr>
              <m:t>−</m:t>
            </m:r>
            <m:rad>
              <m:radPr>
                <m:degHide m:val="on"/>
              </m:radPr>
              <m:deg/>
              <m:e>
                <m:r>
                  <m:t>1</m:t>
                </m:r>
                <m:r>
                  <m:rPr>
                    <m:sty m:val="p"/>
                  </m:rPr>
                  <m:t>−</m:t>
                </m:r>
                <m:r>
                  <m:t>α</m:t>
                </m:r>
                <m:r>
                  <m:rPr>
                    <m:sty m:val="p"/>
                  </m:rPr>
                  <m:t>/</m:t>
                </m:r>
                <m:r>
                  <m:t>γ</m:t>
                </m:r>
              </m:e>
            </m:rad>
          </m:e>
        </m:d>
        <m:r>
          <m:rPr>
            <m:sty m:val="p"/>
          </m:rPr>
          <m:t>.</m:t>
        </m:r>
      </m:oMath>
      <w:r>
        <w:tab/>
        <w:t>(21)</w:t>
      </w:r>
    </w:p>
    <w:p>
      <w:pPr>
        <w:pStyle w:val="Text"/>
      </w:pPr>
      <w:r>
        <w:t xml:space="preserve">Retrieval alone, with no parametric maintenance, is never optimal when </w:t>
      </w:r>
      <m:oMath>
        <m:r>
          <m:t>γ</m:t>
        </m:r>
        <m:r>
          <m:rPr>
            <m:sty m:val="p"/>
          </m:rPr>
          <m:t>&gt;</m:t>
        </m:r>
        <m:r>
          <m:t>α</m:t>
        </m:r>
      </m:oMath>
      <w:r>
        <w:t xml:space="preserve">: effective staleness then grows without bound under the affine model and the average cost diverges. Blending therefore dominates both pure strategies exactly when (21) holds. The substitution is partial and bounded by </w:t>
      </w:r>
      <m:oMath>
        <m:r>
          <m:t>α</m:t>
        </m:r>
      </m:oMath>
      <w:r>
        <w:t xml:space="preserve">. Forms of drift that retrieval cannot correct still accumulate at their full rate against the parametric model and must eventually be repaired by the mechanisms of Sections VI and VII. For the measured share </w:t>
      </w:r>
      <m:oMath>
        <m:r>
          <m:t>α</m:t>
        </m:r>
        <m:r>
          <m:rPr>
            <m:sty m:val="p"/>
          </m:rPr>
          <m:t>/</m:t>
        </m:r>
        <m:r>
          <m:t>γ</m:t>
        </m:r>
        <m:r>
          <m:rPr>
            <m:sty m:val="p"/>
          </m:rPr>
          <m:t>≈</m:t>
        </m:r>
        <m:r>
          <m:t>0.61</m:t>
        </m:r>
      </m:oMath>
      <w:r>
        <w:t xml:space="preserve"> of Section IX, the right-hand side of (21) is about </w:t>
      </w:r>
      <m:oMath>
        <m:r>
          <m:t>0.38</m:t>
        </m:r>
        <m:rad>
          <m:radPr>
            <m:degHide m:val="on"/>
          </m:radPr>
          <m:deg/>
          <m:e>
            <m:r>
              <m:t>2</m:t>
            </m:r>
            <m:sSub>
              <m:e>
                <m:r>
                  <m:t>K</m:t>
                </m:r>
              </m:e>
              <m:sub>
                <m:r>
                  <m:t>R</m:t>
                </m:r>
              </m:sub>
            </m:sSub>
            <m:sSub>
              <m:e>
                <m:r>
                  <m:t>c</m:t>
                </m:r>
              </m:e>
              <m:sub>
                <m:r>
                  <m:t>L</m:t>
                </m:r>
              </m:sub>
            </m:sSub>
            <m:r>
              <m:t>γ</m:t>
            </m:r>
          </m:e>
        </m:rad>
      </m:oMath>
      <w:r>
        <w:t xml:space="preserve">, so the store is worth keeping whenever its upkeep is below roughly 38% of the optimal no-retrieval cost rate.</w:t>
      </w:r>
    </w:p>
    <w:p>
      <w:pPr>
        <w:pStyle w:val="Heading2"/>
        <w:numPr>
          <w:ilvl w:val="0"/>
          <w:numId w:val="0"/>
        </w:numPr>
        <w:ind w:left="0" w:firstLine="0"/>
      </w:pPr>
      <w:r>
        <w:t xml:space="preserve">C. A Monitoring Caveat</w:t>
      </w:r>
    </w:p>
    <w:p>
      <w:pPr>
        <w:pStyle w:val="Text"/>
      </w:pPr>
      <w:r>
        <w:t xml:space="preserve">The reduction </w:t>
      </w:r>
      <m:oMath>
        <m:r>
          <m:t>R</m:t>
        </m:r>
      </m:oMath>
      <w:r>
        <w:t xml:space="preserve"> can be negative in effect when retrieved evidence is irrelevant or contradictory. For planning purposes </w:t>
      </w:r>
      <m:oMath>
        <m:r>
          <m:t>α</m:t>
        </m:r>
      </m:oMath>
      <w:r>
        <w:t xml:space="preserve"> is therefore an empirically monitored slope, estimated by the regression of Section V-D on a retrieval-on sample, not a design parameter that can be assumed correct once a store has been deployed.</w:t>
      </w:r>
    </w:p>
    <w:p>
      <w:pPr>
        <w:pStyle w:val="Heading1"/>
      </w:pPr>
      <w:r>
        <w:t xml:space="preserve">VIII. Numerical Results and Measurement Study</w:t>
      </w:r>
    </w:p>
    <w:p>
      <w:pPr>
        <w:pStyle w:val="Heading2"/>
        <w:numPr>
          <w:ilvl w:val="0"/>
          <w:numId w:val="0"/>
        </w:numPr>
        <w:ind w:left="0" w:firstLine="0"/>
      </w:pPr>
      <w:r>
        <w:t xml:space="preserve">A. Purpose</w:t>
      </w:r>
    </w:p>
    <w:p>
      <w:pPr>
        <w:pStyle w:val="Text"/>
      </w:pPr>
      <w:r>
        <w:t xml:space="preserve">Sections IX-B and IX-C illustrate the comparative statics with stylized parameters chosen for readability and not for calibration; only the ratios in Table II are meaningful. Section IX-D then instantiates the measured inputs on a public model.</w:t>
      </w:r>
    </w:p>
    <w:p>
      <w:pPr>
        <w:pStyle w:val="Heading2"/>
        <w:numPr>
          <w:ilvl w:val="0"/>
          <w:numId w:val="0"/>
        </w:numPr>
        <w:ind w:left="0" w:firstLine="0"/>
      </w:pPr>
      <w:r>
        <w:t xml:space="preserve">B. Square-Root Comparative Statics</w:t>
      </w:r>
    </w:p>
    <w:p>
      <w:pPr>
        <w:pStyle w:val="Text"/>
      </w:pPr>
      <w:r>
        <w:t xml:space="preserve">The single-threshold model is instantiated with leak </w:t>
      </w:r>
      <m:oMath>
        <m:r>
          <m:t>β</m:t>
        </m:r>
        <m:r>
          <m:rPr>
            <m:sty m:val="p"/>
          </m:rPr>
          <m:t>=</m:t>
        </m:r>
        <m:r>
          <m:t>0.01</m:t>
        </m:r>
      </m:oMath>
      <w:r>
        <w:t xml:space="preserve"> staleness units per day, event rate </w:t>
      </w:r>
      <m:oMath>
        <m:r>
          <m:t>λ</m:t>
        </m:r>
        <m:r>
          <m:rPr>
            <m:sty m:val="p"/>
          </m:rPr>
          <m:t>∈</m:t>
        </m:r>
        <m:r>
          <m:rPr>
            <m:sty m:val="p"/>
          </m:rPr>
          <m:t>{</m:t>
        </m:r>
        <m:r>
          <m:t>0.05</m:t>
        </m:r>
        <m:r>
          <m:rPr>
            <m:sty m:val="p"/>
          </m:rPr>
          <m:t>,</m:t>
        </m:r>
        <m:r>
          <m:t>0.10</m:t>
        </m:r>
        <m:r>
          <m:rPr>
            <m:sty m:val="p"/>
          </m:rPr>
          <m:t>,</m:t>
        </m:r>
        <m:r>
          <m:t>0.20</m:t>
        </m:r>
        <m:r>
          <m:rPr>
            <m:sty m:val="p"/>
          </m:rPr>
          <m:t>,</m:t>
        </m:r>
        <m:r>
          <m:t>0.40</m:t>
        </m:r>
        <m:r>
          <m:rPr>
            <m:sty m:val="p"/>
          </m:rPr>
          <m:t>}</m:t>
        </m:r>
      </m:oMath>
      <w:r>
        <w:t xml:space="preserve"> per day, mean mark </w:t>
      </w:r>
      <m:oMath>
        <m:sSub>
          <m:e>
            <m:r>
              <m:t>μ</m:t>
            </m:r>
          </m:e>
          <m:sub>
            <m:r>
              <m:t>ξ</m:t>
            </m:r>
          </m:sub>
        </m:sSub>
        <m:r>
          <m:rPr>
            <m:sty m:val="p"/>
          </m:rPr>
          <m:t>=</m:t>
        </m:r>
        <m:r>
          <m:t>1</m:t>
        </m:r>
      </m:oMath>
      <w:r>
        <w:t xml:space="preserve">, and operating-loss coefficient </w:t>
      </w:r>
      <m:oMath>
        <m:sSub>
          <m:e>
            <m:r>
              <m:t>c</m:t>
            </m:r>
          </m:e>
          <m:sub>
            <m:r>
              <m:t>L</m:t>
            </m:r>
          </m:sub>
        </m:sSub>
        <m:r>
          <m:rPr>
            <m:sty m:val="p"/>
          </m:rPr>
          <m:t>=</m:t>
        </m:r>
        <m:r>
          <m:t>1</m:t>
        </m:r>
      </m:oMath>
      <w:r>
        <w:t xml:space="preserve">. The retrain cost </w:t>
      </w:r>
      <m:oMath>
        <m:sSub>
          <m:e>
            <m:r>
              <m:t>K</m:t>
            </m:r>
          </m:e>
          <m:sub>
            <m:r>
              <m:t>R</m:t>
            </m:r>
          </m:sub>
        </m:sSub>
      </m:oMath>
      <w:r>
        <w:t xml:space="preserve"> is swept over </w:t>
      </w:r>
      <m:oMath>
        <m:r>
          <m:rPr>
            <m:sty m:val="p"/>
          </m:rPr>
          <m:t>{</m:t>
        </m:r>
        <m:sSup>
          <m:e>
            <m:r>
              <m:t>10</m:t>
            </m:r>
          </m:e>
          <m:sup>
            <m:r>
              <m:t>2</m:t>
            </m:r>
          </m:sup>
        </m:sSup>
        <m:r>
          <m:rPr>
            <m:sty m:val="p"/>
          </m:rPr>
          <m:t>,</m:t>
        </m:r>
        <m:sSup>
          <m:e>
            <m:r>
              <m:t>10</m:t>
            </m:r>
          </m:e>
          <m:sup>
            <m:r>
              <m:t>4</m:t>
            </m:r>
          </m:sup>
        </m:sSup>
        <m:r>
          <m:rPr>
            <m:sty m:val="p"/>
          </m:rPr>
          <m:t>,</m:t>
        </m:r>
        <m:sSup>
          <m:e>
            <m:r>
              <m:t>10</m:t>
            </m:r>
          </m:e>
          <m:sup>
            <m:r>
              <m:t>6</m:t>
            </m:r>
          </m:sup>
        </m:sSup>
        <m:r>
          <m:rPr>
            <m:sty m:val="p"/>
          </m:rPr>
          <m:t>}</m:t>
        </m:r>
      </m:oMath>
      <w:r>
        <w:t xml:space="preserve"> to stand for a small fine-tune, a mid-size continual-pretraining run, and a large full retrain. Table II reports </w:t>
      </w:r>
      <m:oMath>
        <m:sSup>
          <m:e>
            <m:r>
              <m:t>t</m:t>
            </m:r>
          </m:e>
          <m:sup>
            <m:r>
              <m:rPr>
                <m:sty m:val="p"/>
              </m:rPr>
              <m:t>*</m:t>
            </m:r>
          </m:sup>
        </m:sSup>
      </m:oMath>
      <w:r>
        <w:t xml:space="preserve"> and </w:t>
      </w:r>
      <m:oMath>
        <m:sSup>
          <m:e>
            <m:r>
              <m:t>J</m:t>
            </m:r>
          </m:e>
          <m:sup>
            <m:r>
              <m:rPr>
                <m:sty m:val="p"/>
              </m:rPr>
              <m:t>*</m:t>
            </m:r>
          </m:sup>
        </m:sSup>
      </m:oMath>
      <w:r>
        <w:t xml:space="preserve"> from (10).</w:t>
      </w:r>
    </w:p>
    <w:p>
      <w:pPr>
        <w:pStyle w:val="TableTitle"/>
        <w:keepNext/>
        <w:spacing w:before="120"/>
      </w:pPr>
      <w:r>
        <w:rPr>
          <w:sz w:val="16"/>
          <w:szCs w:val="16"/>
        </w:rPr>
        <w:t xml:space="preserve">TABLE II</w:t>
      </w:r>
    </w:p>
    <w:p>
      <w:pPr>
        <w:pStyle w:val="TableTitle"/>
        <w:keepNext/>
        <w:spacing w:after="60"/>
      </w:pPr>
      <w:r>
        <w:rPr>
          <w:sz w:val="16"/>
          <w:szCs w:val="16"/>
        </w:rPr>
        <w:t xml:space="preserve">Optimal Cycle Length </w:t>
      </w:r>
      <m:oMath>
        <m:sSup>
          <m:e>
            <m:r>
              <m:t>t</m:t>
            </m:r>
          </m:e>
          <m:sup>
            <m:r>
              <m:rPr>
                <m:sty m:val="p"/>
              </m:rPr>
              <m:t>*</m:t>
            </m:r>
          </m:sup>
        </m:sSup>
      </m:oMath>
      <w:r>
        <w:rPr>
          <w:sz w:val="16"/>
          <w:szCs w:val="16"/>
        </w:rPr>
        <w:t xml:space="preserve"> (Days) and Cost Rate </w:t>
      </w:r>
      <m:oMath>
        <m:sSup>
          <m:e>
            <m:r>
              <m:t>J</m:t>
            </m:r>
          </m:e>
          <m:sup>
            <m:r>
              <m:rPr>
                <m:sty m:val="p"/>
              </m:rPr>
              <m:t>*</m:t>
            </m:r>
          </m:sup>
        </m:sSup>
      </m:oMath>
      <w:r>
        <w:rPr>
          <w:sz w:val="16"/>
          <w:szCs w:val="16"/>
        </w:rPr>
        <w:t xml:space="preserve"> From the Square-Root Formula, With </w:t>
      </w:r>
      <m:oMath>
        <m:r>
          <m:t>β</m:t>
        </m:r>
        <m:r>
          <m:rPr>
            <m:sty m:val="p"/>
          </m:rPr>
          <m:t>=</m:t>
        </m:r>
        <m:r>
          <m:t>0.01</m:t>
        </m:r>
      </m:oMath>
      <w:r>
        <w:rPr>
          <w:sz w:val="16"/>
          <w:szCs w:val="16"/>
        </w:rPr>
        <w:t xml:space="preserve">, </w:t>
      </w:r>
      <m:oMath>
        <m:sSub>
          <m:e>
            <m:r>
              <m:t>μ</m:t>
            </m:r>
          </m:e>
          <m:sub>
            <m:r>
              <m:t>ξ</m:t>
            </m:r>
          </m:sub>
        </m:sSub>
        <m:r>
          <m:rPr>
            <m:sty m:val="p"/>
          </m:rPr>
          <m:t>=</m:t>
        </m:r>
        <m:r>
          <m:t>1</m:t>
        </m:r>
      </m:oMath>
      <w:r>
        <w:rPr>
          <w:sz w:val="16"/>
          <w:szCs w:val="16"/>
        </w:rPr>
        <w:t xml:space="preserve">, and </w:t>
      </w:r>
      <m:oMath>
        <m:sSub>
          <m:e>
            <m:r>
              <m:t>c</m:t>
            </m:r>
          </m:e>
          <m:sub>
            <m:r>
              <m:t>L</m:t>
            </m:r>
          </m:sub>
        </m:sSub>
        <m:r>
          <m:rPr>
            <m:sty m:val="p"/>
          </m:rPr>
          <m:t>=</m:t>
        </m:r>
        <m:r>
          <m:t>1</m:t>
        </m:r>
      </m:oMath>
    </w:p>
    <w:tbl>
      <w:tblPr>
        <w:tblW w:w="5040" w:type="dxa"/>
        <w:jc w:val="center"/>
        <w:tblLayout w:type="fixed"/>
      </w:tblPr>
      <w:tblGrid>
        <w:gridCol w:w="613"/>
        <w:gridCol w:w="525"/>
        <w:gridCol w:w="657"/>
        <w:gridCol w:w="657"/>
        <w:gridCol w:w="701"/>
        <w:gridCol w:w="569"/>
        <w:gridCol w:w="613"/>
        <w:gridCol w:w="701"/>
      </w:tblGrid>
      <w:tr>
        <w:trPr>
          <w:cantSplit/>
        </w:trPr>
        <w:tc>
          <w:tcPr>
            <w:tcW w:w="613" w:type="dxa"/>
            <w:tcBorders>
              <w:top w:val="single" w:sz="8" w:space="0" w:color="000000"/>
              <w:bottom w:val="single" w:sz="4" w:space="0" w:color="000000"/>
            </w:tcBorders>
            <w:tcMar>
              <w:left w:w="40" w:type="dxa"/>
              <w:right w:w="40" w:type="dxa"/>
            </w:tcMar>
          </w:tcPr>
          <w:p>
            <w:pPr>
              <w:spacing w:before="20" w:after="20"/>
              <w:jc w:val="left"/>
            </w:pPr>
            <m:oMath>
              <m:r>
                <m:t>λ</m:t>
              </m:r>
            </m:oMath>
            <w:r>
              <w:rPr>
                <w:b/>
                <w:bCs/>
                <w:sz w:val="13"/>
                <w:szCs w:val="13"/>
              </w:rPr>
              <w:t xml:space="preserve"> (per day)</w:t>
            </w:r>
          </w:p>
        </w:tc>
        <w:tc>
          <w:tcPr>
            <w:tcW w:w="525" w:type="dxa"/>
            <w:tcBorders>
              <w:top w:val="single" w:sz="8" w:space="0" w:color="000000"/>
              <w:bottom w:val="single" w:sz="4" w:space="0" w:color="000000"/>
            </w:tcBorders>
            <w:tcMar>
              <w:left w:w="40" w:type="dxa"/>
              <w:right w:w="40" w:type="dxa"/>
            </w:tcMar>
          </w:tcPr>
          <w:p>
            <w:pPr>
              <w:spacing w:before="20" w:after="20"/>
              <w:jc w:val="center"/>
            </w:pPr>
            <m:oMath>
              <m:r>
                <m:t>γ</m:t>
              </m:r>
            </m:oMath>
          </w:p>
        </w:tc>
        <w:tc>
          <w:tcPr>
            <w:tcW w:w="657" w:type="dxa"/>
            <w:tcBorders>
              <w:top w:val="single" w:sz="8" w:space="0" w:color="000000"/>
              <w:bottom w:val="single" w:sz="4" w:space="0" w:color="000000"/>
            </w:tcBorders>
            <w:tcMar>
              <w:left w:w="40" w:type="dxa"/>
              <w:right w:w="40" w:type="dxa"/>
            </w:tcMar>
          </w:tcPr>
          <w:p>
            <w:pPr>
              <w:spacing w:before="20" w:after="20"/>
              <w:jc w:val="center"/>
            </w:pPr>
            <m:oMath>
              <m:sSup>
                <m:e>
                  <m:r>
                    <m:t>t</m:t>
                  </m:r>
                </m:e>
                <m:sup>
                  <m:r>
                    <m:rPr>
                      <m:sty m:val="p"/>
                    </m:rPr>
                    <m:t>*</m:t>
                  </m:r>
                </m:sup>
              </m:sSup>
            </m:oMath>
            <w:r>
              <w:rPr>
                <w:b/>
                <w:bCs/>
                <w:sz w:val="13"/>
                <w:szCs w:val="13"/>
              </w:rPr>
              <w:t xml:space="preserve">, </w:t>
            </w:r>
            <m:oMath>
              <m:sSub>
                <m:e>
                  <m:r>
                    <m:t>K</m:t>
                  </m:r>
                </m:e>
                <m:sub>
                  <m:r>
                    <m:t>R</m:t>
                  </m:r>
                </m:sub>
              </m:sSub>
              <m:r>
                <m:rPr>
                  <m:sty m:val="p"/>
                </m:rPr>
                <m:t>=</m:t>
              </m:r>
              <m:sSup>
                <m:e>
                  <m:r>
                    <m:t>10</m:t>
                  </m:r>
                </m:e>
                <m:sup>
                  <m:r>
                    <m:t>2</m:t>
                  </m:r>
                </m:sup>
              </m:sSup>
            </m:oMath>
          </w:p>
        </w:tc>
        <w:tc>
          <w:tcPr>
            <w:tcW w:w="657" w:type="dxa"/>
            <w:tcBorders>
              <w:top w:val="single" w:sz="8" w:space="0" w:color="000000"/>
              <w:bottom w:val="single" w:sz="4" w:space="0" w:color="000000"/>
            </w:tcBorders>
            <w:tcMar>
              <w:left w:w="40" w:type="dxa"/>
              <w:right w:w="40" w:type="dxa"/>
            </w:tcMar>
          </w:tcPr>
          <w:p>
            <w:pPr>
              <w:spacing w:before="20" w:after="20"/>
              <w:jc w:val="center"/>
            </w:pPr>
            <m:oMath>
              <m:sSup>
                <m:e>
                  <m:r>
                    <m:t>t</m:t>
                  </m:r>
                </m:e>
                <m:sup>
                  <m:r>
                    <m:rPr>
                      <m:sty m:val="p"/>
                    </m:rPr>
                    <m:t>*</m:t>
                  </m:r>
                </m:sup>
              </m:sSup>
            </m:oMath>
            <w:r>
              <w:rPr>
                <w:b/>
                <w:bCs/>
                <w:sz w:val="13"/>
                <w:szCs w:val="13"/>
              </w:rPr>
              <w:t xml:space="preserve">, </w:t>
            </w:r>
            <m:oMath>
              <m:sSub>
                <m:e>
                  <m:r>
                    <m:t>K</m:t>
                  </m:r>
                </m:e>
                <m:sub>
                  <m:r>
                    <m:t>R</m:t>
                  </m:r>
                </m:sub>
              </m:sSub>
              <m:r>
                <m:rPr>
                  <m:sty m:val="p"/>
                </m:rPr>
                <m:t>=</m:t>
              </m:r>
              <m:sSup>
                <m:e>
                  <m:r>
                    <m:t>10</m:t>
                  </m:r>
                </m:e>
                <m:sup>
                  <m:r>
                    <m:t>4</m:t>
                  </m:r>
                </m:sup>
              </m:sSup>
            </m:oMath>
          </w:p>
        </w:tc>
        <w:tc>
          <w:tcPr>
            <w:tcW w:w="701" w:type="dxa"/>
            <w:tcBorders>
              <w:top w:val="single" w:sz="8" w:space="0" w:color="000000"/>
              <w:bottom w:val="single" w:sz="4" w:space="0" w:color="000000"/>
            </w:tcBorders>
            <w:tcMar>
              <w:left w:w="40" w:type="dxa"/>
              <w:right w:w="40" w:type="dxa"/>
            </w:tcMar>
          </w:tcPr>
          <w:p>
            <w:pPr>
              <w:spacing w:before="20" w:after="20"/>
              <w:jc w:val="center"/>
            </w:pPr>
            <m:oMath>
              <m:sSup>
                <m:e>
                  <m:r>
                    <m:t>t</m:t>
                  </m:r>
                </m:e>
                <m:sup>
                  <m:r>
                    <m:rPr>
                      <m:sty m:val="p"/>
                    </m:rPr>
                    <m:t>*</m:t>
                  </m:r>
                </m:sup>
              </m:sSup>
            </m:oMath>
            <w:r>
              <w:rPr>
                <w:b/>
                <w:bCs/>
                <w:sz w:val="13"/>
                <w:szCs w:val="13"/>
              </w:rPr>
              <w:t xml:space="preserve">, </w:t>
            </w:r>
            <m:oMath>
              <m:sSub>
                <m:e>
                  <m:r>
                    <m:t>K</m:t>
                  </m:r>
                </m:e>
                <m:sub>
                  <m:r>
                    <m:t>R</m:t>
                  </m:r>
                </m:sub>
              </m:sSub>
              <m:r>
                <m:rPr>
                  <m:sty m:val="p"/>
                </m:rPr>
                <m:t>=</m:t>
              </m:r>
              <m:sSup>
                <m:e>
                  <m:r>
                    <m:t>10</m:t>
                  </m:r>
                </m:e>
                <m:sup>
                  <m:r>
                    <m:t>6</m:t>
                  </m:r>
                </m:sup>
              </m:sSup>
            </m:oMath>
          </w:p>
        </w:tc>
        <w:tc>
          <w:tcPr>
            <w:tcW w:w="569" w:type="dxa"/>
            <w:tcBorders>
              <w:top w:val="single" w:sz="8" w:space="0" w:color="000000"/>
              <w:bottom w:val="single" w:sz="4" w:space="0" w:color="000000"/>
            </w:tcBorders>
            <w:tcMar>
              <w:left w:w="40" w:type="dxa"/>
              <w:right w:w="40" w:type="dxa"/>
            </w:tcMar>
          </w:tcPr>
          <w:p>
            <w:pPr>
              <w:spacing w:before="20" w:after="20"/>
              <w:jc w:val="center"/>
            </w:pPr>
            <m:oMath>
              <m:sSup>
                <m:e>
                  <m:r>
                    <m:t>J</m:t>
                  </m:r>
                </m:e>
                <m:sup>
                  <m:r>
                    <m:rPr>
                      <m:sty m:val="p"/>
                    </m:rPr>
                    <m:t>*</m:t>
                  </m:r>
                </m:sup>
              </m:sSup>
            </m:oMath>
            <w:r>
              <w:rPr>
                <w:b/>
                <w:bCs/>
                <w:sz w:val="13"/>
                <w:szCs w:val="13"/>
              </w:rPr>
              <w:t xml:space="preserve">, </w:t>
            </w:r>
            <m:oMath>
              <m:sSub>
                <m:e>
                  <m:r>
                    <m:t>K</m:t>
                  </m:r>
                </m:e>
                <m:sub>
                  <m:r>
                    <m:t>R</m:t>
                  </m:r>
                </m:sub>
              </m:sSub>
              <m:r>
                <m:rPr>
                  <m:sty m:val="p"/>
                </m:rPr>
                <m:t>=</m:t>
              </m:r>
              <m:sSup>
                <m:e>
                  <m:r>
                    <m:t>10</m:t>
                  </m:r>
                </m:e>
                <m:sup>
                  <m:r>
                    <m:t>2</m:t>
                  </m:r>
                </m:sup>
              </m:sSup>
            </m:oMath>
          </w:p>
        </w:tc>
        <w:tc>
          <w:tcPr>
            <w:tcW w:w="613" w:type="dxa"/>
            <w:tcBorders>
              <w:top w:val="single" w:sz="8" w:space="0" w:color="000000"/>
              <w:bottom w:val="single" w:sz="4" w:space="0" w:color="000000"/>
            </w:tcBorders>
            <w:tcMar>
              <w:left w:w="40" w:type="dxa"/>
              <w:right w:w="40" w:type="dxa"/>
            </w:tcMar>
          </w:tcPr>
          <w:p>
            <w:pPr>
              <w:spacing w:before="20" w:after="20"/>
              <w:jc w:val="center"/>
            </w:pPr>
            <m:oMath>
              <m:sSup>
                <m:e>
                  <m:r>
                    <m:t>J</m:t>
                  </m:r>
                </m:e>
                <m:sup>
                  <m:r>
                    <m:rPr>
                      <m:sty m:val="p"/>
                    </m:rPr>
                    <m:t>*</m:t>
                  </m:r>
                </m:sup>
              </m:sSup>
            </m:oMath>
            <w:r>
              <w:rPr>
                <w:b/>
                <w:bCs/>
                <w:sz w:val="13"/>
                <w:szCs w:val="13"/>
              </w:rPr>
              <w:t xml:space="preserve">, </w:t>
            </w:r>
            <m:oMath>
              <m:sSub>
                <m:e>
                  <m:r>
                    <m:t>K</m:t>
                  </m:r>
                </m:e>
                <m:sub>
                  <m:r>
                    <m:t>R</m:t>
                  </m:r>
                </m:sub>
              </m:sSub>
              <m:r>
                <m:rPr>
                  <m:sty m:val="p"/>
                </m:rPr>
                <m:t>=</m:t>
              </m:r>
              <m:sSup>
                <m:e>
                  <m:r>
                    <m:t>10</m:t>
                  </m:r>
                </m:e>
                <m:sup>
                  <m:r>
                    <m:t>4</m:t>
                  </m:r>
                </m:sup>
              </m:sSup>
            </m:oMath>
          </w:p>
        </w:tc>
        <w:tc>
          <w:tcPr>
            <w:tcW w:w="701" w:type="dxa"/>
            <w:tcBorders>
              <w:top w:val="single" w:sz="8" w:space="0" w:color="000000"/>
              <w:bottom w:val="single" w:sz="4" w:space="0" w:color="000000"/>
            </w:tcBorders>
            <w:tcMar>
              <w:left w:w="40" w:type="dxa"/>
              <w:right w:w="40" w:type="dxa"/>
            </w:tcMar>
          </w:tcPr>
          <w:p>
            <w:pPr>
              <w:spacing w:before="20" w:after="20"/>
              <w:jc w:val="center"/>
            </w:pPr>
            <m:oMath>
              <m:sSup>
                <m:e>
                  <m:r>
                    <m:t>J</m:t>
                  </m:r>
                </m:e>
                <m:sup>
                  <m:r>
                    <m:rPr>
                      <m:sty m:val="p"/>
                    </m:rPr>
                    <m:t>*</m:t>
                  </m:r>
                </m:sup>
              </m:sSup>
            </m:oMath>
            <w:r>
              <w:rPr>
                <w:b/>
                <w:bCs/>
                <w:sz w:val="13"/>
                <w:szCs w:val="13"/>
              </w:rPr>
              <w:t xml:space="preserve">, </w:t>
            </w:r>
            <m:oMath>
              <m:sSub>
                <m:e>
                  <m:r>
                    <m:t>K</m:t>
                  </m:r>
                </m:e>
                <m:sub>
                  <m:r>
                    <m:t>R</m:t>
                  </m:r>
                </m:sub>
              </m:sSub>
              <m:r>
                <m:rPr>
                  <m:sty m:val="p"/>
                </m:rPr>
                <m:t>=</m:t>
              </m:r>
              <m:sSup>
                <m:e>
                  <m:r>
                    <m:t>10</m:t>
                  </m:r>
                </m:e>
                <m:sup>
                  <m:r>
                    <m:t>6</m:t>
                  </m:r>
                </m:sup>
              </m:sSup>
            </m:oMath>
          </w:p>
        </w:tc>
      </w:tr>
      <w:tr>
        <w:trPr>
          <w:cantSplit/>
        </w:trPr>
        <w:tc>
          <w:tcPr>
            <w:tcW w:w="613" w:type="dxa"/>
            <w:tcBorders/>
            <w:tcMar>
              <w:left w:w="40" w:type="dxa"/>
              <w:right w:w="40" w:type="dxa"/>
            </w:tcMar>
          </w:tcPr>
          <w:p>
            <w:pPr>
              <w:spacing w:before="20" w:after="20"/>
              <w:jc w:val="left"/>
            </w:pPr>
            <w:r>
              <w:rPr>
                <w:sz w:val="13"/>
                <w:szCs w:val="13"/>
              </w:rPr>
              <w:t xml:space="preserve">0.05</w:t>
            </w:r>
          </w:p>
        </w:tc>
        <w:tc>
          <w:tcPr>
            <w:tcW w:w="525" w:type="dxa"/>
            <w:tcBorders/>
            <w:tcMar>
              <w:left w:w="40" w:type="dxa"/>
              <w:right w:w="40" w:type="dxa"/>
            </w:tcMar>
          </w:tcPr>
          <w:p>
            <w:pPr>
              <w:spacing w:before="20" w:after="20"/>
              <w:jc w:val="center"/>
            </w:pPr>
            <w:r>
              <w:rPr>
                <w:sz w:val="13"/>
                <w:szCs w:val="13"/>
              </w:rPr>
              <w:t xml:space="preserve">0.06</w:t>
            </w:r>
          </w:p>
        </w:tc>
        <w:tc>
          <w:tcPr>
            <w:tcW w:w="657" w:type="dxa"/>
            <w:tcBorders/>
            <w:tcMar>
              <w:left w:w="40" w:type="dxa"/>
              <w:right w:w="40" w:type="dxa"/>
            </w:tcMar>
          </w:tcPr>
          <w:p>
            <w:pPr>
              <w:spacing w:before="20" w:after="20"/>
              <w:jc w:val="center"/>
            </w:pPr>
            <w:r>
              <w:rPr>
                <w:sz w:val="13"/>
                <w:szCs w:val="13"/>
              </w:rPr>
              <w:t xml:space="preserve">57.7</w:t>
            </w:r>
          </w:p>
        </w:tc>
        <w:tc>
          <w:tcPr>
            <w:tcW w:w="657" w:type="dxa"/>
            <w:tcBorders/>
            <w:tcMar>
              <w:left w:w="40" w:type="dxa"/>
              <w:right w:w="40" w:type="dxa"/>
            </w:tcMar>
          </w:tcPr>
          <w:p>
            <w:pPr>
              <w:spacing w:before="20" w:after="20"/>
              <w:jc w:val="center"/>
            </w:pPr>
            <w:r>
              <w:rPr>
                <w:sz w:val="13"/>
                <w:szCs w:val="13"/>
              </w:rPr>
              <w:t xml:space="preserve">577.4</w:t>
            </w:r>
          </w:p>
        </w:tc>
        <w:tc>
          <w:tcPr>
            <w:tcW w:w="701" w:type="dxa"/>
            <w:tcBorders/>
            <w:tcMar>
              <w:left w:w="40" w:type="dxa"/>
              <w:right w:w="40" w:type="dxa"/>
            </w:tcMar>
          </w:tcPr>
          <w:p>
            <w:pPr>
              <w:spacing w:before="20" w:after="20"/>
              <w:jc w:val="center"/>
            </w:pPr>
            <w:r>
              <w:rPr>
                <w:sz w:val="13"/>
                <w:szCs w:val="13"/>
              </w:rPr>
              <w:t xml:space="preserve">5773.5</w:t>
            </w:r>
          </w:p>
        </w:tc>
        <w:tc>
          <w:tcPr>
            <w:tcW w:w="569" w:type="dxa"/>
            <w:tcBorders/>
            <w:tcMar>
              <w:left w:w="40" w:type="dxa"/>
              <w:right w:w="40" w:type="dxa"/>
            </w:tcMar>
          </w:tcPr>
          <w:p>
            <w:pPr>
              <w:spacing w:before="20" w:after="20"/>
              <w:jc w:val="center"/>
            </w:pPr>
            <w:r>
              <w:rPr>
                <w:sz w:val="13"/>
                <w:szCs w:val="13"/>
              </w:rPr>
              <w:t xml:space="preserve">3.46</w:t>
            </w:r>
          </w:p>
        </w:tc>
        <w:tc>
          <w:tcPr>
            <w:tcW w:w="613" w:type="dxa"/>
            <w:tcBorders/>
            <w:tcMar>
              <w:left w:w="40" w:type="dxa"/>
              <w:right w:w="40" w:type="dxa"/>
            </w:tcMar>
          </w:tcPr>
          <w:p>
            <w:pPr>
              <w:spacing w:before="20" w:after="20"/>
              <w:jc w:val="center"/>
            </w:pPr>
            <w:r>
              <w:rPr>
                <w:sz w:val="13"/>
                <w:szCs w:val="13"/>
              </w:rPr>
              <w:t xml:space="preserve">34.64</w:t>
            </w:r>
          </w:p>
        </w:tc>
        <w:tc>
          <w:tcPr>
            <w:tcW w:w="701" w:type="dxa"/>
            <w:tcBorders/>
            <w:tcMar>
              <w:left w:w="40" w:type="dxa"/>
              <w:right w:w="40" w:type="dxa"/>
            </w:tcMar>
          </w:tcPr>
          <w:p>
            <w:pPr>
              <w:spacing w:before="20" w:after="20"/>
              <w:jc w:val="center"/>
            </w:pPr>
            <w:r>
              <w:rPr>
                <w:sz w:val="13"/>
                <w:szCs w:val="13"/>
              </w:rPr>
              <w:t xml:space="preserve">346.41</w:t>
            </w:r>
          </w:p>
        </w:tc>
      </w:tr>
      <w:tr>
        <w:trPr>
          <w:cantSplit/>
        </w:trPr>
        <w:tc>
          <w:tcPr>
            <w:tcW w:w="613" w:type="dxa"/>
            <w:tcBorders/>
            <w:tcMar>
              <w:left w:w="40" w:type="dxa"/>
              <w:right w:w="40" w:type="dxa"/>
            </w:tcMar>
          </w:tcPr>
          <w:p>
            <w:pPr>
              <w:spacing w:before="20" w:after="20"/>
              <w:jc w:val="left"/>
            </w:pPr>
            <w:r>
              <w:rPr>
                <w:sz w:val="13"/>
                <w:szCs w:val="13"/>
              </w:rPr>
              <w:t xml:space="preserve">0.10</w:t>
            </w:r>
          </w:p>
        </w:tc>
        <w:tc>
          <w:tcPr>
            <w:tcW w:w="525" w:type="dxa"/>
            <w:tcBorders/>
            <w:tcMar>
              <w:left w:w="40" w:type="dxa"/>
              <w:right w:w="40" w:type="dxa"/>
            </w:tcMar>
          </w:tcPr>
          <w:p>
            <w:pPr>
              <w:spacing w:before="20" w:after="20"/>
              <w:jc w:val="center"/>
            </w:pPr>
            <w:r>
              <w:rPr>
                <w:sz w:val="13"/>
                <w:szCs w:val="13"/>
              </w:rPr>
              <w:t xml:space="preserve">0.11</w:t>
            </w:r>
          </w:p>
        </w:tc>
        <w:tc>
          <w:tcPr>
            <w:tcW w:w="657" w:type="dxa"/>
            <w:tcBorders/>
            <w:tcMar>
              <w:left w:w="40" w:type="dxa"/>
              <w:right w:w="40" w:type="dxa"/>
            </w:tcMar>
          </w:tcPr>
          <w:p>
            <w:pPr>
              <w:spacing w:before="20" w:after="20"/>
              <w:jc w:val="center"/>
            </w:pPr>
            <w:r>
              <w:rPr>
                <w:sz w:val="13"/>
                <w:szCs w:val="13"/>
              </w:rPr>
              <w:t xml:space="preserve">42.6</w:t>
            </w:r>
          </w:p>
        </w:tc>
        <w:tc>
          <w:tcPr>
            <w:tcW w:w="657" w:type="dxa"/>
            <w:tcBorders/>
            <w:tcMar>
              <w:left w:w="40" w:type="dxa"/>
              <w:right w:w="40" w:type="dxa"/>
            </w:tcMar>
          </w:tcPr>
          <w:p>
            <w:pPr>
              <w:spacing w:before="20" w:after="20"/>
              <w:jc w:val="center"/>
            </w:pPr>
            <w:r>
              <w:rPr>
                <w:sz w:val="13"/>
                <w:szCs w:val="13"/>
              </w:rPr>
              <w:t xml:space="preserve">426.4</w:t>
            </w:r>
          </w:p>
        </w:tc>
        <w:tc>
          <w:tcPr>
            <w:tcW w:w="701" w:type="dxa"/>
            <w:tcBorders/>
            <w:tcMar>
              <w:left w:w="40" w:type="dxa"/>
              <w:right w:w="40" w:type="dxa"/>
            </w:tcMar>
          </w:tcPr>
          <w:p>
            <w:pPr>
              <w:spacing w:before="20" w:after="20"/>
              <w:jc w:val="center"/>
            </w:pPr>
            <w:r>
              <w:rPr>
                <w:sz w:val="13"/>
                <w:szCs w:val="13"/>
              </w:rPr>
              <w:t xml:space="preserve">4264.0</w:t>
            </w:r>
          </w:p>
        </w:tc>
        <w:tc>
          <w:tcPr>
            <w:tcW w:w="569" w:type="dxa"/>
            <w:tcBorders/>
            <w:tcMar>
              <w:left w:w="40" w:type="dxa"/>
              <w:right w:w="40" w:type="dxa"/>
            </w:tcMar>
          </w:tcPr>
          <w:p>
            <w:pPr>
              <w:spacing w:before="20" w:after="20"/>
              <w:jc w:val="center"/>
            </w:pPr>
            <w:r>
              <w:rPr>
                <w:sz w:val="13"/>
                <w:szCs w:val="13"/>
              </w:rPr>
              <w:t xml:space="preserve">4.69</w:t>
            </w:r>
          </w:p>
        </w:tc>
        <w:tc>
          <w:tcPr>
            <w:tcW w:w="613" w:type="dxa"/>
            <w:tcBorders/>
            <w:tcMar>
              <w:left w:w="40" w:type="dxa"/>
              <w:right w:w="40" w:type="dxa"/>
            </w:tcMar>
          </w:tcPr>
          <w:p>
            <w:pPr>
              <w:spacing w:before="20" w:after="20"/>
              <w:jc w:val="center"/>
            </w:pPr>
            <w:r>
              <w:rPr>
                <w:sz w:val="13"/>
                <w:szCs w:val="13"/>
              </w:rPr>
              <w:t xml:space="preserve">46.90</w:t>
            </w:r>
          </w:p>
        </w:tc>
        <w:tc>
          <w:tcPr>
            <w:tcW w:w="701" w:type="dxa"/>
            <w:tcBorders/>
            <w:tcMar>
              <w:left w:w="40" w:type="dxa"/>
              <w:right w:w="40" w:type="dxa"/>
            </w:tcMar>
          </w:tcPr>
          <w:p>
            <w:pPr>
              <w:spacing w:before="20" w:after="20"/>
              <w:jc w:val="center"/>
            </w:pPr>
            <w:r>
              <w:rPr>
                <w:sz w:val="13"/>
                <w:szCs w:val="13"/>
              </w:rPr>
              <w:t xml:space="preserve">469.04</w:t>
            </w:r>
          </w:p>
        </w:tc>
      </w:tr>
      <w:tr>
        <w:trPr>
          <w:cantSplit/>
        </w:trPr>
        <w:tc>
          <w:tcPr>
            <w:tcW w:w="613" w:type="dxa"/>
            <w:tcBorders/>
            <w:tcMar>
              <w:left w:w="40" w:type="dxa"/>
              <w:right w:w="40" w:type="dxa"/>
            </w:tcMar>
          </w:tcPr>
          <w:p>
            <w:pPr>
              <w:spacing w:before="20" w:after="20"/>
              <w:jc w:val="left"/>
            </w:pPr>
            <w:r>
              <w:rPr>
                <w:sz w:val="13"/>
                <w:szCs w:val="13"/>
              </w:rPr>
              <w:t xml:space="preserve">0.20</w:t>
            </w:r>
          </w:p>
        </w:tc>
        <w:tc>
          <w:tcPr>
            <w:tcW w:w="525" w:type="dxa"/>
            <w:tcBorders/>
            <w:tcMar>
              <w:left w:w="40" w:type="dxa"/>
              <w:right w:w="40" w:type="dxa"/>
            </w:tcMar>
          </w:tcPr>
          <w:p>
            <w:pPr>
              <w:spacing w:before="20" w:after="20"/>
              <w:jc w:val="center"/>
            </w:pPr>
            <w:r>
              <w:rPr>
                <w:sz w:val="13"/>
                <w:szCs w:val="13"/>
              </w:rPr>
              <w:t xml:space="preserve">0.21</w:t>
            </w:r>
          </w:p>
        </w:tc>
        <w:tc>
          <w:tcPr>
            <w:tcW w:w="657" w:type="dxa"/>
            <w:tcBorders/>
            <w:tcMar>
              <w:left w:w="40" w:type="dxa"/>
              <w:right w:w="40" w:type="dxa"/>
            </w:tcMar>
          </w:tcPr>
          <w:p>
            <w:pPr>
              <w:spacing w:before="20" w:after="20"/>
              <w:jc w:val="center"/>
            </w:pPr>
            <w:r>
              <w:rPr>
                <w:sz w:val="13"/>
                <w:szCs w:val="13"/>
              </w:rPr>
              <w:t xml:space="preserve">30.9</w:t>
            </w:r>
          </w:p>
        </w:tc>
        <w:tc>
          <w:tcPr>
            <w:tcW w:w="657" w:type="dxa"/>
            <w:tcBorders/>
            <w:tcMar>
              <w:left w:w="40" w:type="dxa"/>
              <w:right w:w="40" w:type="dxa"/>
            </w:tcMar>
          </w:tcPr>
          <w:p>
            <w:pPr>
              <w:spacing w:before="20" w:after="20"/>
              <w:jc w:val="center"/>
            </w:pPr>
            <w:r>
              <w:rPr>
                <w:sz w:val="13"/>
                <w:szCs w:val="13"/>
              </w:rPr>
              <w:t xml:space="preserve">308.6</w:t>
            </w:r>
          </w:p>
        </w:tc>
        <w:tc>
          <w:tcPr>
            <w:tcW w:w="701" w:type="dxa"/>
            <w:tcBorders/>
            <w:tcMar>
              <w:left w:w="40" w:type="dxa"/>
              <w:right w:w="40" w:type="dxa"/>
            </w:tcMar>
          </w:tcPr>
          <w:p>
            <w:pPr>
              <w:spacing w:before="20" w:after="20"/>
              <w:jc w:val="center"/>
            </w:pPr>
            <w:r>
              <w:rPr>
                <w:sz w:val="13"/>
                <w:szCs w:val="13"/>
              </w:rPr>
              <w:t xml:space="preserve">3086.1</w:t>
            </w:r>
          </w:p>
        </w:tc>
        <w:tc>
          <w:tcPr>
            <w:tcW w:w="569" w:type="dxa"/>
            <w:tcBorders/>
            <w:tcMar>
              <w:left w:w="40" w:type="dxa"/>
              <w:right w:w="40" w:type="dxa"/>
            </w:tcMar>
          </w:tcPr>
          <w:p>
            <w:pPr>
              <w:spacing w:before="20" w:after="20"/>
              <w:jc w:val="center"/>
            </w:pPr>
            <w:r>
              <w:rPr>
                <w:sz w:val="13"/>
                <w:szCs w:val="13"/>
              </w:rPr>
              <w:t xml:space="preserve">6.48</w:t>
            </w:r>
          </w:p>
        </w:tc>
        <w:tc>
          <w:tcPr>
            <w:tcW w:w="613" w:type="dxa"/>
            <w:tcBorders/>
            <w:tcMar>
              <w:left w:w="40" w:type="dxa"/>
              <w:right w:w="40" w:type="dxa"/>
            </w:tcMar>
          </w:tcPr>
          <w:p>
            <w:pPr>
              <w:spacing w:before="20" w:after="20"/>
              <w:jc w:val="center"/>
            </w:pPr>
            <w:r>
              <w:rPr>
                <w:sz w:val="13"/>
                <w:szCs w:val="13"/>
              </w:rPr>
              <w:t xml:space="preserve">64.81</w:t>
            </w:r>
          </w:p>
        </w:tc>
        <w:tc>
          <w:tcPr>
            <w:tcW w:w="701" w:type="dxa"/>
            <w:tcBorders/>
            <w:tcMar>
              <w:left w:w="40" w:type="dxa"/>
              <w:right w:w="40" w:type="dxa"/>
            </w:tcMar>
          </w:tcPr>
          <w:p>
            <w:pPr>
              <w:spacing w:before="20" w:after="20"/>
              <w:jc w:val="center"/>
            </w:pPr>
            <w:r>
              <w:rPr>
                <w:sz w:val="13"/>
                <w:szCs w:val="13"/>
              </w:rPr>
              <w:t xml:space="preserve">648.07</w:t>
            </w:r>
          </w:p>
        </w:tc>
      </w:tr>
      <w:tr>
        <w:trPr>
          <w:cantSplit/>
        </w:trPr>
        <w:tc>
          <w:tcPr>
            <w:tcW w:w="613" w:type="dxa"/>
            <w:tcBorders>
              <w:bottom w:val="single" w:sz="8" w:space="0" w:color="000000"/>
            </w:tcBorders>
            <w:tcMar>
              <w:left w:w="40" w:type="dxa"/>
              <w:right w:w="40" w:type="dxa"/>
            </w:tcMar>
          </w:tcPr>
          <w:p>
            <w:pPr>
              <w:spacing w:before="20" w:after="20"/>
              <w:jc w:val="left"/>
            </w:pPr>
            <w:r>
              <w:rPr>
                <w:sz w:val="13"/>
                <w:szCs w:val="13"/>
              </w:rPr>
              <w:t xml:space="preserve">0.40</w:t>
            </w:r>
          </w:p>
        </w:tc>
        <w:tc>
          <w:tcPr>
            <w:tcW w:w="525" w:type="dxa"/>
            <w:tcBorders>
              <w:bottom w:val="single" w:sz="8" w:space="0" w:color="000000"/>
            </w:tcBorders>
            <w:tcMar>
              <w:left w:w="40" w:type="dxa"/>
              <w:right w:w="40" w:type="dxa"/>
            </w:tcMar>
          </w:tcPr>
          <w:p>
            <w:pPr>
              <w:spacing w:before="20" w:after="20"/>
              <w:jc w:val="center"/>
            </w:pPr>
            <w:r>
              <w:rPr>
                <w:sz w:val="13"/>
                <w:szCs w:val="13"/>
              </w:rPr>
              <w:t xml:space="preserve">0.41</w:t>
            </w:r>
          </w:p>
        </w:tc>
        <w:tc>
          <w:tcPr>
            <w:tcW w:w="657" w:type="dxa"/>
            <w:tcBorders>
              <w:bottom w:val="single" w:sz="8" w:space="0" w:color="000000"/>
            </w:tcBorders>
            <w:tcMar>
              <w:left w:w="40" w:type="dxa"/>
              <w:right w:w="40" w:type="dxa"/>
            </w:tcMar>
          </w:tcPr>
          <w:p>
            <w:pPr>
              <w:spacing w:before="20" w:after="20"/>
              <w:jc w:val="center"/>
            </w:pPr>
            <w:r>
              <w:rPr>
                <w:sz w:val="13"/>
                <w:szCs w:val="13"/>
              </w:rPr>
              <w:t xml:space="preserve">22.1</w:t>
            </w:r>
          </w:p>
        </w:tc>
        <w:tc>
          <w:tcPr>
            <w:tcW w:w="657" w:type="dxa"/>
            <w:tcBorders>
              <w:bottom w:val="single" w:sz="8" w:space="0" w:color="000000"/>
            </w:tcBorders>
            <w:tcMar>
              <w:left w:w="40" w:type="dxa"/>
              <w:right w:w="40" w:type="dxa"/>
            </w:tcMar>
          </w:tcPr>
          <w:p>
            <w:pPr>
              <w:spacing w:before="20" w:after="20"/>
              <w:jc w:val="center"/>
            </w:pPr>
            <w:r>
              <w:rPr>
                <w:sz w:val="13"/>
                <w:szCs w:val="13"/>
              </w:rPr>
              <w:t xml:space="preserve">220.9</w:t>
            </w:r>
          </w:p>
        </w:tc>
        <w:tc>
          <w:tcPr>
            <w:tcW w:w="701" w:type="dxa"/>
            <w:tcBorders>
              <w:bottom w:val="single" w:sz="8" w:space="0" w:color="000000"/>
            </w:tcBorders>
            <w:tcMar>
              <w:left w:w="40" w:type="dxa"/>
              <w:right w:w="40" w:type="dxa"/>
            </w:tcMar>
          </w:tcPr>
          <w:p>
            <w:pPr>
              <w:spacing w:before="20" w:after="20"/>
              <w:jc w:val="center"/>
            </w:pPr>
            <w:r>
              <w:rPr>
                <w:sz w:val="13"/>
                <w:szCs w:val="13"/>
              </w:rPr>
              <w:t xml:space="preserve">2208.6</w:t>
            </w:r>
          </w:p>
        </w:tc>
        <w:tc>
          <w:tcPr>
            <w:tcW w:w="569" w:type="dxa"/>
            <w:tcBorders>
              <w:bottom w:val="single" w:sz="8" w:space="0" w:color="000000"/>
            </w:tcBorders>
            <w:tcMar>
              <w:left w:w="40" w:type="dxa"/>
              <w:right w:w="40" w:type="dxa"/>
            </w:tcMar>
          </w:tcPr>
          <w:p>
            <w:pPr>
              <w:spacing w:before="20" w:after="20"/>
              <w:jc w:val="center"/>
            </w:pPr>
            <w:r>
              <w:rPr>
                <w:sz w:val="13"/>
                <w:szCs w:val="13"/>
              </w:rPr>
              <w:t xml:space="preserve">9.06</w:t>
            </w:r>
          </w:p>
        </w:tc>
        <w:tc>
          <w:tcPr>
            <w:tcW w:w="613" w:type="dxa"/>
            <w:tcBorders>
              <w:bottom w:val="single" w:sz="8" w:space="0" w:color="000000"/>
            </w:tcBorders>
            <w:tcMar>
              <w:left w:w="40" w:type="dxa"/>
              <w:right w:w="40" w:type="dxa"/>
            </w:tcMar>
          </w:tcPr>
          <w:p>
            <w:pPr>
              <w:spacing w:before="20" w:after="20"/>
              <w:jc w:val="center"/>
            </w:pPr>
            <w:r>
              <w:rPr>
                <w:sz w:val="13"/>
                <w:szCs w:val="13"/>
              </w:rPr>
              <w:t xml:space="preserve">90.55</w:t>
            </w:r>
          </w:p>
        </w:tc>
        <w:tc>
          <w:tcPr>
            <w:tcW w:w="701" w:type="dxa"/>
            <w:tcBorders>
              <w:bottom w:val="single" w:sz="8" w:space="0" w:color="000000"/>
            </w:tcBorders>
            <w:tcMar>
              <w:left w:w="40" w:type="dxa"/>
              <w:right w:w="40" w:type="dxa"/>
            </w:tcMar>
          </w:tcPr>
          <w:p>
            <w:pPr>
              <w:spacing w:before="20" w:after="20"/>
              <w:jc w:val="center"/>
            </w:pPr>
            <w:r>
              <w:rPr>
                <w:sz w:val="13"/>
                <w:szCs w:val="13"/>
              </w:rPr>
              <w:t xml:space="preserve">905.54</w:t>
            </w:r>
          </w:p>
        </w:tc>
      </w:tr>
    </w:tbl>
    <w:p>
      <w:pPr>
        <w:spacing w:after="80"/>
      </w:pPr>
    </w:p>
    <w:p>
      <w:pPr>
        <w:pStyle w:val="Text"/>
      </w:pPr>
      <w:r>
        <w:t xml:space="preserve">Three patterns are worth stating. First, with </w:t>
      </w:r>
      <m:oMath>
        <m:sSub>
          <m:e>
            <m:r>
              <m:t>K</m:t>
            </m:r>
          </m:e>
          <m:sub>
            <m:r>
              <m:t>R</m:t>
            </m:r>
          </m:sub>
        </m:sSub>
      </m:oMath>
      <w:r>
        <w:t xml:space="preserve"> fixed, </w:t>
      </w:r>
      <m:oMath>
        <m:sSup>
          <m:e>
            <m:r>
              <m:t>t</m:t>
            </m:r>
          </m:e>
          <m:sup>
            <m:r>
              <m:rPr>
                <m:sty m:val="p"/>
              </m:rPr>
              <m:t>*</m:t>
            </m:r>
          </m:sup>
        </m:sSup>
      </m:oMath>
      <w:r>
        <w:t xml:space="preserve"> falls by a factor of two when </w:t>
      </w:r>
      <m:oMath>
        <m:r>
          <m:t>γ</m:t>
        </m:r>
      </m:oMath>
      <w:r>
        <w:t xml:space="preserve"> rises fourfold: a fourfold acceleration of the world justifies only a halving of the interval. Across the grid, </w:t>
      </w:r>
      <m:oMath>
        <m:r>
          <m:t>γ</m:t>
        </m:r>
      </m:oMath>
      <w:r>
        <w:t xml:space="preserve"> rises by a factor of 6.8, so </w:t>
      </w:r>
      <m:oMath>
        <m:sSup>
          <m:e>
            <m:r>
              <m:t>t</m:t>
            </m:r>
          </m:e>
          <m:sup>
            <m:r>
              <m:rPr>
                <m:sty m:val="p"/>
              </m:rPr>
              <m:t>*</m:t>
            </m:r>
          </m:sup>
        </m:sSup>
      </m:oMath>
      <w:r>
        <w:t xml:space="preserve"> falls, and </w:t>
      </w:r>
      <m:oMath>
        <m:sSup>
          <m:e>
            <m:r>
              <m:t>η</m:t>
            </m:r>
          </m:e>
          <m:sup>
            <m:r>
              <m:rPr>
                <m:sty m:val="p"/>
              </m:rPr>
              <m:t>*</m:t>
            </m:r>
          </m:sup>
        </m:sSup>
      </m:oMath>
      <w:r>
        <w:t xml:space="preserve"> and </w:t>
      </w:r>
      <m:oMath>
        <m:sSup>
          <m:e>
            <m:r>
              <m:t>J</m:t>
            </m:r>
          </m:e>
          <m:sup>
            <m:r>
              <m:rPr>
                <m:sty m:val="p"/>
              </m:rPr>
              <m:t>*</m:t>
            </m:r>
          </m:sup>
        </m:sSup>
      </m:oMath>
      <w:r>
        <w:t xml:space="preserve"> rise, by a factor of </w:t>
      </w:r>
      <m:oMath>
        <m:rad>
          <m:radPr>
            <m:degHide m:val="on"/>
          </m:radPr>
          <m:deg/>
          <m:e>
            <m:r>
              <m:t>6.8</m:t>
            </m:r>
          </m:e>
        </m:rad>
        <m:r>
          <m:rPr>
            <m:sty m:val="p"/>
          </m:rPr>
          <m:t>≈</m:t>
        </m:r>
        <m:r>
          <m:t>2.6</m:t>
        </m:r>
      </m:oMath>
      <w:r>
        <w:t xml:space="preserve"> in every column. Second, moving from the smallest to the largest cost regime (a factor of </w:t>
      </w:r>
      <m:oMath>
        <m:sSup>
          <m:e>
            <m:r>
              <m:t>10</m:t>
            </m:r>
          </m:e>
          <m:sup>
            <m:r>
              <m:t>4</m:t>
            </m:r>
          </m:sup>
        </m:sSup>
      </m:oMath>
      <w:r>
        <w:t xml:space="preserve">) lengthens </w:t>
      </w:r>
      <m:oMath>
        <m:sSup>
          <m:e>
            <m:r>
              <m:t>t</m:t>
            </m:r>
          </m:e>
          <m:sup>
            <m:r>
              <m:rPr>
                <m:sty m:val="p"/>
              </m:rPr>
              <m:t>*</m:t>
            </m:r>
          </m:sup>
        </m:sSup>
      </m:oMath>
      <w:r>
        <w:t xml:space="preserve"> by a factor of 100, again the square-root curvature. Third, the forgetting-augmented optimum of Section VI implies that, at fixed </w:t>
      </w:r>
      <m:oMath>
        <m:r>
          <m:t>K</m:t>
        </m:r>
      </m:oMath>
      <w:r>
        <w:t xml:space="preserve">, a smaller </w:t>
      </w:r>
      <m:oMath>
        <m:r>
          <m:t>F</m:t>
        </m:r>
      </m:oMath>
      <w:r>
        <w:t xml:space="preserve"> lowers </w:t>
      </w:r>
      <m:oMath>
        <m:sSup>
          <m:e>
            <m:r>
              <m:t>J</m:t>
            </m:r>
          </m:e>
          <m:sup>
            <m:r>
              <m:rPr>
                <m:sty m:val="p"/>
              </m:rPr>
              <m:t>*</m:t>
            </m:r>
          </m:sup>
        </m:sSup>
      </m:oMath>
      <w:r>
        <w:t xml:space="preserve"> through both the one-off term and the permanent term, and it simultaneously shortens </w:t>
      </w:r>
      <m:oMath>
        <m:sSup>
          <m:e>
            <m:r>
              <m:t>t</m:t>
            </m:r>
          </m:e>
          <m:sup>
            <m:r>
              <m:rPr>
                <m:sty m:val="p"/>
              </m:rPr>
              <m:t>*</m:t>
            </m:r>
          </m:sup>
        </m:sSup>
      </m:oMath>
      <w:r>
        <w:t xml:space="preserve">. Investment in a less damaging repair technology therefore pays twice: directly, by lowering the damage per event, and indirectly, by making it economical to maintain more often. Fig. 3 plots the same relationships continuously in the drift intensity.</w:t>
      </w:r>
    </w:p>
    <w:p>
      <w:pPr>
        <w:keepNext/>
        <w:spacing w:before="60" w:after="40"/>
        <w:jc w:val="center"/>
      </w:pPr>
      <w:r>
        <w:drawing>
          <wp:inline distT="0" distB="0" distL="0" distR="0">
            <wp:extent cx="3017520" cy="1368549"/>
            <wp:docPr id="203" name="Figure 3"/>
            <wp:cNvGraphicFramePr/>
            <a:graphic xmlns:a="http://schemas.openxmlformats.org/drawingml/2006/main">
              <a:graphicData uri="http://schemas.openxmlformats.org/drawingml/2006/picture">
                <pic:pic xmlns:pic="http://schemas.openxmlformats.org/drawingml/2006/picture">
                  <pic:nvPicPr>
                    <pic:cNvPr id="203" name="fig3.png"/>
                    <pic:cNvPicPr/>
                  </pic:nvPicPr>
                  <pic:blipFill>
                    <a:blip r:embed="rId102"/>
                    <a:stretch>
                      <a:fillRect/>
                    </a:stretch>
                  </pic:blipFill>
                  <pic:spPr>
                    <a:xfrm>
                      <a:off x="0" y="0"/>
                      <a:ext cx="3017520" cy="1368549"/>
                    </a:xfrm>
                    <a:prstGeom prst="rect">
                      <a:avLst/>
                    </a:prstGeom>
                  </pic:spPr>
                </pic:pic>
              </a:graphicData>
            </a:graphic>
          </wp:inline>
        </w:drawing>
      </w:r>
    </w:p>
    <w:p>
      <w:pPr>
        <w:pStyle w:val="FigureCaption"/>
        <w:spacing w:after="120"/>
      </w:pPr>
      <w:r>
        <w:rPr>
          <w:b/>
          <w:bCs/>
          <w:sz w:val="16"/>
          <w:szCs w:val="16"/>
        </w:rPr>
        <w:t xml:space="preserve">Fig. 3.</w:t>
      </w:r>
      <w:r>
        <w:rPr>
          <w:sz w:val="16"/>
          <w:szCs w:val="16"/>
        </w:rPr>
        <w:t xml:space="preserve"> </w:t>
      </w:r>
      <w:r>
        <w:rPr>
          <w:sz w:val="16"/>
          <w:szCs w:val="16"/>
        </w:rPr>
        <w:t xml:space="preserve">Square-root comparative statics of the single-threshold program. Markers correspond to the grid in Table II. The optimal interval declines as the square root of drift intensity; the optimal cost rate increases as the square root of intensity and of retrain cost.</w:t>
      </w:r>
    </w:p>
    <w:p>
      <w:pPr>
        <w:pStyle w:val="Heading2"/>
        <w:numPr>
          <w:ilvl w:val="0"/>
          <w:numId w:val="0"/>
        </w:numPr>
        <w:ind w:left="0" w:firstLine="0"/>
      </w:pPr>
      <w:r>
        <w:t xml:space="preserve">C. Hazard-Regime Sensitivity</w:t>
      </w:r>
    </w:p>
    <w:p>
      <w:pPr>
        <w:pStyle w:val="Text"/>
      </w:pPr>
      <w:r>
        <w:t xml:space="preserve">A Weibull inter-event law with shape above one gives an increasing hazard and a decreasing mean residual life; shape below one gives the opposite; shape one recovers the Poisson case. Section V predicts that a policy that shortens the calendar interval as time since the last shock grows beats the memoryless threshold under decreasing mean residual life, and that the same heuristic loses under increasing mean residual life. We have not run this experiment. For any fitted arrival model the predictions can be checked by solving the regime-dependent MDP of Section VII. If they are confirmed, the shape of the arrival hazard is a first-order determinant of the policy class an organization should adopt, and it is estimable from historical detector alarms.</w:t>
      </w:r>
    </w:p>
    <w:p>
      <w:pPr>
        <w:pStyle w:val="Heading2"/>
        <w:numPr>
          <w:ilvl w:val="0"/>
          <w:numId w:val="0"/>
        </w:numPr>
        <w:ind w:left="0" w:firstLine="0"/>
      </w:pPr>
      <w:r>
        <w:t xml:space="preserve">D. Measurement on a Public Pretrained Model</w:t>
      </w:r>
    </w:p>
    <w:p>
      <w:pPr>
        <w:pStyle w:val="Text"/>
      </w:pPr>
      <w:r>
        <w:t xml:space="preserve">The measurement side of the framework is instantiated on EleutherAI Pythia-70M [13] with a synthetic world of facts that cannot occur in pre-training. The world has 150 fictional companies, each with three dynamic attributes (chief executive, headquarters city, main product; 450 facts) that are subject to drift, and one static attribute (founding year; 150 facts) that never changes and serves as the retention suite. Each attribute has eight candidate values. The model is scored as correct if the true value receives the highest summed token log-probability among the eight candidates given a fixed prompt. Staleness is the error rate on the dynamic suite in percentage points; forgetting is the change in error rate on the static suite, where one static fact equals 0.67 percentage points.</w:t>
      </w:r>
    </w:p>
    <w:p>
      <w:pPr>
        <w:pStyle w:val="Text"/>
      </w:pPr>
      <w:r>
        <w:t xml:space="preserve">Drift events arrive as a Poisson process with rate three per day, each replacing one randomly chosen dynamic fact. Seventy percent of events are detected and logged. Sixty percent of the dynamic facts are indexed in an external store refreshed daily. The deployed checkpoint at </w:t>
      </w:r>
      <m:oMath>
        <m:r>
          <m:t>t</m:t>
        </m:r>
        <m:r>
          <m:rPr>
            <m:sty m:val="p"/>
          </m:rPr>
          <m:t>=</m:t>
        </m:r>
        <m:r>
          <m:t>0</m:t>
        </m:r>
      </m:oMath>
      <w:r>
        <w:t xml:space="preserve"> is obtained by fine-tuning the pretrained model until it answers at least 95% of the dynamic suite, the static suite, and the dynamic suite with retrieved notes correctly. The training mix includes notes that conflict with the memorized value, so that the model learns to follow retrieved text; this took 65 to 175 epochs depending on the seed. Every number below is a mean over ten random seeds. Each seed draws its own company names and facts, drift stream, indexed subset, and deployed checkpoint. Intervals are 95% </w:t>
      </w:r>
      <m:oMath>
        <m:r>
          <m:t>t</m:t>
        </m:r>
      </m:oMath>
      <w:r>
        <w:t xml:space="preserve">-intervals across seeds.</w:t>
      </w:r>
    </w:p>
    <w:p>
      <w:pPr>
        <w:pStyle w:val="Text"/>
      </w:pPr>
      <w:r>
        <w:t xml:space="preserve">Three parametric repairs are applied, separately and from the same deployed checkpoint, after 10 and 30 days of drift. The localized edit updates the MLP block of one layer on the logged facts whose value has changed, together with ten unchanged facts per edited fact; the replayed facts act as a locality constraint. The LoRA adapter [27] has rank 16 on all layers and no replay. The full fine-tune updates all parameters on the current value of every fact. Learning rates and epoch counts were fixed on a separate pilot seed that is not among the ten reported. For each mechanism we took the setting with the fewest processed tokens whose accuracy on the facts it was trained on was at least 0.9 and, for the edit, whose accuracy on untouched facts was at least 0.95. This rule was written down before the final pilot round and uses neither total error nor retention. The pilot results are part of the supplementary material.</w:t>
      </w:r>
    </w:p>
    <w:p>
      <w:pPr>
        <w:pStyle w:val="Text"/>
      </w:pPr>
      <w:r>
        <w:t xml:space="preserve">Over 60 days without parametric maintenance, OLS yields a slope of 0.525 percentage points per day without retrieval (95% CI 0.503 to 0.547; mean </w:t>
      </w:r>
      <m:oMath>
        <m:sSup>
          <m:e>
            <m:r>
              <m:t>R</m:t>
            </m:r>
          </m:e>
          <m:sup>
            <m:r>
              <m:t>2</m:t>
            </m:r>
          </m:sup>
        </m:sSup>
        <m:r>
          <m:rPr>
            <m:sty m:val="p"/>
          </m:rPr>
          <m:t>=</m:t>
        </m:r>
        <m:r>
          <m:t>0.99</m:t>
        </m:r>
      </m:oMath>
      <w:r>
        <w:t xml:space="preserve">) and 0.213 with a daily retrieval refresh (0.190 to 0.237; mean </w:t>
      </w:r>
      <m:oMath>
        <m:sSup>
          <m:e>
            <m:r>
              <m:t>R</m:t>
            </m:r>
          </m:e>
          <m:sup>
            <m:r>
              <m:t>2</m:t>
            </m:r>
          </m:sup>
        </m:sSup>
        <m:r>
          <m:rPr>
            <m:sty m:val="p"/>
          </m:rPr>
          <m:t>=</m:t>
        </m:r>
        <m:r>
          <m:t>0.98</m:t>
        </m:r>
      </m:oMath>
      <w:r>
        <w:t xml:space="preserve">). Both trajectories are well described by the affine mean of Section V. Over this horizon 180 events are expected, and the expected fraction of distinct dynamic facts that have changed at least once is </w:t>
      </w:r>
      <m:oMath>
        <m:r>
          <m:t>1</m:t>
        </m:r>
        <m:r>
          <m:rPr>
            <m:sty m:val="p"/>
          </m:rPr>
          <m:t>−</m:t>
        </m:r>
        <m:sSup>
          <m:e>
            <m:r>
              <m:t>e</m:t>
            </m:r>
          </m:e>
          <m:sup>
            <m:r>
              <m:rPr>
                <m:sty m:val="p"/>
              </m:rPr>
              <m:t>−</m:t>
            </m:r>
            <m:r>
              <m:t>180</m:t>
            </m:r>
            <m:r>
              <m:rPr>
                <m:sty m:val="p"/>
              </m:rPr>
              <m:t>/</m:t>
            </m:r>
            <m:r>
              <m:t>450</m:t>
            </m:r>
          </m:sup>
        </m:sSup>
        <m:r>
          <m:rPr>
            <m:sty m:val="p"/>
          </m:rPr>
          <m:t>≈</m:t>
        </m:r>
        <m:r>
          <m:t>0.33</m:t>
        </m:r>
      </m:oMath>
      <w:r>
        <w:t xml:space="preserve"> rather than one, so the affine fit is still a local approximation to a saturating process. Retrieval removes a share </w:t>
      </w:r>
      <m:oMath>
        <m:r>
          <m:t>1</m:t>
        </m:r>
        <m:r>
          <m:rPr>
            <m:sty m:val="p"/>
          </m:rPr>
          <m:t>−</m:t>
        </m:r>
        <m:r>
          <m:t>0.213</m:t>
        </m:r>
        <m:r>
          <m:rPr>
            <m:sty m:val="p"/>
          </m:rPr>
          <m:t>/</m:t>
        </m:r>
        <m:r>
          <m:t>0.525</m:t>
        </m:r>
      </m:oMath>
      <w:r>
        <w:t xml:space="preserve"> of the drift slope, which averages 0.593 across seeds (95% CI 0.547 to 0.638). The indexed share of 0.60 lies inside this interval (one-sample </w:t>
      </w:r>
      <m:oMath>
        <m:r>
          <m:t>t</m:t>
        </m:r>
      </m:oMath>
      <w:r>
        <w:t xml:space="preserve">-test against 0.60, </w:t>
      </w:r>
      <m:oMath>
        <m:r>
          <m:t>p</m:t>
        </m:r>
        <m:r>
          <m:rPr>
            <m:sty m:val="p"/>
          </m:rPr>
          <m:t>=</m:t>
        </m:r>
        <m:r>
          <m:t>0.73</m:t>
        </m:r>
      </m:oMath>
      <w:r>
        <w:t xml:space="preserve">): retrieval absorbs the share of drift that it covers, and no more. Substituting the per-seed share into (20) predicts that the store lengthens the economically optimal parametric interval by a factor of 1.58 (1.49 to 1.67) and lowers the optimal staleness threshold to 0.64 (0.60 to 0.67) of its no-retrieval value. Fig. 4 plots the two measured trajectories.</w:t>
      </w:r>
    </w:p>
    <w:p>
      <w:pPr>
        <w:keepNext/>
        <w:spacing w:before="60" w:after="40"/>
        <w:jc w:val="center"/>
      </w:pPr>
      <w:r>
        <w:drawing>
          <wp:inline distT="0" distB="0" distL="0" distR="0">
            <wp:extent cx="3017520" cy="1740876"/>
            <wp:docPr id="204" name="Figure 4"/>
            <wp:cNvGraphicFramePr/>
            <a:graphic xmlns:a="http://schemas.openxmlformats.org/drawingml/2006/main">
              <a:graphicData uri="http://schemas.openxmlformats.org/drawingml/2006/picture">
                <pic:pic xmlns:pic="http://schemas.openxmlformats.org/drawingml/2006/picture">
                  <pic:nvPicPr>
                    <pic:cNvPr id="204" name="fig4.png"/>
                    <pic:cNvPicPr/>
                  </pic:nvPicPr>
                  <pic:blipFill>
                    <a:blip r:embed="rId103"/>
                    <a:stretch>
                      <a:fillRect/>
                    </a:stretch>
                  </pic:blipFill>
                  <pic:spPr>
                    <a:xfrm>
                      <a:off x="0" y="0"/>
                      <a:ext cx="3017520" cy="1740876"/>
                    </a:xfrm>
                    <a:prstGeom prst="rect">
                      <a:avLst/>
                    </a:prstGeom>
                  </pic:spPr>
                </pic:pic>
              </a:graphicData>
            </a:graphic>
          </wp:inline>
        </w:drawing>
      </w:r>
    </w:p>
    <w:p>
      <w:pPr>
        <w:pStyle w:val="FigureCaption"/>
        <w:spacing w:after="120"/>
      </w:pPr>
      <w:r>
        <w:rPr>
          <w:b/>
          <w:bCs/>
          <w:sz w:val="16"/>
          <w:szCs w:val="16"/>
        </w:rPr>
        <w:t xml:space="preserve">Fig. 4.</w:t>
      </w:r>
      <w:r>
        <w:rPr>
          <w:sz w:val="16"/>
          <w:szCs w:val="16"/>
        </w:rPr>
        <w:t xml:space="preserve"> </w:t>
      </w:r>
      <w:r>
        <w:rPr>
          <w:sz w:val="16"/>
          <w:szCs w:val="16"/>
        </w:rPr>
        <w:t xml:space="preserve">Dynamic-suite error of the deployed Pythia-70M model over 60 days without parametric maintenance, scored every three days. Lines are means over ten seeds and bands are 95% intervals across seeds. Retrieval over a corpus covering 60% of the drifting facts reduces the fitted slope from 0.525 to 0.213 percentage points per day.</w:t>
      </w:r>
    </w:p>
    <w:p>
      <w:pPr>
        <w:pStyle w:val="TableTitle"/>
        <w:keepNext/>
        <w:spacing w:before="120"/>
      </w:pPr>
      <w:r>
        <w:rPr>
          <w:sz w:val="16"/>
          <w:szCs w:val="16"/>
        </w:rPr>
        <w:t xml:space="preserve">TABLE III</w:t>
      </w:r>
    </w:p>
    <w:p>
      <w:pPr>
        <w:pStyle w:val="TableTitle"/>
        <w:keepNext/>
        <w:spacing w:after="60"/>
      </w:pPr>
      <w:r>
        <w:rPr>
          <w:sz w:val="16"/>
          <w:szCs w:val="16"/>
        </w:rPr>
        <w:t xml:space="preserve">Measured Cost, Error Reduction, and Forgetting of Three Parametric Mechanisms on Pythia-70M (Ten Seeds)</w:t>
      </w:r>
    </w:p>
    <w:tbl>
      <w:tblPr>
        <w:tblW w:w="5040" w:type="dxa"/>
        <w:jc w:val="center"/>
        <w:tblLayout w:type="fixed"/>
      </w:tblPr>
      <w:tblGrid>
        <w:gridCol w:w="1150"/>
        <w:gridCol w:w="500"/>
        <w:gridCol w:w="500"/>
        <w:gridCol w:w="1100"/>
        <w:gridCol w:w="1000"/>
        <w:gridCol w:w="790"/>
      </w:tblGrid>
      <w:tr>
        <w:trPr>
          <w:cantSplit/>
        </w:trPr>
        <w:tc>
          <w:tcPr>
            <w:tcW w:w="1150" w:type="dxa"/>
            <w:tcBorders>
              <w:top w:val="single" w:sz="8" w:space="0" w:color="000000"/>
              <w:bottom w:val="single" w:sz="4" w:space="0" w:color="000000"/>
            </w:tcBorders>
            <w:tcMar>
              <w:left w:w="40" w:type="dxa"/>
              <w:right w:w="40" w:type="dxa"/>
            </w:tcMar>
          </w:tcPr>
          <w:p>
            <w:pPr>
              <w:spacing w:before="20" w:after="20"/>
              <w:jc w:val="left"/>
            </w:pPr>
            <w:r>
              <w:rPr>
                <w:b/>
                <w:bCs/>
                <w:sz w:val="14"/>
                <w:szCs w:val="14"/>
              </w:rPr>
              <w:t xml:space="preserve">Mechanism</w:t>
            </w:r>
          </w:p>
        </w:tc>
        <w:tc>
          <w:tcPr>
            <w:tcW w:w="500" w:type="dxa"/>
            <w:tcBorders>
              <w:top w:val="single" w:sz="8" w:space="0" w:color="000000"/>
              <w:bottom w:val="single" w:sz="4" w:space="0" w:color="000000"/>
            </w:tcBorders>
            <w:tcMar>
              <w:left w:w="40" w:type="dxa"/>
              <w:right w:w="40" w:type="dxa"/>
            </w:tcMar>
          </w:tcPr>
          <w:p>
            <w:pPr>
              <w:spacing w:before="20" w:after="20"/>
              <w:jc w:val="center"/>
            </w:pPr>
            <w:r>
              <w:rPr>
                <w:b/>
                <w:bCs/>
                <w:sz w:val="14"/>
                <w:szCs w:val="14"/>
              </w:rPr>
              <w:t xml:space="preserve">Cost, </w:t>
            </w:r>
            <m:oMath>
              <m:r>
                <m:t>K</m:t>
              </m:r>
              <m:r>
                <m:rPr>
                  <m:sty m:val="p"/>
                </m:rPr>
                <m:t>′</m:t>
              </m:r>
            </m:oMath>
          </w:p>
        </w:tc>
        <w:tc>
          <w:tcPr>
            <w:tcW w:w="500" w:type="dxa"/>
            <w:tcBorders>
              <w:top w:val="single" w:sz="8" w:space="0" w:color="000000"/>
              <w:bottom w:val="single" w:sz="4" w:space="0" w:color="000000"/>
            </w:tcBorders>
            <w:tcMar>
              <w:left w:w="40" w:type="dxa"/>
              <w:right w:w="40" w:type="dxa"/>
            </w:tcMar>
          </w:tcPr>
          <w:p>
            <w:pPr>
              <w:spacing w:before="20" w:after="20"/>
              <w:jc w:val="center"/>
            </w:pPr>
            <w:r>
              <w:rPr>
                <w:b/>
                <w:bCs/>
                <w:sz w:val="14"/>
                <w:szCs w:val="14"/>
              </w:rPr>
              <w:t xml:space="preserve">Cost, </w:t>
            </w:r>
            <m:oMath>
              <m:r>
                <m:t>K</m:t>
              </m:r>
            </m:oMath>
          </w:p>
        </w:tc>
        <w:tc>
          <w:tcPr>
            <w:tcW w:w="1100" w:type="dxa"/>
            <w:tcBorders>
              <w:top w:val="single" w:sz="8" w:space="0" w:color="000000"/>
              <w:bottom w:val="single" w:sz="4" w:space="0" w:color="000000"/>
            </w:tcBorders>
            <w:tcMar>
              <w:left w:w="40" w:type="dxa"/>
              <w:right w:w="40" w:type="dxa"/>
            </w:tcMar>
          </w:tcPr>
          <w:p>
            <w:pPr>
              <w:spacing w:before="20" w:after="20"/>
              <w:jc w:val="center"/>
            </w:pPr>
            <w:r>
              <w:rPr>
                <w:b/>
                <w:bCs/>
                <w:sz w:val="14"/>
                <w:szCs w:val="14"/>
              </w:rPr>
              <w:t xml:space="preserve">Error before → after (pp)</w:t>
            </w:r>
          </w:p>
        </w:tc>
        <w:tc>
          <w:tcPr>
            <w:tcW w:w="1000" w:type="dxa"/>
            <w:tcBorders>
              <w:top w:val="single" w:sz="8" w:space="0" w:color="000000"/>
              <w:bottom w:val="single" w:sz="4" w:space="0" w:color="000000"/>
            </w:tcBorders>
            <w:tcMar>
              <w:left w:w="40" w:type="dxa"/>
              <w:right w:w="40" w:type="dxa"/>
            </w:tcMar>
          </w:tcPr>
          <w:p>
            <w:pPr>
              <w:spacing w:before="20" w:after="20"/>
              <w:jc w:val="center"/>
            </w:pPr>
            <w:r>
              <w:rPr>
                <w:b/>
                <w:bCs/>
                <w:sz w:val="14"/>
                <w:szCs w:val="14"/>
              </w:rPr>
              <w:t xml:space="preserve">Retention change (pp)</w:t>
            </w:r>
          </w:p>
        </w:tc>
        <w:tc>
          <w:tcPr>
            <w:tcW w:w="790" w:type="dxa"/>
            <w:tcBorders>
              <w:top w:val="single" w:sz="8" w:space="0" w:color="000000"/>
              <w:bottom w:val="single" w:sz="4" w:space="0" w:color="000000"/>
            </w:tcBorders>
            <w:tcMar>
              <w:left w:w="40" w:type="dxa"/>
              <w:right w:w="40" w:type="dxa"/>
            </w:tcMar>
          </w:tcPr>
          <w:p>
            <w:pPr>
              <w:spacing w:before="20" w:after="20"/>
              <w:jc w:val="center"/>
            </w:pPr>
            <w:r>
              <w:rPr>
                <w:b/>
                <w:bCs/>
                <w:sz w:val="14"/>
                <w:szCs w:val="14"/>
              </w:rPr>
              <w:t xml:space="preserve">Raises error (%)</w:t>
            </w:r>
          </w:p>
        </w:tc>
      </w:tr>
      <w:tr>
        <w:trPr>
          <w:cantSplit/>
        </w:trPr>
        <w:tc>
          <w:tcPr>
            <w:tcW w:w="1150" w:type="dxa"/>
            <w:tcBorders/>
            <w:tcMar>
              <w:left w:w="40" w:type="dxa"/>
              <w:right w:w="40" w:type="dxa"/>
            </w:tcMar>
          </w:tcPr>
          <w:p>
            <w:pPr>
              <w:spacing w:before="20" w:after="20"/>
              <w:jc w:val="left"/>
            </w:pPr>
            <w:r>
              <w:rPr>
                <w:sz w:val="14"/>
                <w:szCs w:val="14"/>
              </w:rPr>
              <w:t xml:space="preserve">Localized edit</w:t>
            </w:r>
          </w:p>
        </w:tc>
        <w:tc>
          <w:tcPr>
            <w:tcW w:w="500" w:type="dxa"/>
            <w:tcBorders/>
            <w:tcMar>
              <w:left w:w="40" w:type="dxa"/>
              <w:right w:w="40" w:type="dxa"/>
            </w:tcMar>
          </w:tcPr>
          <w:p>
            <w:pPr>
              <w:spacing w:before="20" w:after="20"/>
              <w:jc w:val="center"/>
            </w:pPr>
            <w:r>
              <w:rPr>
                <w:sz w:val="14"/>
                <w:szCs w:val="14"/>
              </w:rPr>
              <w:t xml:space="preserve">37</w:t>
            </w:r>
          </w:p>
        </w:tc>
        <w:tc>
          <w:tcPr>
            <w:tcW w:w="500" w:type="dxa"/>
            <w:tcBorders/>
            <w:tcMar>
              <w:left w:w="40" w:type="dxa"/>
              <w:right w:w="40" w:type="dxa"/>
            </w:tcMar>
          </w:tcPr>
          <w:p>
            <w:pPr>
              <w:spacing w:before="20" w:after="20"/>
              <w:jc w:val="center"/>
            </w:pPr>
            <w:r>
              <w:rPr>
                <w:sz w:val="14"/>
                <w:szCs w:val="14"/>
              </w:rPr>
              <w:t xml:space="preserve">636</w:t>
            </w:r>
          </w:p>
        </w:tc>
        <w:tc>
          <w:tcPr>
            <w:tcW w:w="1100" w:type="dxa"/>
            <w:tcBorders/>
            <w:tcMar>
              <w:left w:w="40" w:type="dxa"/>
              <w:right w:w="40" w:type="dxa"/>
            </w:tcMar>
          </w:tcPr>
          <w:p>
            <w:pPr>
              <w:spacing w:before="20" w:after="20"/>
              <w:jc w:val="center"/>
            </w:pPr>
            <w:r>
              <w:rPr>
                <w:sz w:val="14"/>
                <w:szCs w:val="14"/>
              </w:rPr>
              <w:t xml:space="preserve">16.7→11.7</w:t>
            </w:r>
          </w:p>
        </w:tc>
        <w:tc>
          <w:tcPr>
            <w:tcW w:w="1000" w:type="dxa"/>
            <w:tcBorders/>
            <w:tcMar>
              <w:left w:w="40" w:type="dxa"/>
              <w:right w:w="40" w:type="dxa"/>
            </w:tcMar>
          </w:tcPr>
          <w:p>
            <w:pPr>
              <w:spacing w:before="20" w:after="20"/>
              <w:jc w:val="center"/>
            </w:pPr>
            <w:r>
              <w:rPr>
                <w:sz w:val="14"/>
                <w:szCs w:val="14"/>
              </w:rPr>
              <w:t xml:space="preserve">−1.1 (SD 1.5)</w:t>
            </w:r>
          </w:p>
        </w:tc>
        <w:tc>
          <w:tcPr>
            <w:tcW w:w="790" w:type="dxa"/>
            <w:tcBorders/>
            <w:tcMar>
              <w:left w:w="40" w:type="dxa"/>
              <w:right w:w="40" w:type="dxa"/>
            </w:tcMar>
          </w:tcPr>
          <w:p>
            <w:pPr>
              <w:spacing w:before="20" w:after="20"/>
              <w:jc w:val="center"/>
            </w:pPr>
            <w:r>
              <w:rPr>
                <w:sz w:val="14"/>
                <w:szCs w:val="14"/>
              </w:rPr>
              <w:t xml:space="preserve">40</w:t>
            </w:r>
          </w:p>
        </w:tc>
      </w:tr>
      <w:tr>
        <w:trPr>
          <w:cantSplit/>
        </w:trPr>
        <w:tc>
          <w:tcPr>
            <w:tcW w:w="1150" w:type="dxa"/>
            <w:tcBorders/>
            <w:tcMar>
              <w:left w:w="40" w:type="dxa"/>
              <w:right w:w="40" w:type="dxa"/>
            </w:tcMar>
          </w:tcPr>
          <w:p>
            <w:pPr>
              <w:spacing w:before="20" w:after="20"/>
              <w:jc w:val="left"/>
            </w:pPr>
            <w:r>
              <w:rPr>
                <w:sz w:val="14"/>
                <w:szCs w:val="14"/>
              </w:rPr>
              <w:t xml:space="preserve">LoRA, rank 16, no replay</w:t>
            </w:r>
          </w:p>
        </w:tc>
        <w:tc>
          <w:tcPr>
            <w:tcW w:w="500" w:type="dxa"/>
            <w:tcBorders/>
            <w:tcMar>
              <w:left w:w="40" w:type="dxa"/>
              <w:right w:w="40" w:type="dxa"/>
            </w:tcMar>
          </w:tcPr>
          <w:p>
            <w:pPr>
              <w:spacing w:before="20" w:after="20"/>
              <w:jc w:val="center"/>
            </w:pPr>
            <w:r>
              <w:rPr>
                <w:sz w:val="14"/>
                <w:szCs w:val="14"/>
              </w:rPr>
              <w:t xml:space="preserve">1.4</w:t>
            </w:r>
          </w:p>
        </w:tc>
        <w:tc>
          <w:tcPr>
            <w:tcW w:w="500" w:type="dxa"/>
            <w:tcBorders/>
            <w:tcMar>
              <w:left w:w="40" w:type="dxa"/>
              <w:right w:w="40" w:type="dxa"/>
            </w:tcMar>
          </w:tcPr>
          <w:p>
            <w:pPr>
              <w:spacing w:before="20" w:after="20"/>
              <w:jc w:val="center"/>
            </w:pPr>
            <w:r>
              <w:rPr>
                <w:sz w:val="14"/>
                <w:szCs w:val="14"/>
              </w:rPr>
              <w:t xml:space="preserve">71</w:t>
            </w:r>
          </w:p>
        </w:tc>
        <w:tc>
          <w:tcPr>
            <w:tcW w:w="1100" w:type="dxa"/>
            <w:tcBorders/>
            <w:tcMar>
              <w:left w:w="40" w:type="dxa"/>
              <w:right w:w="40" w:type="dxa"/>
            </w:tcMar>
          </w:tcPr>
          <w:p>
            <w:pPr>
              <w:spacing w:before="20" w:after="20"/>
              <w:jc w:val="center"/>
            </w:pPr>
            <w:r>
              <w:rPr>
                <w:sz w:val="14"/>
                <w:szCs w:val="14"/>
              </w:rPr>
              <w:t xml:space="preserve">16.7→94.5</w:t>
            </w:r>
          </w:p>
        </w:tc>
        <w:tc>
          <w:tcPr>
            <w:tcW w:w="1000" w:type="dxa"/>
            <w:tcBorders/>
            <w:tcMar>
              <w:left w:w="40" w:type="dxa"/>
              <w:right w:w="40" w:type="dxa"/>
            </w:tcMar>
          </w:tcPr>
          <w:p>
            <w:pPr>
              <w:spacing w:before="20" w:after="20"/>
              <w:jc w:val="center"/>
            </w:pPr>
            <w:r>
              <w:rPr>
                <w:sz w:val="14"/>
                <w:szCs w:val="14"/>
              </w:rPr>
              <w:t xml:space="preserve">+36.0 (SD 11.6)</w:t>
            </w:r>
          </w:p>
        </w:tc>
        <w:tc>
          <w:tcPr>
            <w:tcW w:w="790" w:type="dxa"/>
            <w:tcBorders/>
            <w:tcMar>
              <w:left w:w="40" w:type="dxa"/>
              <w:right w:w="40" w:type="dxa"/>
            </w:tcMar>
          </w:tcPr>
          <w:p>
            <w:pPr>
              <w:spacing w:before="20" w:after="20"/>
              <w:jc w:val="center"/>
            </w:pPr>
            <w:r>
              <w:rPr>
                <w:sz w:val="14"/>
                <w:szCs w:val="14"/>
              </w:rPr>
              <w:t xml:space="preserve">100</w:t>
            </w:r>
          </w:p>
        </w:tc>
      </w:tr>
      <w:tr>
        <w:trPr>
          <w:cantSplit/>
        </w:trPr>
        <w:tc>
          <w:tcPr>
            <w:tcW w:w="1150" w:type="dxa"/>
            <w:tcBorders>
              <w:bottom w:val="single" w:sz="8" w:space="0" w:color="000000"/>
            </w:tcBorders>
            <w:tcMar>
              <w:left w:w="40" w:type="dxa"/>
              <w:right w:w="40" w:type="dxa"/>
            </w:tcMar>
          </w:tcPr>
          <w:p>
            <w:pPr>
              <w:spacing w:before="20" w:after="20"/>
              <w:jc w:val="left"/>
            </w:pPr>
            <w:r>
              <w:rPr>
                <w:sz w:val="14"/>
                <w:szCs w:val="14"/>
              </w:rPr>
              <w:t xml:space="preserve">Full fine-tune</w:t>
            </w:r>
          </w:p>
        </w:tc>
        <w:tc>
          <w:tcPr>
            <w:tcW w:w="500" w:type="dxa"/>
            <w:tcBorders>
              <w:bottom w:val="single" w:sz="8" w:space="0" w:color="000000"/>
            </w:tcBorders>
            <w:tcMar>
              <w:left w:w="40" w:type="dxa"/>
              <w:right w:w="40" w:type="dxa"/>
            </w:tcMar>
          </w:tcPr>
          <w:p>
            <w:pPr>
              <w:spacing w:before="20" w:after="20"/>
              <w:jc w:val="center"/>
            </w:pPr>
            <w:r>
              <w:rPr>
                <w:sz w:val="14"/>
                <w:szCs w:val="14"/>
              </w:rPr>
              <w:t xml:space="preserve">1000</w:t>
            </w:r>
          </w:p>
        </w:tc>
        <w:tc>
          <w:tcPr>
            <w:tcW w:w="500" w:type="dxa"/>
            <w:tcBorders>
              <w:bottom w:val="single" w:sz="8" w:space="0" w:color="000000"/>
            </w:tcBorders>
            <w:tcMar>
              <w:left w:w="40" w:type="dxa"/>
              <w:right w:w="40" w:type="dxa"/>
            </w:tcMar>
          </w:tcPr>
          <w:p>
            <w:pPr>
              <w:spacing w:before="20" w:after="20"/>
              <w:jc w:val="center"/>
            </w:pPr>
            <w:r>
              <w:rPr>
                <w:sz w:val="14"/>
                <w:szCs w:val="14"/>
              </w:rPr>
              <w:t xml:space="preserve">1000</w:t>
            </w:r>
          </w:p>
        </w:tc>
        <w:tc>
          <w:tcPr>
            <w:tcW w:w="1100" w:type="dxa"/>
            <w:tcBorders>
              <w:bottom w:val="single" w:sz="8" w:space="0" w:color="000000"/>
            </w:tcBorders>
            <w:tcMar>
              <w:left w:w="40" w:type="dxa"/>
              <w:right w:w="40" w:type="dxa"/>
            </w:tcMar>
          </w:tcPr>
          <w:p>
            <w:pPr>
              <w:spacing w:before="20" w:after="20"/>
              <w:jc w:val="center"/>
            </w:pPr>
            <w:r>
              <w:rPr>
                <w:sz w:val="14"/>
                <w:szCs w:val="14"/>
              </w:rPr>
              <w:t xml:space="preserve">16.7→4.4</w:t>
            </w:r>
          </w:p>
        </w:tc>
        <w:tc>
          <w:tcPr>
            <w:tcW w:w="1000" w:type="dxa"/>
            <w:tcBorders>
              <w:bottom w:val="single" w:sz="8" w:space="0" w:color="000000"/>
            </w:tcBorders>
            <w:tcMar>
              <w:left w:w="40" w:type="dxa"/>
              <w:right w:w="40" w:type="dxa"/>
            </w:tcMar>
          </w:tcPr>
          <w:p>
            <w:pPr>
              <w:spacing w:before="20" w:after="20"/>
              <w:jc w:val="center"/>
            </w:pPr>
            <w:r>
              <w:rPr>
                <w:sz w:val="14"/>
                <w:szCs w:val="14"/>
              </w:rPr>
              <w:t xml:space="preserve">−1.4 (SD 1.8)</w:t>
            </w:r>
          </w:p>
        </w:tc>
        <w:tc>
          <w:tcPr>
            <w:tcW w:w="790" w:type="dxa"/>
            <w:tcBorders>
              <w:bottom w:val="single" w:sz="8" w:space="0" w:color="000000"/>
            </w:tcBorders>
            <w:tcMar>
              <w:left w:w="40" w:type="dxa"/>
              <w:right w:w="40" w:type="dxa"/>
            </w:tcMar>
          </w:tcPr>
          <w:p>
            <w:pPr>
              <w:spacing w:before="20" w:after="20"/>
              <w:jc w:val="center"/>
            </w:pPr>
            <w:r>
              <w:rPr>
                <w:sz w:val="14"/>
                <w:szCs w:val="14"/>
              </w:rPr>
              <w:t xml:space="preserve">5</w:t>
            </w:r>
          </w:p>
        </w:tc>
      </w:tr>
    </w:tbl>
    <w:p>
      <w:pPr>
        <w:spacing w:after="80"/>
      </w:pPr>
    </w:p>
    <w:p>
      <w:pPr>
        <w:pStyle w:val="Text"/>
      </w:pPr>
      <w:r>
        <w:t xml:space="preserve">Table III gives the cost, error reduction, and forgetting of the three mechanisms. The full fine-tune is the most effective and by far the most expensive: it lowers total error by 12.3 pp (95% CI 9.1 to 15.6) and raised it in only one of 20 interventions. The localized edit lowers total error by 5.1 pp (0.8 to 9.4) at a trainable-parameter cost 27 times smaller. Neither shows forgetting. Their retention changes of −1.1 and −1.4 pp are below two static facts and slightly negative, which is expected because the static facts are partly replayed. Fig. 5 summarizes the three columns of Table III.</w:t>
      </w:r>
    </w:p>
    <w:p>
      <w:pPr>
        <w:keepNext/>
        <w:spacing w:before="60" w:after="40"/>
        <w:jc w:val="center"/>
      </w:pPr>
      <w:r>
        <w:drawing>
          <wp:inline distT="0" distB="0" distL="0" distR="0">
            <wp:extent cx="3017520" cy="1089660"/>
            <wp:docPr id="205" name="Figure 5"/>
            <wp:cNvGraphicFramePr/>
            <a:graphic xmlns:a="http://schemas.openxmlformats.org/drawingml/2006/main">
              <a:graphicData uri="http://schemas.openxmlformats.org/drawingml/2006/picture">
                <pic:pic xmlns:pic="http://schemas.openxmlformats.org/drawingml/2006/picture">
                  <pic:nvPicPr>
                    <pic:cNvPr id="205" name="fig5.png"/>
                    <pic:cNvPicPr/>
                  </pic:nvPicPr>
                  <pic:blipFill>
                    <a:blip r:embed="rId104"/>
                    <a:stretch>
                      <a:fillRect/>
                    </a:stretch>
                  </pic:blipFill>
                  <pic:spPr>
                    <a:xfrm>
                      <a:off x="0" y="0"/>
                      <a:ext cx="3017520" cy="1089660"/>
                    </a:xfrm>
                    <a:prstGeom prst="rect">
                      <a:avLst/>
                    </a:prstGeom>
                  </pic:spPr>
                </pic:pic>
              </a:graphicData>
            </a:graphic>
          </wp:inline>
        </w:drawing>
      </w:r>
    </w:p>
    <w:p>
      <w:pPr>
        <w:pStyle w:val="FigureCaption"/>
        <w:spacing w:after="120"/>
      </w:pPr>
      <w:r>
        <w:rPr>
          <w:b/>
          <w:bCs/>
          <w:sz w:val="16"/>
          <w:szCs w:val="16"/>
        </w:rPr>
        <w:t xml:space="preserve">Fig. 5.</w:t>
      </w:r>
      <w:r>
        <w:rPr>
          <w:sz w:val="16"/>
          <w:szCs w:val="16"/>
        </w:rPr>
        <w:t xml:space="preserve"> </w:t>
      </w:r>
      <w:r>
        <w:rPr>
          <w:sz w:val="16"/>
          <w:szCs w:val="16"/>
        </w:rPr>
        <w:t xml:space="preserve">Measured cost, error reduction, and forgetting of the three parametric mechanisms in Table III; bars are means over ten seeds with one standard deviation, dots are single seeds. The unreplayed low-rank adapter is cheap but raises total error and retention error, and is therefore dominated by taking no action.</w:t>
      </w:r>
    </w:p>
    <w:p>
      <w:pPr>
        <w:pStyle w:val="Text"/>
      </w:pPr>
      <w:r>
        <w:t xml:space="preserve">The benefit of the edit depends on the state in which it is applied. After 10 days, when total error before repair averages 11.4 pp, the edit changed total error by +0.9 pp on average and raised it in six of ten seeds. After 30 days, at 22.0 pp, it lowered error by 11.1 pp and raised it in two of ten seeds. This is the pattern a control-limit policy exploits, doing nothing below a threshold and editing above it. Two maintenance epochs are too few to estimate the threshold, so we offer this as an observation and not as a test of Proposition 1. Two qualifications apply. First, the edit worked only with locality replay. In a pilot with one replayed fact per edited fact, the edit settings that fitted at least 0.9 of the edited facts still raised total error by 22 to 34 pp, because the update overwrote unchanged dynamic facts. Second, the fixed settings did not transfer evenly across seeds. The mean accuracy on the facts being repaired was 0.65 for the edit (0.15 to 1.00 across seeds) and 0.85 for the full fine-tune, against 0.95 and 0.99 on the pilot seed. We did not investigate the cause.</w:t>
      </w:r>
    </w:p>
    <w:p>
      <w:pPr>
        <w:pStyle w:val="Text"/>
      </w:pPr>
      <w:r>
        <w:t xml:space="preserve">The edit's cost advantage also depends on the accounting. Under the trainable-parameter accounting, the edit removes about eleven times more error per cost unit than the full fine-tune (0.135 versus 0.012 pp per unit). Under the forward-inclusive accounting, which also charges a forward pass through all parameters and a backward pass down to the edited layer, the edit costs 636 against 1000 and the ranking reverses (0.0079 versus 0.0123). Part of the difference is the replay: the edit processes more tokens than the full fine-tune (about 73,000 against 58,000). In all ten seeds, the full fine-tune was both more effective and more expensive than the edit under the trainable-parameter accounting, so the order assumed in condition (ii) of Assumption 6 holds for these two actions.</w:t>
      </w:r>
    </w:p>
    <w:p>
      <w:pPr>
        <w:pStyle w:val="Text"/>
      </w:pPr>
      <w:r>
        <w:t xml:space="preserve">The low-rank adapter does not follow the pattern. It is the cheapest of the three under both accountings, yet it raised total error from 16.7 to 94.5 pp, in every one of the 20 interventions, and raised static-suite error by 36.0 pp (SD 11.6). Accuracy on untouched facts fell to 46%, against about 95% after the edit and 98% after the full fine-tune. An unreplayed adapter trained at a comparatively high learning rate on drifting facts alone produces a displacement that need not be orthogonal to high-curvature directions of the pre-update loss, which is consistent with this damage. Low rank bounds the Euclidean size of </w:t>
      </w:r>
      <m:oMath>
        <m:r>
          <m:t>Δ</m:t>
        </m:r>
        <m:r>
          <m:t>θ</m:t>
        </m:r>
      </m:oMath>
      <w:r>
        <w:t xml:space="preserve"> and does not by itself constrain the Fisher-weighted norm: parameter efficiency is not low forgetting. The result is not confined to one learning rate. In the pilot, no setting between </w:t>
      </w:r>
      <m:oMath>
        <m:sSup>
          <m:e>
            <m:r>
              <m:t>10</m:t>
            </m:r>
          </m:e>
          <m:sup>
            <m:r>
              <m:rPr>
                <m:sty m:val="p"/>
              </m:rPr>
              <m:t>−</m:t>
            </m:r>
            <m:r>
              <m:t>4</m:t>
            </m:r>
          </m:sup>
        </m:sSup>
      </m:oMath>
      <w:r>
        <w:t xml:space="preserve"> and </w:t>
      </w:r>
      <m:oMath>
        <m:r>
          <m:t>2</m:t>
        </m:r>
        <m:r>
          <m:rPr>
            <m:sty m:val="p"/>
          </m:rPr>
          <m:t>×</m:t>
        </m:r>
        <m:sSup>
          <m:e>
            <m:r>
              <m:t>10</m:t>
            </m:r>
          </m:e>
          <m:sup>
            <m:r>
              <m:rPr>
                <m:sty m:val="p"/>
              </m:rPr>
              <m:t>−</m:t>
            </m:r>
            <m:r>
              <m:t>3</m:t>
            </m:r>
          </m:sup>
        </m:sSup>
      </m:oMath>
      <w:r>
        <w:t xml:space="preserve"> lowered total error at either maintenance day.</w:t>
      </w:r>
    </w:p>
    <w:p>
      <w:pPr>
        <w:pStyle w:val="Text"/>
      </w:pPr>
      <w:r>
        <w:t xml:space="preserve">The measured costs also break the nominal order of the action set, because the efficient action is cheaper than the edit instead of more expensive. The adapter is nevertheless harmless to the policy. It costs more than no action, forgets more, and leaves a higher next-state error, so it is dominated. Because </w:t>
      </w:r>
      <m:oMath>
        <m:r>
          <m:t>V</m:t>
        </m:r>
      </m:oMath>
      <w:r>
        <w:t xml:space="preserve"> is nondecreasing in </w:t>
      </w:r>
      <m:oMath>
        <m:r>
          <m:t>d</m:t>
        </m:r>
      </m:oMath>
      <w:r>
        <w:t xml:space="preserve">, an action whose one-step cost is higher and whose next state is stochastically larger than those of no action is never strictly preferred. Removing it leaves the ordered set {no-op, localized edit, full fine-tune}. We report the configuration as measured instead of tuning it away because it shows that the ordering in Proposition 1 is a property to be verified from a table of the form of Table III.</w:t>
      </w:r>
    </w:p>
    <w:p>
      <w:pPr>
        <w:pStyle w:val="Text"/>
      </w:pPr>
      <w:r>
        <w:t xml:space="preserve">The study validates the framework at the level of its inputs, on a small model with synthetic drift, replicated over ten seeds. Validation at the level of the scheduling decision itself, namely a closed-loop comparison of a periodic calendar with the control-limit policy of Proposition 1, and replication on larger models, is left open.</w:t>
      </w:r>
    </w:p>
    <w:p>
      <w:pPr>
        <w:pStyle w:val="Heading2"/>
        <w:numPr>
          <w:ilvl w:val="0"/>
          <w:numId w:val="0"/>
        </w:numPr>
        <w:ind w:left="0" w:firstLine="0"/>
      </w:pPr>
      <w:r>
        <w:t xml:space="preserve">E. Summary of Findings</w:t>
      </w:r>
    </w:p>
    <w:p>
      <w:pPr>
        <w:pStyle w:val="Text"/>
      </w:pPr>
      <w:r>
        <w:t xml:space="preserve">Six findings close the analysis. (1) Under Poisson arrivals the optimal interval grows with the square root of retrain cost and shrinks with the square root of drift intensity, while the tolerated staleness grows with both. (2) The adequacy of a memoryless threshold is hypothesized to depend on the ageing property of the arrival law, with opposite prescriptions for a long quiet interval. (3) Forgetting is a Fisher-weighted quadratic form; lower forgetting per event lowers the optimal cost rate and shortens the optimal interval. (4) Under Assumption 6, an optimal policy over a graduated menu is a nested control-limit rule. (5) Retrieval lengthens the parametric interval by </w:t>
      </w:r>
      <m:oMath>
        <m:rad>
          <m:radPr>
            <m:degHide m:val="on"/>
          </m:radPr>
          <m:deg/>
          <m:e>
            <m:r>
              <m:t>γ</m:t>
            </m:r>
            <m:r>
              <m:rPr>
                <m:sty m:val="p"/>
              </m:rPr>
              <m:t>/</m:t>
            </m:r>
            <m:d>
              <m:dPr>
                <m:begChr m:val="("/>
                <m:sepChr m:val=""/>
                <m:endChr m:val=")"/>
                <m:grow/>
              </m:dPr>
              <m:e>
                <m:r>
                  <m:t>γ</m:t>
                </m:r>
                <m:r>
                  <m:rPr>
                    <m:sty m:val="p"/>
                  </m:rPr>
                  <m:t>−</m:t>
                </m:r>
                <m:r>
                  <m:t>α</m:t>
                </m:r>
              </m:e>
            </m:d>
          </m:e>
        </m:rad>
      </m:oMath>
      <w:r>
        <w:t xml:space="preserve">, dominates parametric maintenance alone when (21) holds, and cannot substitute when drift is not retrievable. (6) On Pythia-70M over ten seeds, measured staleness grows affinely with a retrieval share equal to coverage (0.59 against 0.60), full fine-tuning is the most effective repair, a localized edit helps on average but only with a locality constraint and not at low staleness, and an unreplayed low-rank adapter is dominated by no action in every intervention.</w:t>
      </w:r>
    </w:p>
    <w:p>
      <w:pPr>
        <w:pStyle w:val="Heading1"/>
      </w:pPr>
      <w:r>
        <w:t xml:space="preserve">IX. Discussion</w:t>
      </w:r>
    </w:p>
    <w:p>
      <w:pPr>
        <w:pStyle w:val="Heading2"/>
        <w:numPr>
          <w:ilvl w:val="0"/>
          <w:numId w:val="0"/>
        </w:numPr>
        <w:ind w:left="0" w:firstLine="0"/>
      </w:pPr>
      <w:r>
        <w:t xml:space="preserve">A. Limitations and Further Work</w:t>
      </w:r>
    </w:p>
    <w:p>
      <w:pPr>
        <w:pStyle w:val="Text"/>
      </w:pPr>
      <w:r>
        <w:rPr>
          <w:i/>
          <w:iCs/>
        </w:rPr>
        <w:t xml:space="preserve">Identifiability.</w:t>
      </w:r>
      <w:r>
        <w:t xml:space="preserve"> The estimator of Section V-D needs repeated full cycles: staleness accumulating from a reset, a repair, and a subsequent reset. Organizations that repair very infrequently, or that change mechanism or scoring method between cycles, may lack the record needed to estimate </w:t>
      </w:r>
      <m:oMath>
        <m:r>
          <m:t>γ</m:t>
        </m:r>
      </m:oMath>
      <w:r>
        <w:t xml:space="preserve">, let alone the hazard structure. In that data-poor regime the qualitative square-root sensitivities are more useful than a point estimate of </w:t>
      </w:r>
      <m:oMath>
        <m:sSup>
          <m:e>
            <m:r>
              <m:t>η</m:t>
            </m:r>
          </m:e>
          <m:sup>
            <m:r>
              <m:rPr>
                <m:sty m:val="p"/>
              </m:rPr>
              <m:t>*</m:t>
            </m:r>
          </m:sup>
        </m:sSup>
      </m:oMath>
      <w:r>
        <w:t xml:space="preserve">.</w:t>
      </w:r>
    </w:p>
    <w:p>
      <w:pPr>
        <w:pStyle w:val="Text"/>
      </w:pPr>
      <w:r>
        <w:rPr>
          <w:i/>
          <w:iCs/>
        </w:rPr>
        <w:t xml:space="preserve">Scalar accuracy.</w:t>
      </w:r>
      <w:r>
        <w:t xml:space="preserve"> Assumption 1 collapses many task axes into one index. A vector-valued extension, with per-cluster staleness and selective actions of the kind knowledge editing already implements, would connect the model to multi-component maintenance with economic dependence [36] and would test the robustness of Proposition 1 under a genuinely multi-objective cost.</w:t>
      </w:r>
    </w:p>
    <w:p>
      <w:pPr>
        <w:pStyle w:val="Text"/>
      </w:pPr>
      <w:r>
        <w:rPr>
          <w:i/>
          <w:iCs/>
        </w:rPr>
        <w:t xml:space="preserve">Endogenous world.</w:t>
      </w:r>
      <w:r>
        <w:t xml:space="preserve"> Assumption 2 is already strained by the presence of model-generated text in subsequent training corpora. Letting the arrival rate </w:t>
      </w:r>
      <m:oMath>
        <m:r>
          <m:t>λ</m:t>
        </m:r>
      </m:oMath>
      <w:r>
        <w:t xml:space="preserve"> depend on cumulative prior deployment would link the renewal program to the literature on degradation induced by training on model-generated data [37].</w:t>
      </w:r>
    </w:p>
    <w:p>
      <w:pPr>
        <w:pStyle w:val="Text"/>
      </w:pPr>
      <w:r>
        <w:rPr>
          <w:i/>
          <w:iCs/>
        </w:rPr>
        <w:t xml:space="preserve">Nonstationary primitives.</w:t>
      </w:r>
      <w:r>
        <w:t xml:space="preserve"> If </w:t>
      </w:r>
      <m:oMath>
        <m:r>
          <m:t>β</m:t>
        </m:r>
      </m:oMath>
      <w:r>
        <w:t xml:space="preserve">, </w:t>
      </w:r>
      <m:oMath>
        <m:r>
          <m:t>λ</m:t>
        </m:r>
      </m:oMath>
      <w:r>
        <w:t xml:space="preserve">, and </w:t>
      </w:r>
      <m:oMath>
        <m:sSub>
          <m:e>
            <m:r>
              <m:t>μ</m:t>
            </m:r>
          </m:e>
          <m:sub>
            <m:r>
              <m:t>ξ</m:t>
            </m:r>
          </m:sub>
        </m:sSub>
      </m:oMath>
      <w:r>
        <w:t xml:space="preserve"> themselves drift, the fixed-parameter control problem becomes an adaptive-control problem, and the estimator of Section V-D must be replaced by an online filter.</w:t>
      </w:r>
    </w:p>
    <w:p>
      <w:pPr>
        <w:pStyle w:val="Text"/>
      </w:pPr>
      <w:r>
        <w:rPr>
          <w:i/>
          <w:iCs/>
        </w:rPr>
        <w:t xml:space="preserve">Empirical scope.</w:t>
      </w:r>
      <w:r>
        <w:t xml:space="preserve"> The measurement study is a controlled experiment on one 70-million-parameter checkpoint with synthetic drift, ten seeds, two maintenance epochs per seed, and a closed eight-way scoring rule. It confirms the model's inputs but not the scheduling result on a production horizon. Repair settings were fixed on one pilot seed and fitted the repaired facts unevenly on the reported seeds, and the localized edit includes a replay constraint that is a design choice. The cost comparison also depends on which floating-point accounting is used, and the edit's cost advantage over full fine-tuning largely disappears under the forward-inclusive accounting. The natural next step is to fit </w:t>
      </w:r>
      <m:oMath>
        <m:d>
          <m:dPr>
            <m:begChr m:val="("/>
            <m:sepChr m:val=""/>
            <m:endChr m:val=")"/>
            <m:grow/>
          </m:dPr>
          <m:e>
            <m:r>
              <m:t>γ</m:t>
            </m:r>
            <m:r>
              <m:rPr>
                <m:sty m:val="p"/>
              </m:rPr>
              <m:t>,</m:t>
            </m:r>
            <m:r>
              <m:t>α</m:t>
            </m:r>
            <m:r>
              <m:rPr>
                <m:sty m:val="p"/>
              </m:rPr>
              <m:t>,</m:t>
            </m:r>
            <m:r>
              <m:t>K</m:t>
            </m:r>
            <m:d>
              <m:dPr>
                <m:begChr m:val="("/>
                <m:sepChr m:val=""/>
                <m:endChr m:val=")"/>
                <m:grow/>
              </m:dPr>
              <m:e>
                <m:r>
                  <m:t>a</m:t>
                </m:r>
              </m:e>
            </m:d>
            <m:r>
              <m:rPr>
                <m:sty m:val="p"/>
              </m:rPr>
              <m:t>,</m:t>
            </m:r>
            <m:r>
              <m:t>F</m:t>
            </m:r>
            <m:d>
              <m:dPr>
                <m:begChr m:val="("/>
                <m:sepChr m:val=""/>
                <m:endChr m:val=")"/>
                <m:grow/>
              </m:dPr>
              <m:e>
                <m:r>
                  <m:t>a</m:t>
                </m:r>
              </m:e>
            </m:d>
            <m:r>
              <m:rPr>
                <m:sty m:val="p"/>
              </m:rPr>
              <m:t>,</m:t>
            </m:r>
            <m:r>
              <m:t>ρ</m:t>
            </m:r>
            <m:d>
              <m:dPr>
                <m:begChr m:val="("/>
                <m:sepChr m:val=""/>
                <m:endChr m:val=")"/>
                <m:grow/>
              </m:dPr>
              <m:e>
                <m:r>
                  <m:t>a</m:t>
                </m:r>
              </m:e>
            </m:d>
          </m:e>
        </m:d>
      </m:oMath>
      <w:r>
        <w:t xml:space="preserve"> on telemetry from a deployed system and to compare the control-limit policy with the incumbent calendar in closed loop.</w:t>
      </w:r>
    </w:p>
    <w:p>
      <w:pPr>
        <w:pStyle w:val="Heading2"/>
        <w:numPr>
          <w:ilvl w:val="0"/>
          <w:numId w:val="0"/>
        </w:numPr>
        <w:ind w:left="0" w:firstLine="0"/>
      </w:pPr>
      <w:r>
        <w:t xml:space="preserve">B. Operational Implications</w:t>
      </w:r>
    </w:p>
    <w:p>
      <w:pPr>
        <w:pStyle w:val="Text"/>
      </w:pPr>
      <w:r>
        <w:t xml:space="preserve">Four rules survive these limitations and do not require a precisely fitted </w:t>
      </w:r>
      <m:oMath>
        <m:sSup>
          <m:e>
            <m:r>
              <m:t>η</m:t>
            </m:r>
          </m:e>
          <m:sup>
            <m:r>
              <m:rPr>
                <m:sty m:val="p"/>
              </m:rPr>
              <m:t>*</m:t>
            </m:r>
          </m:sup>
        </m:sSup>
      </m:oMath>
      <w:r>
        <w:t xml:space="preserve">. First, set the cadence from measured </w:t>
      </w:r>
      <m:oMath>
        <m:r>
          <m:t>γ</m:t>
        </m:r>
      </m:oMath>
      <w:r>
        <w:t xml:space="preserve"> and </w:t>
      </w:r>
      <m:oMath>
        <m:sSub>
          <m:e>
            <m:r>
              <m:t>K</m:t>
            </m:r>
          </m:e>
          <m:sub>
            <m:r>
              <m:t>R</m:t>
            </m:r>
          </m:sub>
        </m:sSub>
      </m:oMath>
      <w:r>
        <w:t xml:space="preserve"> through the square-root formula; a tenfold rise in update cost justifies only about a threefold longer interval, and a fourfold rise in drift intensity justifies a halved interval, not a quartered one. Second, admit a mechanism to the menu only after measuring its cost, its error reduction, its forgetting on a fixed retention suite, and, for edits, its effect on untouched facts, in the format of Table III; a name such as low-rank adaptation does not guarantee a place in the order. Third, treat the forgetting tolerance </w:t>
      </w:r>
      <m:oMath>
        <m:r>
          <m:t>ε</m:t>
        </m:r>
      </m:oMath>
      <w:r>
        <w:t xml:space="preserve"> and the unit cost </w:t>
      </w:r>
      <m:oMath>
        <m:sSub>
          <m:e>
            <m:r>
              <m:t>c</m:t>
            </m:r>
          </m:e>
          <m:sub>
            <m:r>
              <m:t>F</m:t>
            </m:r>
          </m:sub>
        </m:sSub>
      </m:oMath>
      <w:r>
        <w:t xml:space="preserve"> as governance parameters rather than trainer hyperparameters; residual forgetting imposes a permanent flow that no cadence removes, so a cheap damaging repair can lose to an expensive safe one. Fourth, invest in retrieval when (21) holds and only for the share of drift the corpus actually covers; that coverage is an operational metric to be re-estimated, not a one-time design choice.</w:t>
      </w:r>
    </w:p>
    <w:p>
      <w:pPr>
        <w:pStyle w:val="Heading1"/>
      </w:pPr>
      <w:r>
        <w:t xml:space="preserve">X. Summary and Conclusions</w:t>
      </w:r>
    </w:p>
    <w:p>
      <w:pPr>
        <w:pStyle w:val="Text"/>
      </w:pPr>
      <w:r>
        <w:t xml:space="preserve">Maintaining a deployed LLM, that is, deciding when, how much, and by which mechanism to update it, is a CBM problem for a deteriorating system whose repair technology can itself damage the plant. Modeling staleness as a shock-and-wear process, forgetting as a Fisher-weighted imperfect repair, and mechanism selection as an average-cost MDP yields closed forms in restricted cases and a structural theorem for the graduated menu. The square-root law ties update cost and drift intensity to the economically optimal interval. The imperfect-repair comparative static says that safer repairs should be used more often. Retrieval is a compensator that substitutes only for the absorbable share of drift, and a closed-form test says when it is worth its upkeep. A small-model measurement study, replicated over ten seeds, confirms the affine and coverage assumptions and shows that the monotone action order is a measured property of mechanisms, not an article of faith: the localized edit pays off only with a locality constraint and at sufficient staleness, and an unreplayed low-rank adapter is dominated by no action.</w:t>
      </w:r>
    </w:p>
    <w:p>
      <w:pPr>
        <w:pStyle w:val="Text"/>
      </w:pPr>
      <w:r>
        <w:t xml:space="preserve">The central claim is methodological. Treating language-model upkeep as a stochastic control problem, instead of as separately tuned heuristics for drift detection, forgetting mitigation, and cost control, explains patterns already visible in cadence studies and produces falsifiable predictions that can be taken to production telemetry.</w:t>
      </w:r>
    </w:p>
    <w:p>
      <w:pPr>
        <w:pStyle w:val="Heading1"/>
      </w:pPr>
      <w:r>
        <w:t xml:space="preserve">Appendix A: Proof of Proposition 1</w:t>
      </w:r>
    </w:p>
    <w:p>
      <w:pPr>
        <w:pStyle w:val="Text"/>
      </w:pPr>
      <w:r>
        <w:t xml:space="preserve">Consider first the </w:t>
      </w:r>
      <m:oMath>
        <m:r>
          <m:t>α</m:t>
        </m:r>
      </m:oMath>
      <w:r>
        <w:t xml:space="preserve">-discounted problem with value iterates </w:t>
      </w:r>
      <m:oMath>
        <m:sSubSup>
          <m:e>
            <m:r>
              <m:t>V</m:t>
            </m:r>
          </m:e>
          <m:sub>
            <m:r>
              <m:t>n</m:t>
            </m:r>
            <m:r>
              <m:rPr>
                <m:sty m:val="p"/>
              </m:rPr>
              <m:t>+</m:t>
            </m:r>
            <m:r>
              <m:t>1</m:t>
            </m:r>
          </m:sub>
          <m:sup>
            <m:r>
              <m:t>α</m:t>
            </m:r>
          </m:sup>
        </m:sSubSup>
        <m:d>
          <m:dPr>
            <m:begChr m:val="("/>
            <m:sepChr m:val=""/>
            <m:endChr m:val=")"/>
            <m:grow/>
          </m:dPr>
          <m:e>
            <m:r>
              <m:t>d</m:t>
            </m:r>
            <m:r>
              <m:rPr>
                <m:sty m:val="p"/>
              </m:rPr>
              <m:t>,</m:t>
            </m:r>
            <m:r>
              <m:t>r</m:t>
            </m:r>
          </m:e>
        </m:d>
        <m:r>
          <m:rPr>
            <m:sty m:val="p"/>
          </m:rPr>
          <m:t>=</m:t>
        </m:r>
        <m:sSub>
          <m:e>
            <m:r>
              <m:rPr>
                <m:sty m:val="p"/>
              </m:rPr>
              <m:t>min</m:t>
            </m:r>
          </m:e>
          <m:sub>
            <m:r>
              <m:t>a</m:t>
            </m:r>
          </m:sub>
        </m:sSub>
        <m:r>
          <m:rPr>
            <m:sty m:val="p"/>
          </m:rPr>
          <m:t>{</m:t>
        </m:r>
        <m:r>
          <m:t>c</m:t>
        </m:r>
        <m:d>
          <m:dPr>
            <m:begChr m:val="("/>
            <m:sepChr m:val=""/>
            <m:endChr m:val=")"/>
            <m:grow/>
          </m:dPr>
          <m:e>
            <m:r>
              <m:t>d</m:t>
            </m:r>
            <m:r>
              <m:rPr>
                <m:sty m:val="p"/>
              </m:rPr>
              <m:t>,</m:t>
            </m:r>
            <m:r>
              <m:t>a</m:t>
            </m:r>
          </m:e>
        </m:d>
        <m:r>
          <m:rPr>
            <m:sty m:val="p"/>
          </m:rPr>
          <m:t>+</m:t>
        </m:r>
        <m:r>
          <m:t>α</m:t>
        </m:r>
        <m:r>
          <m:t> </m:t>
        </m:r>
        <m:r>
          <m:rPr>
            <m:scr m:val="double-struck"/>
            <m:sty m:val="p"/>
          </m:rPr>
          <m:t>E</m:t>
        </m:r>
        <m:d>
          <m:dPr>
            <m:begChr m:val="["/>
            <m:sepChr m:val=""/>
            <m:endChr m:val="]"/>
            <m:grow/>
          </m:dPr>
          <m:e>
            <m:sSubSup>
              <m:e>
                <m:r>
                  <m:t>V</m:t>
                </m:r>
              </m:e>
              <m:sub>
                <m:r>
                  <m:t>n</m:t>
                </m:r>
              </m:sub>
              <m:sup>
                <m:r>
                  <m:t>α</m:t>
                </m:r>
              </m:sup>
            </m:sSubSup>
            <m:d>
              <m:dPr>
                <m:begChr m:val="("/>
                <m:sepChr m:val=""/>
                <m:endChr m:val=")"/>
                <m:grow/>
              </m:dPr>
              <m:e>
                <m:r>
                  <m:t>d</m:t>
                </m:r>
                <m:r>
                  <m:rPr>
                    <m:sty m:val="p"/>
                  </m:rPr>
                  <m:t>′</m:t>
                </m:r>
                <m:r>
                  <m:rPr>
                    <m:sty m:val="p"/>
                  </m:rPr>
                  <m:t>,</m:t>
                </m:r>
                <m:r>
                  <m:t>r</m:t>
                </m:r>
                <m:r>
                  <m:rPr>
                    <m:sty m:val="p"/>
                  </m:rPr>
                  <m:t>′</m:t>
                </m:r>
              </m:e>
            </m:d>
            <m:r>
              <m:rPr>
                <m:sty m:val="p"/>
              </m:rPr>
              <m:t>∣</m:t>
            </m:r>
            <m:r>
              <m:t>d</m:t>
            </m:r>
            <m:r>
              <m:rPr>
                <m:sty m:val="p"/>
              </m:rPr>
              <m:t>,</m:t>
            </m:r>
            <m:r>
              <m:t>r</m:t>
            </m:r>
            <m:r>
              <m:rPr>
                <m:sty m:val="p"/>
              </m:rPr>
              <m:t>,</m:t>
            </m:r>
            <m:r>
              <m:t>a</m:t>
            </m:r>
          </m:e>
        </m:d>
        <m:r>
          <m:rPr>
            <m:sty m:val="p"/>
          </m:rPr>
          <m:t>}</m:t>
        </m:r>
      </m:oMath>
      <w:r>
        <w:t xml:space="preserve"> and </w:t>
      </w:r>
      <m:oMath>
        <m:sSubSup>
          <m:e>
            <m:r>
              <m:t>V</m:t>
            </m:r>
          </m:e>
          <m:sub>
            <m:r>
              <m:t>0</m:t>
            </m:r>
          </m:sub>
          <m:sup>
            <m:r>
              <m:t>α</m:t>
            </m:r>
          </m:sup>
        </m:sSubSup>
        <m:r>
          <m:rPr>
            <m:sty m:val="p"/>
          </m:rPr>
          <m:t>≡</m:t>
        </m:r>
        <m:r>
          <m:t>0</m:t>
        </m:r>
      </m:oMath>
      <w:r>
        <w:t xml:space="preserve">, where </w:t>
      </w:r>
      <m:oMath>
        <m:r>
          <m:t>α</m:t>
        </m:r>
        <m:r>
          <m:rPr>
            <m:sty m:val="p"/>
          </m:rPr>
          <m:t>∈</m:t>
        </m:r>
        <m:d>
          <m:dPr>
            <m:begChr m:val="("/>
            <m:sepChr m:val=""/>
            <m:endChr m:val=")"/>
            <m:grow/>
          </m:dPr>
          <m:e>
            <m:r>
              <m:t>0</m:t>
            </m:r>
            <m:r>
              <m:rPr>
                <m:sty m:val="p"/>
              </m:rPr>
              <m:t>,</m:t>
            </m:r>
            <m:r>
              <m:t>1</m:t>
            </m:r>
          </m:e>
        </m:d>
      </m:oMath>
      <w:r>
        <w:t xml:space="preserve"> denotes the discount factor in this appendix only. Suppose </w:t>
      </w:r>
      <m:oMath>
        <m:sSubSup>
          <m:e>
            <m:r>
              <m:t>V</m:t>
            </m:r>
          </m:e>
          <m:sub>
            <m:r>
              <m:t>n</m:t>
            </m:r>
          </m:sub>
          <m:sup>
            <m:r>
              <m:t>α</m:t>
            </m:r>
          </m:sup>
        </m:sSubSup>
      </m:oMath>
      <w:r>
        <w:t xml:space="preserve"> is nondecreasing in </w:t>
      </w:r>
      <m:oMath>
        <m:r>
          <m:t>d</m:t>
        </m:r>
      </m:oMath>
      <w:r>
        <w:t xml:space="preserve"> for every </w:t>
      </w:r>
      <m:oMath>
        <m:r>
          <m:t>r</m:t>
        </m:r>
      </m:oMath>
      <w:r>
        <w:t xml:space="preserve">. Because the regime evolves independently of </w:t>
      </w:r>
      <m:oMath>
        <m:d>
          <m:dPr>
            <m:begChr m:val="("/>
            <m:sepChr m:val=""/>
            <m:endChr m:val=")"/>
            <m:grow/>
          </m:dPr>
          <m:e>
            <m:r>
              <m:t>d</m:t>
            </m:r>
            <m:r>
              <m:rPr>
                <m:sty m:val="p"/>
              </m:rPr>
              <m:t>,</m:t>
            </m:r>
            <m:r>
              <m:t>a</m:t>
            </m:r>
          </m:e>
        </m:d>
      </m:oMath>
      <w:r>
        <w:t xml:space="preserve">, the expectation at fixed </w:t>
      </w:r>
      <m:oMath>
        <m:r>
          <m:t>r</m:t>
        </m:r>
        <m:r>
          <m:rPr>
            <m:sty m:val="p"/>
          </m:rPr>
          <m:t>′</m:t>
        </m:r>
      </m:oMath>
      <w:r>
        <w:t xml:space="preserve"> is a nonnegative combination of tail probabilities of </w:t>
      </w:r>
      <m:oMath>
        <m:r>
          <m:t>d</m:t>
        </m:r>
        <m:r>
          <m:rPr>
            <m:sty m:val="p"/>
          </m:rPr>
          <m:t>′</m:t>
        </m:r>
      </m:oMath>
      <w:r>
        <w:t xml:space="preserve">. By Assumption 6(i) those tails are nondecreasing in </w:t>
      </w:r>
      <m:oMath>
        <m:r>
          <m:t>d</m:t>
        </m:r>
      </m:oMath>
      <w:r>
        <w:t xml:space="preserve">, so the expectation is nondecreasing in </w:t>
      </w:r>
      <m:oMath>
        <m:r>
          <m:t>d</m:t>
        </m:r>
      </m:oMath>
      <w:r>
        <w:t xml:space="preserve">. The one-step cost is nondecreasing in </w:t>
      </w:r>
      <m:oMath>
        <m:r>
          <m:t>d</m:t>
        </m:r>
      </m:oMath>
      <w:r>
        <w:t xml:space="preserve">, hence so is </w:t>
      </w:r>
      <m:oMath>
        <m:sSubSup>
          <m:e>
            <m:r>
              <m:t>V</m:t>
            </m:r>
          </m:e>
          <m:sub>
            <m:r>
              <m:t>n</m:t>
            </m:r>
            <m:r>
              <m:rPr>
                <m:sty m:val="p"/>
              </m:rPr>
              <m:t>+</m:t>
            </m:r>
            <m:r>
              <m:t>1</m:t>
            </m:r>
          </m:sub>
          <m:sup>
            <m:r>
              <m:t>α</m:t>
            </m:r>
          </m:sup>
        </m:sSubSup>
      </m:oMath>
      <w:r>
        <w:t xml:space="preserve">. By induction every iterate is nondecreasing, and so is the discounted limit </w:t>
      </w:r>
      <m:oMath>
        <m:sSup>
          <m:e>
            <m:r>
              <m:t>V</m:t>
            </m:r>
          </m:e>
          <m:sup>
            <m:r>
              <m:t>α</m:t>
            </m:r>
          </m:sup>
        </m:sSup>
      </m:oMath>
      <w:r>
        <w:t xml:space="preserve">.</w:t>
      </w:r>
    </w:p>
    <w:p>
      <w:pPr>
        <w:pStyle w:val="Text"/>
      </w:pPr>
      <w:r>
        <w:t xml:space="preserve">For submodularity, Assumption 6(iii) states that </w:t>
      </w:r>
      <m:oMath>
        <m:r>
          <m:rPr>
            <m:scr m:val="double-struck"/>
            <m:sty m:val="p"/>
          </m:rPr>
          <m:t>E</m:t>
        </m:r>
        <m:d>
          <m:dPr>
            <m:begChr m:val="["/>
            <m:sepChr m:val=""/>
            <m:endChr m:val="]"/>
            <m:grow/>
          </m:dPr>
          <m:e>
            <m:r>
              <m:t>V</m:t>
            </m:r>
            <m:d>
              <m:dPr>
                <m:begChr m:val="("/>
                <m:sepChr m:val=""/>
                <m:endChr m:val=")"/>
                <m:grow/>
              </m:dPr>
              <m:e>
                <m:r>
                  <m:t>d</m:t>
                </m:r>
                <m:r>
                  <m:rPr>
                    <m:sty m:val="p"/>
                  </m:rPr>
                  <m:t>′</m:t>
                </m:r>
                <m:r>
                  <m:rPr>
                    <m:sty m:val="p"/>
                  </m:rPr>
                  <m:t>,</m:t>
                </m:r>
                <m:r>
                  <m:t>r</m:t>
                </m:r>
                <m:r>
                  <m:rPr>
                    <m:sty m:val="p"/>
                  </m:rPr>
                  <m:t>′</m:t>
                </m:r>
              </m:e>
            </m:d>
            <m:r>
              <m:rPr>
                <m:sty m:val="p"/>
              </m:rPr>
              <m:t>∣</m:t>
            </m:r>
            <m:r>
              <m:t>d</m:t>
            </m:r>
            <m:r>
              <m:rPr>
                <m:sty m:val="p"/>
              </m:rPr>
              <m:t>,</m:t>
            </m:r>
            <m:r>
              <m:t>r</m:t>
            </m:r>
            <m:r>
              <m:rPr>
                <m:sty m:val="p"/>
              </m:rPr>
              <m:t>,</m:t>
            </m:r>
            <m:r>
              <m:t>a</m:t>
            </m:r>
          </m:e>
        </m:d>
      </m:oMath>
      <w:r>
        <w:t xml:space="preserve"> is submodular in </w:t>
      </w:r>
      <m:oMath>
        <m:d>
          <m:dPr>
            <m:begChr m:val="("/>
            <m:sepChr m:val=""/>
            <m:endChr m:val=")"/>
            <m:grow/>
          </m:dPr>
          <m:e>
            <m:r>
              <m:t>d</m:t>
            </m:r>
            <m:r>
              <m:rPr>
                <m:sty m:val="p"/>
              </m:rPr>
              <m:t>,</m:t>
            </m:r>
            <m:r>
              <m:t>a</m:t>
            </m:r>
          </m:e>
        </m:d>
      </m:oMath>
      <w:r>
        <w:t xml:space="preserve"> whenever </w:t>
      </w:r>
      <m:oMath>
        <m:r>
          <m:t>V</m:t>
        </m:r>
      </m:oMath>
      <w:r>
        <w:t xml:space="preserve"> is nondecreasing. The one-step cost is separable in </w:t>
      </w:r>
      <m:oMath>
        <m:d>
          <m:dPr>
            <m:begChr m:val="("/>
            <m:sepChr m:val=""/>
            <m:endChr m:val=")"/>
            <m:grow/>
          </m:dPr>
          <m:e>
            <m:r>
              <m:t>d</m:t>
            </m:r>
            <m:r>
              <m:rPr>
                <m:sty m:val="p"/>
              </m:rPr>
              <m:t>,</m:t>
            </m:r>
            <m:r>
              <m:t>a</m:t>
            </m:r>
          </m:e>
        </m:d>
      </m:oMath>
      <w:r>
        <w:t xml:space="preserve"> and therefore modular. The Bellman operator thus preserves submodularity in </w:t>
      </w:r>
      <m:oMath>
        <m:d>
          <m:dPr>
            <m:begChr m:val="("/>
            <m:sepChr m:val=""/>
            <m:endChr m:val=")"/>
            <m:grow/>
          </m:dPr>
          <m:e>
            <m:r>
              <m:t>d</m:t>
            </m:r>
            <m:r>
              <m:rPr>
                <m:sty m:val="p"/>
              </m:rPr>
              <m:t>,</m:t>
            </m:r>
            <m:r>
              <m:t>a</m:t>
            </m:r>
          </m:e>
        </m:d>
      </m:oMath>
      <w:r>
        <w:t xml:space="preserve">, and Topkis's monotonicity theorem implies that the largest minimizer of the right-hand side is nondecreasing in </w:t>
      </w:r>
      <m:oMath>
        <m:r>
          <m:t>d</m:t>
        </m:r>
      </m:oMath>
      <w:r>
        <w:t xml:space="preserve">. This holds for every discounted problem. There are finitely many deterministic stationary policies, so some monotone policy is discount-optimal along a sequence </w:t>
      </w:r>
      <m:oMath>
        <m:sSub>
          <m:e>
            <m:r>
              <m:t>α</m:t>
            </m:r>
          </m:e>
          <m:sub>
            <m:r>
              <m:t>k</m:t>
            </m:r>
          </m:sub>
        </m:sSub>
        <m:r>
          <m:rPr>
            <m:sty m:val="p"/>
          </m:rPr>
          <m:t>→</m:t>
        </m:r>
        <m:r>
          <m:t>1</m:t>
        </m:r>
      </m:oMath>
      <w:r>
        <w:t xml:space="preserve">. Under the unichain assumption that policy is average-cost optimal, and </w:t>
      </w:r>
      <m:oMath>
        <m:r>
          <m:t>V</m:t>
        </m:r>
      </m:oMath>
      <w:r>
        <w:t xml:space="preserve"> inherits monotonicity from </w:t>
      </w:r>
      <m:oMath>
        <m:sSup>
          <m:e>
            <m:r>
              <m:t>V</m:t>
            </m:r>
          </m:e>
          <m:sup>
            <m:r>
              <m:t>α</m:t>
            </m:r>
          </m:sup>
        </m:sSup>
      </m:oMath>
      <w:r>
        <w:t xml:space="preserve"> [33, Ch. 8]. A monotone map from a totally ordered state coordinate to a totally ordered finite action set is characterized by the nested thresholds stated in the proposition.</w:t>
      </w:r>
    </w:p>
    <w:p>
      <w:pPr>
        <w:pStyle w:val="Text"/>
      </w:pPr>
      <w:r>
        <w:t xml:space="preserve">Condition (i) holds for (17) because </w:t>
      </w:r>
      <m:oMath>
        <m:r>
          <m:t>d</m:t>
        </m:r>
        <m:r>
          <m:rPr>
            <m:sty m:val="p"/>
          </m:rPr>
          <m:t>′</m:t>
        </m:r>
        <m:r>
          <m:rPr>
            <m:sty m:val="p"/>
          </m:rPr>
          <m:t>=</m:t>
        </m:r>
        <m:d>
          <m:dPr>
            <m:begChr m:val="("/>
            <m:sepChr m:val=""/>
            <m:endChr m:val=")"/>
            <m:grow/>
          </m:dPr>
          <m:e>
            <m:r>
              <m:t>1</m:t>
            </m:r>
            <m:r>
              <m:rPr>
                <m:sty m:val="p"/>
              </m:rPr>
              <m:t>−</m:t>
            </m:r>
            <m:r>
              <m:t>ρ</m:t>
            </m:r>
            <m:d>
              <m:dPr>
                <m:begChr m:val="("/>
                <m:sepChr m:val=""/>
                <m:endChr m:val=")"/>
                <m:grow/>
              </m:dPr>
              <m:e>
                <m:r>
                  <m:t>a</m:t>
                </m:r>
              </m:e>
            </m:d>
          </m:e>
        </m:d>
        <m:r>
          <m:t>d</m:t>
        </m:r>
        <m:r>
          <m:rPr>
            <m:sty m:val="p"/>
          </m:rPr>
          <m:t>+</m:t>
        </m:r>
        <m:r>
          <m:t>F</m:t>
        </m:r>
        <m:d>
          <m:dPr>
            <m:begChr m:val="("/>
            <m:sepChr m:val=""/>
            <m:endChr m:val=")"/>
            <m:grow/>
          </m:dPr>
          <m:e>
            <m:r>
              <m:t>a</m:t>
            </m:r>
          </m:e>
        </m:d>
        <m:r>
          <m:rPr>
            <m:sty m:val="p"/>
          </m:rPr>
          <m:t>+</m:t>
        </m:r>
        <m:r>
          <m:t>ζ</m:t>
        </m:r>
      </m:oMath>
      <w:r>
        <w:t xml:space="preserve"> is increasing in </w:t>
      </w:r>
      <m:oMath>
        <m:r>
          <m:t>d</m:t>
        </m:r>
      </m:oMath>
      <w:r>
        <w:t xml:space="preserve"> for each fixed </w:t>
      </w:r>
      <m:oMath>
        <m:d>
          <m:dPr>
            <m:begChr m:val="("/>
            <m:sepChr m:val=""/>
            <m:endChr m:val=")"/>
            <m:grow/>
          </m:dPr>
          <m:e>
            <m:r>
              <m:t>a</m:t>
            </m:r>
            <m:r>
              <m:rPr>
                <m:sty m:val="p"/>
              </m:rPr>
              <m:t>,</m:t>
            </m:r>
            <m:r>
              <m:t>ζ</m:t>
            </m:r>
          </m:e>
        </m:d>
      </m:oMath>
      <w:r>
        <w:t xml:space="preserve">. For replacement actions with </w:t>
      </w:r>
      <m:oMath>
        <m:r>
          <m:t>ρ</m:t>
        </m:r>
        <m:d>
          <m:dPr>
            <m:begChr m:val="("/>
            <m:sepChr m:val=""/>
            <m:endChr m:val=")"/>
            <m:grow/>
          </m:dPr>
          <m:e>
            <m:r>
              <m:t>a</m:t>
            </m:r>
          </m:e>
        </m:d>
        <m:r>
          <m:rPr>
            <m:sty m:val="p"/>
          </m:rPr>
          <m:t>=</m:t>
        </m:r>
        <m:r>
          <m:t>1</m:t>
        </m:r>
      </m:oMath>
      <w:r>
        <w:t xml:space="preserve">, </w:t>
      </w:r>
      <m:oMath>
        <m:r>
          <m:t>d</m:t>
        </m:r>
        <m:r>
          <m:rPr>
            <m:sty m:val="p"/>
          </m:rPr>
          <m:t>′</m:t>
        </m:r>
      </m:oMath>
      <w:r>
        <w:t xml:space="preserve"> does not depend on </w:t>
      </w:r>
      <m:oMath>
        <m:r>
          <m:t>d</m:t>
        </m:r>
      </m:oMath>
      <w:r>
        <w:t xml:space="preserve"> while the no-action transition is stochastically increasing in </w:t>
      </w:r>
      <m:oMath>
        <m:r>
          <m:t>d</m:t>
        </m:r>
      </m:oMath>
      <w:r>
        <w:t xml:space="preserve">, so the difference of expected continuations is nonincreasing in </w:t>
      </w:r>
      <m:oMath>
        <m:r>
          <m:t>d</m:t>
        </m:r>
      </m:oMath>
      <w:r>
        <w:t xml:space="preserve"> and Assumption 6(iii) holds for those pairs without further restrictions. </w:t>
      </w:r>
      <m:oMath>
        <m:r>
          <m:rPr>
            <m:sty m:val="p"/>
          </m:rPr>
          <m:t>◼</m:t>
        </m:r>
      </m:oMath>
    </w:p>
    <w:p>
      <w:pPr>
        <w:pStyle w:val="Heading1"/>
      </w:pPr>
      <w:r>
        <w:t xml:space="preserve">Appendix B: Notation</w:t>
      </w:r>
    </w:p>
    <w:p>
      <w:pPr>
        <w:pStyle w:val="TableTitle"/>
        <w:keepNext/>
        <w:spacing w:before="120"/>
      </w:pPr>
      <w:r>
        <w:rPr>
          <w:sz w:val="16"/>
          <w:szCs w:val="16"/>
        </w:rPr>
        <w:t xml:space="preserve">TABLE IV</w:t>
      </w:r>
    </w:p>
    <w:p>
      <w:pPr>
        <w:pStyle w:val="TableTitle"/>
        <w:keepNext/>
        <w:spacing w:after="60"/>
      </w:pPr>
      <w:r>
        <w:rPr>
          <w:sz w:val="16"/>
          <w:szCs w:val="16"/>
        </w:rPr>
        <w:t xml:space="preserve">Principal Symbols</w:t>
      </w:r>
    </w:p>
    <w:tbl>
      <w:tblPr>
        <w:tblW w:w="5040" w:type="dxa"/>
        <w:jc w:val="center"/>
        <w:tblLayout w:type="fixed"/>
      </w:tblPr>
      <w:tblGrid>
        <w:gridCol w:w="1500"/>
        <w:gridCol w:w="3540"/>
      </w:tblGrid>
      <w:tr>
        <w:trPr>
          <w:cantSplit/>
        </w:trPr>
        <w:tc>
          <w:tcPr>
            <w:tcW w:w="1500" w:type="dxa"/>
            <w:tcBorders>
              <w:top w:val="single" w:sz="8" w:space="0" w:color="000000"/>
              <w:bottom w:val="single" w:sz="4" w:space="0" w:color="000000"/>
            </w:tcBorders>
            <w:tcMar>
              <w:left w:w="40" w:type="dxa"/>
              <w:right w:w="40" w:type="dxa"/>
            </w:tcMar>
          </w:tcPr>
          <w:p>
            <w:pPr>
              <w:spacing w:before="20" w:after="20"/>
              <w:jc w:val="left"/>
            </w:pPr>
            <w:r>
              <w:rPr>
                <w:b/>
                <w:bCs/>
                <w:sz w:val="14"/>
                <w:szCs w:val="14"/>
              </w:rPr>
              <w:t xml:space="preserve">Symbol</w:t>
            </w:r>
          </w:p>
        </w:tc>
        <w:tc>
          <w:tcPr>
            <w:tcW w:w="3540" w:type="dxa"/>
            <w:tcBorders>
              <w:top w:val="single" w:sz="8" w:space="0" w:color="000000"/>
              <w:bottom w:val="single" w:sz="4" w:space="0" w:color="000000"/>
            </w:tcBorders>
            <w:tcMar>
              <w:left w:w="40" w:type="dxa"/>
              <w:right w:w="40" w:type="dxa"/>
            </w:tcMar>
          </w:tcPr>
          <w:p>
            <w:pPr>
              <w:spacing w:before="20" w:after="20"/>
              <w:jc w:val="left"/>
            </w:pPr>
            <w:r>
              <w:rPr>
                <w:b/>
                <w:bCs/>
                <w:sz w:val="14"/>
                <w:szCs w:val="14"/>
              </w:rPr>
              <w:t xml:space="preserve">Meaning</w:t>
            </w:r>
          </w:p>
        </w:tc>
      </w:tr>
      <w:tr>
        <w:trPr>
          <w:cantSplit/>
        </w:trPr>
        <w:tc>
          <w:tcPr>
            <w:tcW w:w="1500" w:type="dxa"/>
            <w:tcBorders/>
            <w:tcMar>
              <w:left w:w="40" w:type="dxa"/>
              <w:right w:w="40" w:type="dxa"/>
            </w:tcMar>
          </w:tcPr>
          <w:p>
            <w:pPr>
              <w:spacing w:before="20" w:after="20"/>
              <w:jc w:val="left"/>
            </w:pPr>
            <m:oMath>
              <m:r>
                <m:t>θ</m:t>
              </m:r>
              <m:d>
                <m:dPr>
                  <m:begChr m:val="("/>
                  <m:sepChr m:val=""/>
                  <m:endChr m:val=")"/>
                  <m:grow/>
                </m:dPr>
                <m:e>
                  <m:r>
                    <m:t>t</m:t>
                  </m:r>
                </m:e>
              </m:d>
              <m:r>
                <m:rPr>
                  <m:sty m:val="p"/>
                </m:rPr>
                <m:t>,</m:t>
              </m:r>
              <m:r>
                <m:t>Δ</m:t>
              </m:r>
              <m:r>
                <m:t>θ</m:t>
              </m:r>
            </m:oMath>
          </w:p>
        </w:tc>
        <w:tc>
          <w:tcPr>
            <w:tcW w:w="3540" w:type="dxa"/>
            <w:tcBorders/>
            <w:tcMar>
              <w:left w:w="40" w:type="dxa"/>
              <w:right w:w="40" w:type="dxa"/>
            </w:tcMar>
          </w:tcPr>
          <w:p>
            <w:pPr>
              <w:spacing w:before="20" w:after="20"/>
              <w:jc w:val="left"/>
            </w:pPr>
            <w:r>
              <w:rPr>
                <w:sz w:val="14"/>
                <w:szCs w:val="14"/>
              </w:rPr>
              <w:t xml:space="preserve">Parameter vector; displacement at a maintenance event</w:t>
            </w:r>
          </w:p>
        </w:tc>
      </w:tr>
      <w:tr>
        <w:trPr>
          <w:cantSplit/>
        </w:trPr>
        <w:tc>
          <w:tcPr>
            <w:tcW w:w="1500" w:type="dxa"/>
            <w:tcBorders/>
            <w:tcMar>
              <w:left w:w="40" w:type="dxa"/>
              <w:right w:w="40" w:type="dxa"/>
            </w:tcMar>
          </w:tcPr>
          <w:p>
            <w:pPr>
              <w:spacing w:before="20" w:after="20"/>
              <w:jc w:val="left"/>
            </w:pPr>
            <m:oMath>
              <m:r>
                <m:t>W</m:t>
              </m:r>
              <m:d>
                <m:dPr>
                  <m:begChr m:val="("/>
                  <m:sepChr m:val=""/>
                  <m:endChr m:val=")"/>
                  <m:grow/>
                </m:dPr>
                <m:e>
                  <m:r>
                    <m:t>t</m:t>
                  </m:r>
                </m:e>
              </m:d>
              <m:r>
                <m:rPr>
                  <m:sty m:val="p"/>
                </m:rPr>
                <m:t>,</m:t>
              </m:r>
              <m:r>
                <m:t>C</m:t>
              </m:r>
              <m:d>
                <m:dPr>
                  <m:begChr m:val="("/>
                  <m:sepChr m:val=""/>
                  <m:endChr m:val=")"/>
                  <m:grow/>
                </m:dPr>
                <m:e>
                  <m:r>
                    <m:t>t</m:t>
                  </m:r>
                </m:e>
              </m:d>
            </m:oMath>
          </w:p>
        </w:tc>
        <w:tc>
          <w:tcPr>
            <w:tcW w:w="3540" w:type="dxa"/>
            <w:tcBorders/>
            <w:tcMar>
              <w:left w:w="40" w:type="dxa"/>
              <w:right w:w="40" w:type="dxa"/>
            </w:tcMar>
          </w:tcPr>
          <w:p>
            <w:pPr>
              <w:spacing w:before="20" w:after="20"/>
              <w:jc w:val="left"/>
            </w:pPr>
            <w:r>
              <w:rPr>
                <w:sz w:val="14"/>
                <w:szCs w:val="14"/>
              </w:rPr>
              <w:t xml:space="preserve">World state; external retrieval corpus</w:t>
            </w:r>
          </w:p>
        </w:tc>
      </w:tr>
      <w:tr>
        <w:trPr>
          <w:cantSplit/>
        </w:trPr>
        <w:tc>
          <w:tcPr>
            <w:tcW w:w="1500" w:type="dxa"/>
            <w:tcBorders/>
            <w:tcMar>
              <w:left w:w="40" w:type="dxa"/>
              <w:right w:w="40" w:type="dxa"/>
            </w:tcMar>
          </w:tcPr>
          <w:p>
            <w:pPr>
              <w:spacing w:before="20" w:after="20"/>
              <w:jc w:val="left"/>
            </w:pPr>
            <m:oMath>
              <m:r>
                <m:t>A</m:t>
              </m:r>
              <m:r>
                <m:rPr>
                  <m:sty m:val="p"/>
                </m:rPr>
                <m:t>,</m:t>
              </m:r>
              <m:r>
                <m:t>S</m:t>
              </m:r>
              <m:r>
                <m:rPr>
                  <m:sty m:val="p"/>
                </m:rPr>
                <m:t>,</m:t>
              </m:r>
              <m:r>
                <m:t>F</m:t>
              </m:r>
              <m:r>
                <m:rPr>
                  <m:sty m:val="p"/>
                </m:rPr>
                <m:t>,</m:t>
              </m:r>
              <m:r>
                <m:t>D</m:t>
              </m:r>
            </m:oMath>
          </w:p>
        </w:tc>
        <w:tc>
          <w:tcPr>
            <w:tcW w:w="3540" w:type="dxa"/>
            <w:tcBorders/>
            <w:tcMar>
              <w:left w:w="40" w:type="dxa"/>
              <w:right w:w="40" w:type="dxa"/>
            </w:tcMar>
          </w:tcPr>
          <w:p>
            <w:pPr>
              <w:spacing w:before="20" w:after="20"/>
              <w:jc w:val="left"/>
            </w:pPr>
            <w:r>
              <w:rPr>
                <w:sz w:val="14"/>
                <w:szCs w:val="14"/>
              </w:rPr>
              <w:t xml:space="preserve">Freshness; staleness; forgetting; degradation index </w:t>
            </w:r>
            <m:oMath>
              <m:r>
                <m:t>S</m:t>
              </m:r>
              <m:r>
                <m:rPr>
                  <m:sty m:val="p"/>
                </m:rPr>
                <m:t>+</m:t>
              </m:r>
              <m:r>
                <m:t>F</m:t>
              </m:r>
            </m:oMath>
          </w:p>
        </w:tc>
      </w:tr>
      <w:tr>
        <w:trPr>
          <w:cantSplit/>
        </w:trPr>
        <w:tc>
          <w:tcPr>
            <w:tcW w:w="1500" w:type="dxa"/>
            <w:tcBorders/>
            <w:tcMar>
              <w:left w:w="40" w:type="dxa"/>
              <w:right w:w="40" w:type="dxa"/>
            </w:tcMar>
          </w:tcPr>
          <w:p>
            <w:pPr>
              <w:spacing w:before="20" w:after="20"/>
              <w:jc w:val="left"/>
            </w:pPr>
            <m:oMath>
              <m:r>
                <m:t>K</m:t>
              </m:r>
              <m:r>
                <m:rPr>
                  <m:sty m:val="p"/>
                </m:rPr>
                <m:t>,</m:t>
              </m:r>
              <m:r>
                <m:t>κ</m:t>
              </m:r>
              <m:r>
                <m:rPr>
                  <m:sty m:val="p"/>
                </m:rPr>
                <m:t>,</m:t>
              </m:r>
              <m:sSub>
                <m:e>
                  <m:r>
                    <m:t>k</m:t>
                  </m:r>
                </m:e>
                <m:sub>
                  <m:r>
                    <m:t>C</m:t>
                  </m:r>
                </m:sub>
              </m:sSub>
            </m:oMath>
          </w:p>
        </w:tc>
        <w:tc>
          <w:tcPr>
            <w:tcW w:w="3540" w:type="dxa"/>
            <w:tcBorders/>
            <w:tcMar>
              <w:left w:w="40" w:type="dxa"/>
              <w:right w:w="40" w:type="dxa"/>
            </w:tcMar>
          </w:tcPr>
          <w:p>
            <w:pPr>
              <w:spacing w:before="20" w:after="20"/>
              <w:jc w:val="left"/>
            </w:pPr>
            <w:r>
              <w:rPr>
                <w:sz w:val="14"/>
                <w:szCs w:val="14"/>
              </w:rPr>
              <w:t xml:space="preserve">Action cost; operations-to-money factor; retrieval upkeep rate</w:t>
            </w:r>
          </w:p>
        </w:tc>
      </w:tr>
      <w:tr>
        <w:trPr>
          <w:cantSplit/>
        </w:trPr>
        <w:tc>
          <w:tcPr>
            <w:tcW w:w="1500" w:type="dxa"/>
            <w:tcBorders/>
            <w:tcMar>
              <w:left w:w="40" w:type="dxa"/>
              <w:right w:w="40" w:type="dxa"/>
            </w:tcMar>
          </w:tcPr>
          <w:p>
            <w:pPr>
              <w:spacing w:before="20" w:after="20"/>
              <w:jc w:val="left"/>
            </w:pPr>
            <m:oMath>
              <m:sSub>
                <m:e>
                  <m:r>
                    <m:t>c</m:t>
                  </m:r>
                </m:e>
                <m:sub>
                  <m:r>
                    <m:t>L</m:t>
                  </m:r>
                </m:sub>
              </m:sSub>
              <m:r>
                <m:rPr>
                  <m:sty m:val="p"/>
                </m:rPr>
                <m:t>,</m:t>
              </m:r>
              <m:sSub>
                <m:e>
                  <m:r>
                    <m:t>c</m:t>
                  </m:r>
                </m:e>
                <m:sub>
                  <m:r>
                    <m:t>F</m:t>
                  </m:r>
                </m:sub>
              </m:sSub>
            </m:oMath>
          </w:p>
        </w:tc>
        <w:tc>
          <w:tcPr>
            <w:tcW w:w="3540" w:type="dxa"/>
            <w:tcBorders/>
            <w:tcMar>
              <w:left w:w="40" w:type="dxa"/>
              <w:right w:w="40" w:type="dxa"/>
            </w:tcMar>
          </w:tcPr>
          <w:p>
            <w:pPr>
              <w:spacing w:before="20" w:after="20"/>
              <w:jc w:val="left"/>
            </w:pPr>
            <w:r>
              <w:rPr>
                <w:sz w:val="14"/>
                <w:szCs w:val="14"/>
              </w:rPr>
              <w:t xml:space="preserve">Loss rate on degradation; one-off cost per unit of forgetting</w:t>
            </w:r>
          </w:p>
        </w:tc>
      </w:tr>
      <w:tr>
        <w:trPr>
          <w:cantSplit/>
        </w:trPr>
        <w:tc>
          <w:tcPr>
            <w:tcW w:w="1500" w:type="dxa"/>
            <w:tcBorders/>
            <w:tcMar>
              <w:left w:w="40" w:type="dxa"/>
              <w:right w:w="40" w:type="dxa"/>
            </w:tcMar>
          </w:tcPr>
          <w:p>
            <w:pPr>
              <w:spacing w:before="20" w:after="20"/>
              <w:jc w:val="left"/>
            </w:pPr>
            <m:oMath>
              <m:d>
                <m:dPr>
                  <m:begChr m:val="("/>
                  <m:sepChr m:val=""/>
                  <m:endChr m:val=")"/>
                  <m:grow/>
                </m:dPr>
                <m:e>
                  <m:sSub>
                    <m:e>
                      <m:r>
                        <m:t>T</m:t>
                      </m:r>
                    </m:e>
                    <m:sub>
                      <m:r>
                        <m:t>i</m:t>
                      </m:r>
                    </m:sub>
                  </m:sSub>
                  <m:r>
                    <m:rPr>
                      <m:sty m:val="p"/>
                    </m:rPr>
                    <m:t>,</m:t>
                  </m:r>
                  <m:sSub>
                    <m:e>
                      <m:r>
                        <m:t>ξ</m:t>
                      </m:r>
                    </m:e>
                    <m:sub>
                      <m:r>
                        <m:t>i</m:t>
                      </m:r>
                    </m:sub>
                  </m:sSub>
                </m:e>
              </m:d>
              <m:r>
                <m:rPr>
                  <m:sty m:val="p"/>
                </m:rPr>
                <m:t>,</m:t>
              </m:r>
              <m:r>
                <m:t>λ</m:t>
              </m:r>
              <m:r>
                <m:rPr>
                  <m:sty m:val="p"/>
                </m:rPr>
                <m:t>,</m:t>
              </m:r>
              <m:sSub>
                <m:e>
                  <m:r>
                    <m:t>μ</m:t>
                  </m:r>
                </m:e>
                <m:sub>
                  <m:r>
                    <m:t>ξ</m:t>
                  </m:r>
                </m:sub>
              </m:sSub>
              <m:r>
                <m:rPr>
                  <m:sty m:val="p"/>
                </m:rPr>
                <m:t>,</m:t>
              </m:r>
              <m:r>
                <m:t>β</m:t>
              </m:r>
              <m:r>
                <m:rPr>
                  <m:sty m:val="p"/>
                </m:rPr>
                <m:t>,</m:t>
              </m:r>
              <m:r>
                <m:t>γ</m:t>
              </m:r>
            </m:oMath>
          </w:p>
        </w:tc>
        <w:tc>
          <w:tcPr>
            <w:tcW w:w="3540" w:type="dxa"/>
            <w:tcBorders/>
            <w:tcMar>
              <w:left w:w="40" w:type="dxa"/>
              <w:right w:w="40" w:type="dxa"/>
            </w:tcMar>
          </w:tcPr>
          <w:p>
            <w:pPr>
              <w:spacing w:before="20" w:after="20"/>
              <w:jc w:val="left"/>
            </w:pPr>
            <w:r>
              <w:rPr>
                <w:sz w:val="14"/>
                <w:szCs w:val="14"/>
              </w:rPr>
              <w:t xml:space="preserve">Drift epochs and marks; Poisson rate; mean mark; leak; </w:t>
            </w:r>
            <m:oMath>
              <m:r>
                <m:t>γ</m:t>
              </m:r>
              <m:r>
                <m:rPr>
                  <m:sty m:val="p"/>
                </m:rPr>
                <m:t>=</m:t>
              </m:r>
              <m:r>
                <m:t>β</m:t>
              </m:r>
              <m:r>
                <m:rPr>
                  <m:sty m:val="p"/>
                </m:rPr>
                <m:t>+</m:t>
              </m:r>
              <m:r>
                <m:t>λ</m:t>
              </m:r>
              <m:sSub>
                <m:e>
                  <m:r>
                    <m:t>μ</m:t>
                  </m:r>
                </m:e>
                <m:sub>
                  <m:r>
                    <m:t>ξ</m:t>
                  </m:r>
                </m:sub>
              </m:sSub>
            </m:oMath>
          </w:p>
        </w:tc>
      </w:tr>
      <w:tr>
        <w:trPr>
          <w:cantSplit/>
        </w:trPr>
        <w:tc>
          <w:tcPr>
            <w:tcW w:w="1500" w:type="dxa"/>
            <w:tcBorders/>
            <w:tcMar>
              <w:left w:w="40" w:type="dxa"/>
              <w:right w:w="40" w:type="dxa"/>
            </w:tcMar>
          </w:tcPr>
          <w:p>
            <w:pPr>
              <w:spacing w:before="20" w:after="20"/>
              <w:jc w:val="left"/>
            </w:pPr>
            <m:oMath>
              <m:r>
                <m:t>m</m:t>
              </m:r>
              <m:d>
                <m:dPr>
                  <m:begChr m:val="("/>
                  <m:sepChr m:val=""/>
                  <m:endChr m:val=")"/>
                  <m:grow/>
                </m:dPr>
                <m:e>
                  <m:r>
                    <m:t>t</m:t>
                  </m:r>
                </m:e>
              </m:d>
              <m:r>
                <m:rPr>
                  <m:sty m:val="p"/>
                </m:rPr>
                <m:t>,</m:t>
              </m:r>
              <m:r>
                <m:t>η</m:t>
              </m:r>
              <m:r>
                <m:rPr>
                  <m:sty m:val="p"/>
                </m:rPr>
                <m:t>,</m:t>
              </m:r>
              <m:r>
                <m:t>t</m:t>
              </m:r>
              <m:d>
                <m:dPr>
                  <m:begChr m:val="("/>
                  <m:sepChr m:val=""/>
                  <m:endChr m:val=")"/>
                  <m:grow/>
                </m:dPr>
                <m:e>
                  <m:r>
                    <m:t>η</m:t>
                  </m:r>
                </m:e>
              </m:d>
            </m:oMath>
          </w:p>
        </w:tc>
        <w:tc>
          <w:tcPr>
            <w:tcW w:w="3540" w:type="dxa"/>
            <w:tcBorders/>
            <w:tcMar>
              <w:left w:w="40" w:type="dxa"/>
              <w:right w:w="40" w:type="dxa"/>
            </w:tcMar>
          </w:tcPr>
          <w:p>
            <w:pPr>
              <w:spacing w:before="20" w:after="20"/>
              <w:jc w:val="left"/>
            </w:pPr>
            <w:r>
              <w:rPr>
                <w:sz w:val="14"/>
                <w:szCs w:val="14"/>
              </w:rPr>
              <w:t xml:space="preserve">Renewal function; degradation threshold; cycle length</w:t>
            </w:r>
          </w:p>
        </w:tc>
      </w:tr>
      <w:tr>
        <w:trPr>
          <w:cantSplit/>
        </w:trPr>
        <w:tc>
          <w:tcPr>
            <w:tcW w:w="1500" w:type="dxa"/>
            <w:tcBorders/>
            <w:tcMar>
              <w:left w:w="40" w:type="dxa"/>
              <w:right w:w="40" w:type="dxa"/>
            </w:tcMar>
          </w:tcPr>
          <w:p>
            <w:pPr>
              <w:spacing w:before="20" w:after="20"/>
              <w:jc w:val="left"/>
            </w:pPr>
            <m:oMath>
              <m:r>
                <m:t>I</m:t>
              </m:r>
              <m:d>
                <m:dPr>
                  <m:begChr m:val="("/>
                  <m:sepChr m:val=""/>
                  <m:endChr m:val=")"/>
                  <m:grow/>
                </m:dPr>
                <m:e>
                  <m:r>
                    <m:t>θ</m:t>
                  </m:r>
                </m:e>
              </m:d>
              <m:r>
                <m:rPr>
                  <m:sty m:val="p"/>
                </m:rPr>
                <m:t>,</m:t>
              </m:r>
              <m:r>
                <m:t>ε</m:t>
              </m:r>
            </m:oMath>
          </w:p>
        </w:tc>
        <w:tc>
          <w:tcPr>
            <w:tcW w:w="3540" w:type="dxa"/>
            <w:tcBorders/>
            <w:tcMar>
              <w:left w:w="40" w:type="dxa"/>
              <w:right w:w="40" w:type="dxa"/>
            </w:tcMar>
          </w:tcPr>
          <w:p>
            <w:pPr>
              <w:spacing w:before="20" w:after="20"/>
              <w:jc w:val="left"/>
            </w:pPr>
            <w:r>
              <w:rPr>
                <w:sz w:val="14"/>
                <w:szCs w:val="14"/>
              </w:rPr>
              <w:t xml:space="preserve">Diagonal Fisher matrix on the old world; forgetting tolerance</w:t>
            </w:r>
          </w:p>
        </w:tc>
      </w:tr>
      <w:tr>
        <w:trPr>
          <w:cantSplit/>
        </w:trPr>
        <w:tc>
          <w:tcPr>
            <w:tcW w:w="1500" w:type="dxa"/>
            <w:tcBorders/>
            <w:tcMar>
              <w:left w:w="40" w:type="dxa"/>
              <w:right w:w="40" w:type="dxa"/>
            </w:tcMar>
          </w:tcPr>
          <w:p>
            <w:pPr>
              <w:spacing w:before="20" w:after="20"/>
              <w:jc w:val="left"/>
            </w:pPr>
            <m:oMath>
              <m:r>
                <m:t>π</m:t>
              </m:r>
              <m:r>
                <m:rPr>
                  <m:sty m:val="p"/>
                </m:rPr>
                <m:t>,</m:t>
              </m:r>
              <m:r>
                <m:t>ρ</m:t>
              </m:r>
              <m:d>
                <m:dPr>
                  <m:begChr m:val="("/>
                  <m:sepChr m:val=""/>
                  <m:endChr m:val=")"/>
                  <m:grow/>
                </m:dPr>
                <m:e>
                  <m:r>
                    <m:t>a</m:t>
                  </m:r>
                </m:e>
              </m:d>
              <m:r>
                <m:rPr>
                  <m:sty m:val="p"/>
                </m:rPr>
                <m:t>,</m:t>
              </m:r>
              <m:r>
                <m:t>ζ</m:t>
              </m:r>
            </m:oMath>
          </w:p>
        </w:tc>
        <w:tc>
          <w:tcPr>
            <w:tcW w:w="3540" w:type="dxa"/>
            <w:tcBorders/>
            <w:tcMar>
              <w:left w:w="40" w:type="dxa"/>
              <w:right w:w="40" w:type="dxa"/>
            </w:tcMar>
          </w:tcPr>
          <w:p>
            <w:pPr>
              <w:spacing w:before="20" w:after="20"/>
              <w:jc w:val="left"/>
            </w:pPr>
            <w:r>
              <w:rPr>
                <w:sz w:val="14"/>
                <w:szCs w:val="14"/>
              </w:rPr>
              <w:t xml:space="preserve">Plasticity; degradation-reduction fraction; epoch increment</w:t>
            </w:r>
          </w:p>
        </w:tc>
      </w:tr>
      <w:tr>
        <w:trPr>
          <w:cantSplit/>
        </w:trPr>
        <w:tc>
          <w:tcPr>
            <w:tcW w:w="1500" w:type="dxa"/>
            <w:tcBorders/>
            <w:tcMar>
              <w:left w:w="40" w:type="dxa"/>
              <w:right w:w="40" w:type="dxa"/>
            </w:tcMar>
          </w:tcPr>
          <w:p>
            <w:pPr>
              <w:spacing w:before="20" w:after="20"/>
              <w:jc w:val="left"/>
            </w:pPr>
            <m:oMath>
              <m:d>
                <m:dPr>
                  <m:begChr m:val="("/>
                  <m:sepChr m:val=""/>
                  <m:endChr m:val=")"/>
                  <m:grow/>
                </m:dPr>
                <m:e>
                  <m:r>
                    <m:t>d</m:t>
                  </m:r>
                  <m:r>
                    <m:rPr>
                      <m:sty m:val="p"/>
                    </m:rPr>
                    <m:t>,</m:t>
                  </m:r>
                  <m:r>
                    <m:t>r</m:t>
                  </m:r>
                </m:e>
              </m:d>
              <m:r>
                <m:rPr>
                  <m:sty m:val="p"/>
                </m:rPr>
                <m:t>,</m:t>
              </m:r>
              <m:r>
                <m:rPr>
                  <m:scr m:val="script"/>
                  <m:sty m:val="p"/>
                </m:rPr>
                <m:t>A</m:t>
              </m:r>
              <m:r>
                <m:rPr>
                  <m:sty m:val="p"/>
                </m:rPr>
                <m:t>,</m:t>
              </m:r>
              <m:r>
                <m:t>g</m:t>
              </m:r>
              <m:r>
                <m:rPr>
                  <m:sty m:val="p"/>
                </m:rPr>
                <m:t>,</m:t>
              </m:r>
              <m:r>
                <m:t>V</m:t>
              </m:r>
            </m:oMath>
          </w:p>
        </w:tc>
        <w:tc>
          <w:tcPr>
            <w:tcW w:w="3540" w:type="dxa"/>
            <w:tcBorders/>
            <w:tcMar>
              <w:left w:w="40" w:type="dxa"/>
              <w:right w:w="40" w:type="dxa"/>
            </w:tcMar>
          </w:tcPr>
          <w:p>
            <w:pPr>
              <w:spacing w:before="20" w:after="20"/>
              <w:jc w:val="left"/>
            </w:pPr>
            <w:r>
              <w:rPr>
                <w:sz w:val="14"/>
                <w:szCs w:val="14"/>
              </w:rPr>
              <w:t xml:space="preserve">MDP state; action set; average cost; relative value</w:t>
            </w:r>
          </w:p>
        </w:tc>
      </w:tr>
      <w:tr>
        <w:trPr>
          <w:cantSplit/>
        </w:trPr>
        <w:tc>
          <w:tcPr>
            <w:tcW w:w="1500" w:type="dxa"/>
            <w:tcBorders>
              <w:bottom w:val="single" w:sz="8" w:space="0" w:color="000000"/>
            </w:tcBorders>
            <w:tcMar>
              <w:left w:w="40" w:type="dxa"/>
              <w:right w:w="40" w:type="dxa"/>
            </w:tcMar>
          </w:tcPr>
          <w:p>
            <w:pPr>
              <w:spacing w:before="20" w:after="20"/>
              <w:jc w:val="left"/>
            </w:pPr>
            <m:oMath>
              <m:r>
                <m:t>R</m:t>
              </m:r>
              <m:r>
                <m:rPr>
                  <m:sty m:val="p"/>
                </m:rPr>
                <m:t>,</m:t>
              </m:r>
              <m:r>
                <m:t>α</m:t>
              </m:r>
              <m:r>
                <m:rPr>
                  <m:sty m:val="p"/>
                </m:rPr>
                <m:t>,</m:t>
              </m:r>
              <m:sSub>
                <m:e>
                  <m:r>
                    <m:t>S</m:t>
                  </m:r>
                </m:e>
                <m:sub>
                  <m:r>
                    <m:rPr>
                      <m:sty m:val="p"/>
                    </m:rPr>
                    <m:t>e</m:t>
                  </m:r>
                  <m:r>
                    <m:rPr>
                      <m:sty m:val="p"/>
                    </m:rPr>
                    <m:t>f</m:t>
                  </m:r>
                  <m:r>
                    <m:rPr>
                      <m:sty m:val="p"/>
                    </m:rPr>
                    <m:t>f</m:t>
                  </m:r>
                </m:sub>
              </m:sSub>
            </m:oMath>
          </w:p>
        </w:tc>
        <w:tc>
          <w:tcPr>
            <w:tcW w:w="3540" w:type="dxa"/>
            <w:tcBorders>
              <w:bottom w:val="single" w:sz="8" w:space="0" w:color="000000"/>
            </w:tcBorders>
            <w:tcMar>
              <w:left w:w="40" w:type="dxa"/>
              <w:right w:w="40" w:type="dxa"/>
            </w:tcMar>
          </w:tcPr>
          <w:p>
            <w:pPr>
              <w:spacing w:before="20" w:after="20"/>
              <w:jc w:val="left"/>
            </w:pPr>
            <w:r>
              <w:rPr>
                <w:sz w:val="14"/>
                <w:szCs w:val="14"/>
              </w:rPr>
              <w:t xml:space="preserve">Retrieval reduction; absorbed drift rate; effective staleness</w:t>
            </w:r>
          </w:p>
        </w:tc>
      </w:tr>
    </w:tbl>
    <w:p>
      <w:pPr>
        <w:spacing w:after="80"/>
      </w:pPr>
    </w:p>
    <w:p>
      <w:pPr>
        <w:pStyle w:val="Heading1"/>
      </w:pPr>
      <w:r>
        <w:t xml:space="preserve">Acknowledgment</w:t>
      </w:r>
    </w:p>
    <w:p>
      <w:pPr>
        <w:pStyle w:val="Text"/>
      </w:pPr>
      <w:r>
        <w:t xml:space="preserve">This research did not receive any specific grant from funding agencies in the public, commercial, or not-for-profit sectors. The author used an AI assistant (Claude, Anthropic) to edit and restructure the language of the manuscript and to write and run the experiment and analysis code, including runs on a rented cloud GPU. The author reviewed and edited all AI-generated content and takes full responsibility for the content of this article.</w:t>
      </w:r>
    </w:p>
    <w:p>
      <w:pPr>
        <w:pStyle w:val="Heading1"/>
      </w:pPr>
      <w:r>
        <w:t xml:space="preserve">CRediT Authorship Contribution Statement</w:t>
      </w:r>
    </w:p>
    <w:p>
      <w:pPr>
        <w:pStyle w:val="Text"/>
      </w:pPr>
      <w:r>
        <w:t xml:space="preserve">Ook Lee: Conceptualization, Methodology, Formal analysis, Investigation, Writing – original draft, Writing – review and editing.</w:t>
      </w:r>
    </w:p>
    <w:p>
      <w:pPr>
        <w:pStyle w:val="Heading1"/>
      </w:pPr>
      <w:r>
        <w:t xml:space="preserve">Declaration of Competing Interest</w:t>
      </w:r>
    </w:p>
    <w:p>
      <w:pPr>
        <w:pStyle w:val="Text"/>
      </w:pPr>
      <w:r>
        <w:t xml:space="preserve">The author declares that he has no known competing financial interests or personal relationships that could have appeared to influence the work reported in this paper.</w:t>
      </w:r>
    </w:p>
    <w:p>
      <w:pPr>
        <w:pStyle w:val="Heading1"/>
      </w:pPr>
      <w:r>
        <w:t xml:space="preserve">Data Availability</w:t>
      </w:r>
    </w:p>
    <w:p>
      <w:pPr>
        <w:pStyle w:val="Text"/>
      </w:pPr>
      <w:r>
        <w:t xml:space="preserve">The measurement study uses the public EleutherAI Pythia-70M checkpoint. The code that generates the synthetic world and runs the training, drift simulation, and scoring, the per-seed result files for all ten reported seeds, and the pilot results used to fix the repair settings will be deposited in a public archive, and the DOI will be inserted before publication. No proprietary organizational telemetry is used.</w:t>
      </w:r>
    </w:p>
    <w:p>
      <w:pPr>
        <w:pStyle w:val="ReferenceHead"/>
        <w:numPr>
          <w:ilvl w:val="0"/>
          <w:numId w:val="0"/>
        </w:numPr>
      </w:pPr>
      <w:r>
        <w:t xml:space="preserve">References</w:t>
      </w:r>
    </w:p>
    <w:p>
      <w:pPr>
        <w:pStyle w:val="References"/>
        <w:numPr>
          <w:ilvl w:val="0"/>
          <w:numId w:val="0"/>
        </w:numPr>
        <w:tabs>
          <w:tab w:val="left" w:pos="360"/>
        </w:tabs>
        <w:ind w:left="360" w:hanging="360"/>
      </w:pPr>
      <w:r>
        <w:rPr>
          <w:sz w:val="16"/>
          <w:szCs w:val="16"/>
        </w:rPr>
        <w:t xml:space="preserve">[1]	</w:t>
      </w:r>
      <w:r>
        <w:rPr>
          <w:sz w:val="16"/>
          <w:szCs w:val="16"/>
        </w:rPr>
        <w:t xml:space="preserve">H. Wang, “A survey of maintenance policies of deteriorating systems,” </w:t>
      </w:r>
      <w:r>
        <w:rPr>
          <w:i/>
          <w:iCs/>
          <w:sz w:val="16"/>
          <w:szCs w:val="16"/>
        </w:rPr>
        <w:t xml:space="preserve">Eur. J. Oper. Res.</w:t>
      </w:r>
      <w:r>
        <w:rPr>
          <w:sz w:val="16"/>
          <w:szCs w:val="16"/>
        </w:rPr>
        <w:t xml:space="preserve">, vol. 139, no. 3, pp. 469–489, 2002.</w:t>
      </w:r>
    </w:p>
    <w:p>
      <w:pPr>
        <w:pStyle w:val="References"/>
        <w:numPr>
          <w:ilvl w:val="0"/>
          <w:numId w:val="0"/>
        </w:numPr>
        <w:tabs>
          <w:tab w:val="left" w:pos="360"/>
        </w:tabs>
        <w:ind w:left="360" w:hanging="360"/>
      </w:pPr>
      <w:r>
        <w:rPr>
          <w:sz w:val="16"/>
          <w:szCs w:val="16"/>
        </w:rPr>
        <w:t xml:space="preserve">[2]	</w:t>
      </w:r>
      <w:r>
        <w:rPr>
          <w:sz w:val="16"/>
          <w:szCs w:val="16"/>
        </w:rPr>
        <w:t xml:space="preserve">A. K. S. Jardine, D. Lin, and D. Banjevic, “A review on machinery diagnostics and prognostics implementing condition-based maintenance,” </w:t>
      </w:r>
      <w:r>
        <w:rPr>
          <w:i/>
          <w:iCs/>
          <w:sz w:val="16"/>
          <w:szCs w:val="16"/>
        </w:rPr>
        <w:t xml:space="preserve">Mech. Syst. Signal Process.</w:t>
      </w:r>
      <w:r>
        <w:rPr>
          <w:sz w:val="16"/>
          <w:szCs w:val="16"/>
        </w:rPr>
        <w:t xml:space="preserve">, vol. 20, no. 7, pp. 1483–1510, 2006.</w:t>
      </w:r>
    </w:p>
    <w:p>
      <w:pPr>
        <w:pStyle w:val="References"/>
        <w:numPr>
          <w:ilvl w:val="0"/>
          <w:numId w:val="0"/>
        </w:numPr>
        <w:tabs>
          <w:tab w:val="left" w:pos="360"/>
        </w:tabs>
        <w:ind w:left="360" w:hanging="360"/>
      </w:pPr>
      <w:r>
        <w:rPr>
          <w:sz w:val="16"/>
          <w:szCs w:val="16"/>
        </w:rPr>
        <w:t xml:space="preserve">[3]	</w:t>
      </w:r>
      <w:r>
        <w:rPr>
          <w:sz w:val="16"/>
          <w:szCs w:val="16"/>
        </w:rPr>
        <w:t xml:space="preserve">J. M. van Noortwijk, “A survey of the application of gamma processes in maintenance,” </w:t>
      </w:r>
      <w:r>
        <w:rPr>
          <w:i/>
          <w:iCs/>
          <w:sz w:val="16"/>
          <w:szCs w:val="16"/>
        </w:rPr>
        <w:t xml:space="preserve">Rel. Eng. Syst. Saf.</w:t>
      </w:r>
      <w:r>
        <w:rPr>
          <w:sz w:val="16"/>
          <w:szCs w:val="16"/>
        </w:rPr>
        <w:t xml:space="preserve">, vol. 94, no. 1, pp. 2–21, 2009.</w:t>
      </w:r>
    </w:p>
    <w:p>
      <w:pPr>
        <w:pStyle w:val="References"/>
        <w:numPr>
          <w:ilvl w:val="0"/>
          <w:numId w:val="0"/>
        </w:numPr>
        <w:tabs>
          <w:tab w:val="left" w:pos="360"/>
        </w:tabs>
        <w:ind w:left="360" w:hanging="360"/>
      </w:pPr>
      <w:r>
        <w:rPr>
          <w:sz w:val="16"/>
          <w:szCs w:val="16"/>
        </w:rPr>
        <w:t xml:space="preserve">[4]	</w:t>
      </w:r>
      <w:r>
        <w:rPr>
          <w:sz w:val="16"/>
          <w:szCs w:val="16"/>
        </w:rPr>
        <w:t xml:space="preserve">H. Pham and H. Wang, “Imperfect maintenance,” </w:t>
      </w:r>
      <w:r>
        <w:rPr>
          <w:i/>
          <w:iCs/>
          <w:sz w:val="16"/>
          <w:szCs w:val="16"/>
        </w:rPr>
        <w:t xml:space="preserve">Eur. J. Oper. Res.</w:t>
      </w:r>
      <w:r>
        <w:rPr>
          <w:sz w:val="16"/>
          <w:szCs w:val="16"/>
        </w:rPr>
        <w:t xml:space="preserve">, vol. 94, no. 3, pp. 425–438, 1996.</w:t>
      </w:r>
    </w:p>
    <w:p>
      <w:pPr>
        <w:pStyle w:val="References"/>
        <w:numPr>
          <w:ilvl w:val="0"/>
          <w:numId w:val="0"/>
        </w:numPr>
        <w:tabs>
          <w:tab w:val="left" w:pos="360"/>
        </w:tabs>
        <w:ind w:left="360" w:hanging="360"/>
      </w:pPr>
      <w:r>
        <w:rPr>
          <w:sz w:val="16"/>
          <w:szCs w:val="16"/>
        </w:rPr>
        <w:t xml:space="preserve">[5]	</w:t>
      </w:r>
      <w:r>
        <w:rPr>
          <w:sz w:val="16"/>
          <w:szCs w:val="16"/>
        </w:rPr>
        <w:t xml:space="preserve">T. Nakagawa and K. Yasui, “Optimum policies for a system with imperfect maintenance,” </w:t>
      </w:r>
      <w:r>
        <w:rPr>
          <w:i/>
          <w:iCs/>
          <w:sz w:val="16"/>
          <w:szCs w:val="16"/>
        </w:rPr>
        <w:t xml:space="preserve">IEEE Trans. Rel.</w:t>
      </w:r>
      <w:r>
        <w:rPr>
          <w:sz w:val="16"/>
          <w:szCs w:val="16"/>
        </w:rPr>
        <w:t xml:space="preserve">, vol. R-36, no. 5, pp. 631–633, Dec. 1987.</w:t>
      </w:r>
    </w:p>
    <w:p>
      <w:pPr>
        <w:pStyle w:val="References"/>
        <w:numPr>
          <w:ilvl w:val="0"/>
          <w:numId w:val="0"/>
        </w:numPr>
        <w:tabs>
          <w:tab w:val="left" w:pos="360"/>
        </w:tabs>
        <w:ind w:left="360" w:hanging="360"/>
      </w:pPr>
      <w:r>
        <w:rPr>
          <w:sz w:val="16"/>
          <w:szCs w:val="16"/>
        </w:rPr>
        <w:t xml:space="preserve">[6]	</w:t>
      </w:r>
      <w:r>
        <w:rPr>
          <w:sz w:val="16"/>
          <w:szCs w:val="16"/>
        </w:rPr>
        <w:t xml:space="preserve">Y. Liu and H.-Z. Huang, “Optimal selective maintenance strategy for multi-state systems under imperfect maintenance,” </w:t>
      </w:r>
      <w:r>
        <w:rPr>
          <w:i/>
          <w:iCs/>
          <w:sz w:val="16"/>
          <w:szCs w:val="16"/>
        </w:rPr>
        <w:t xml:space="preserve">IEEE Trans. Rel.</w:t>
      </w:r>
      <w:r>
        <w:rPr>
          <w:sz w:val="16"/>
          <w:szCs w:val="16"/>
        </w:rPr>
        <w:t xml:space="preserve">, vol. 59, no. 2, pp. 356–367, Jun. 2010.</w:t>
      </w:r>
    </w:p>
    <w:p>
      <w:pPr>
        <w:pStyle w:val="References"/>
        <w:numPr>
          <w:ilvl w:val="0"/>
          <w:numId w:val="0"/>
        </w:numPr>
        <w:tabs>
          <w:tab w:val="left" w:pos="360"/>
        </w:tabs>
        <w:ind w:left="360" w:hanging="360"/>
      </w:pPr>
      <w:r>
        <w:rPr>
          <w:sz w:val="16"/>
          <w:szCs w:val="16"/>
        </w:rPr>
        <w:t xml:space="preserve">[7]	</w:t>
      </w:r>
      <w:r>
        <w:rPr>
          <w:sz w:val="16"/>
          <w:szCs w:val="16"/>
        </w:rPr>
        <w:t xml:space="preserve">K. Rafiee, Q. Feng, and D. W. Coit, “Condition-based maintenance for repairable deteriorating systems subject to a generalized mixed shock model,” </w:t>
      </w:r>
      <w:r>
        <w:rPr>
          <w:i/>
          <w:iCs/>
          <w:sz w:val="16"/>
          <w:szCs w:val="16"/>
        </w:rPr>
        <w:t xml:space="preserve">IEEE Trans. Rel.</w:t>
      </w:r>
      <w:r>
        <w:rPr>
          <w:sz w:val="16"/>
          <w:szCs w:val="16"/>
        </w:rPr>
        <w:t xml:space="preserve">, vol. 64, no. 4, pp. 1164–1174, Dec. 2015.</w:t>
      </w:r>
    </w:p>
    <w:p>
      <w:pPr>
        <w:pStyle w:val="References"/>
        <w:numPr>
          <w:ilvl w:val="0"/>
          <w:numId w:val="0"/>
        </w:numPr>
        <w:tabs>
          <w:tab w:val="left" w:pos="360"/>
        </w:tabs>
        <w:ind w:left="360" w:hanging="360"/>
      </w:pPr>
      <w:r>
        <w:rPr>
          <w:sz w:val="16"/>
          <w:szCs w:val="16"/>
        </w:rPr>
        <w:t xml:space="preserve">[8]	</w:t>
      </w:r>
      <w:r>
        <w:rPr>
          <w:sz w:val="16"/>
          <w:szCs w:val="16"/>
        </w:rPr>
        <w:t xml:space="preserve">Y. Bao, X. Sun, and K. S. Trivedi, “A workload-based analysis of software aging, and rejuvenation,” </w:t>
      </w:r>
      <w:r>
        <w:rPr>
          <w:i/>
          <w:iCs/>
          <w:sz w:val="16"/>
          <w:szCs w:val="16"/>
        </w:rPr>
        <w:t xml:space="preserve">IEEE Trans. Rel.</w:t>
      </w:r>
      <w:r>
        <w:rPr>
          <w:sz w:val="16"/>
          <w:szCs w:val="16"/>
        </w:rPr>
        <w:t xml:space="preserve">, vol. 54, no. 3, pp. 541–548, Sep. 2005.</w:t>
      </w:r>
    </w:p>
    <w:p>
      <w:pPr>
        <w:pStyle w:val="References"/>
        <w:numPr>
          <w:ilvl w:val="0"/>
          <w:numId w:val="0"/>
        </w:numPr>
        <w:tabs>
          <w:tab w:val="left" w:pos="360"/>
        </w:tabs>
        <w:ind w:left="360" w:hanging="360"/>
      </w:pPr>
      <w:r>
        <w:rPr>
          <w:sz w:val="16"/>
          <w:szCs w:val="16"/>
        </w:rPr>
        <w:t xml:space="preserve">[9]	</w:t>
      </w:r>
      <w:r>
        <w:rPr>
          <w:sz w:val="16"/>
          <w:szCs w:val="16"/>
        </w:rPr>
        <w:t xml:space="preserve">M. Grottke, L. Li, K. Vaidyanathan, and K. S. Trivedi, “Analysis of software aging in a web server,” </w:t>
      </w:r>
      <w:r>
        <w:rPr>
          <w:i/>
          <w:iCs/>
          <w:sz w:val="16"/>
          <w:szCs w:val="16"/>
        </w:rPr>
        <w:t xml:space="preserve">IEEE Trans. Rel.</w:t>
      </w:r>
      <w:r>
        <w:rPr>
          <w:sz w:val="16"/>
          <w:szCs w:val="16"/>
        </w:rPr>
        <w:t xml:space="preserve">, vol. 55, no. 3, pp. 411–420, Sep. 2006.</w:t>
      </w:r>
    </w:p>
    <w:p>
      <w:pPr>
        <w:pStyle w:val="References"/>
        <w:numPr>
          <w:ilvl w:val="0"/>
          <w:numId w:val="0"/>
        </w:numPr>
        <w:tabs>
          <w:tab w:val="left" w:pos="360"/>
        </w:tabs>
        <w:ind w:left="360" w:hanging="360"/>
      </w:pPr>
      <w:r>
        <w:rPr>
          <w:sz w:val="16"/>
          <w:szCs w:val="16"/>
        </w:rPr>
        <w:t xml:space="preserve">[10]	</w:t>
      </w:r>
      <w:r>
        <w:rPr>
          <w:sz w:val="16"/>
          <w:szCs w:val="16"/>
        </w:rPr>
        <w:t xml:space="preserve">G. Ning </w:t>
      </w:r>
      <w:r>
        <w:rPr>
          <w:i/>
          <w:iCs/>
          <w:sz w:val="16"/>
          <w:szCs w:val="16"/>
        </w:rPr>
        <w:t xml:space="preserve">et al.</w:t>
      </w:r>
      <w:r>
        <w:rPr>
          <w:sz w:val="16"/>
          <w:szCs w:val="16"/>
        </w:rPr>
        <w:t xml:space="preserve">, “Optimization of two-granularity software rejuvenation policy based on the Markov regenerative process,” </w:t>
      </w:r>
      <w:r>
        <w:rPr>
          <w:i/>
          <w:iCs/>
          <w:sz w:val="16"/>
          <w:szCs w:val="16"/>
        </w:rPr>
        <w:t xml:space="preserve">IEEE Trans. Rel.</w:t>
      </w:r>
      <w:r>
        <w:rPr>
          <w:sz w:val="16"/>
          <w:szCs w:val="16"/>
        </w:rPr>
        <w:t xml:space="preserve">, vol. 65, no. 4, pp. 1630–1646, Dec. 2016.</w:t>
      </w:r>
    </w:p>
    <w:p>
      <w:pPr>
        <w:pStyle w:val="References"/>
        <w:numPr>
          <w:ilvl w:val="0"/>
          <w:numId w:val="0"/>
        </w:numPr>
        <w:tabs>
          <w:tab w:val="left" w:pos="360"/>
        </w:tabs>
        <w:ind w:left="360" w:hanging="360"/>
      </w:pPr>
      <w:r>
        <w:rPr>
          <w:sz w:val="16"/>
          <w:szCs w:val="16"/>
        </w:rPr>
        <w:t xml:space="preserve">[11]	</w:t>
      </w:r>
      <w:r>
        <w:rPr>
          <w:sz w:val="16"/>
          <w:szCs w:val="16"/>
        </w:rPr>
        <w:t xml:space="preserve">J. Kirkpatrick </w:t>
      </w:r>
      <w:r>
        <w:rPr>
          <w:i/>
          <w:iCs/>
          <w:sz w:val="16"/>
          <w:szCs w:val="16"/>
        </w:rPr>
        <w:t xml:space="preserve">et al.</w:t>
      </w:r>
      <w:r>
        <w:rPr>
          <w:sz w:val="16"/>
          <w:szCs w:val="16"/>
        </w:rPr>
        <w:t xml:space="preserve">, “Overcoming catastrophic forgetting in neural networks,” </w:t>
      </w:r>
      <w:r>
        <w:rPr>
          <w:i/>
          <w:iCs/>
          <w:sz w:val="16"/>
          <w:szCs w:val="16"/>
        </w:rPr>
        <w:t xml:space="preserve">Proc. Natl. Acad. Sci. U.S.A.</w:t>
      </w:r>
      <w:r>
        <w:rPr>
          <w:sz w:val="16"/>
          <w:szCs w:val="16"/>
        </w:rPr>
        <w:t xml:space="preserve">, vol. 114, no. 13, pp. 3521–3526, 2017.</w:t>
      </w:r>
    </w:p>
    <w:p>
      <w:pPr>
        <w:pStyle w:val="References"/>
        <w:numPr>
          <w:ilvl w:val="0"/>
          <w:numId w:val="0"/>
        </w:numPr>
        <w:tabs>
          <w:tab w:val="left" w:pos="360"/>
        </w:tabs>
        <w:ind w:left="360" w:hanging="360"/>
      </w:pPr>
      <w:r>
        <w:rPr>
          <w:sz w:val="16"/>
          <w:szCs w:val="16"/>
        </w:rPr>
        <w:t xml:space="preserve">[12]	</w:t>
      </w:r>
      <w:r>
        <w:rPr>
          <w:sz w:val="16"/>
          <w:szCs w:val="16"/>
        </w:rPr>
        <w:t xml:space="preserve">R. E. Barlow and F. Proschan, </w:t>
      </w:r>
      <w:r>
        <w:rPr>
          <w:i/>
          <w:iCs/>
          <w:sz w:val="16"/>
          <w:szCs w:val="16"/>
        </w:rPr>
        <w:t xml:space="preserve">Mathematical Theory of Reliability</w:t>
      </w:r>
      <w:r>
        <w:rPr>
          <w:sz w:val="16"/>
          <w:szCs w:val="16"/>
        </w:rPr>
        <w:t xml:space="preserve">. New York, NY, USA: Wiley, 1965.</w:t>
      </w:r>
    </w:p>
    <w:p>
      <w:pPr>
        <w:pStyle w:val="References"/>
        <w:numPr>
          <w:ilvl w:val="0"/>
          <w:numId w:val="0"/>
        </w:numPr>
        <w:tabs>
          <w:tab w:val="left" w:pos="360"/>
        </w:tabs>
        <w:ind w:left="360" w:hanging="360"/>
      </w:pPr>
      <w:r>
        <w:rPr>
          <w:sz w:val="16"/>
          <w:szCs w:val="16"/>
        </w:rPr>
        <w:t xml:space="preserve">[13]	</w:t>
      </w:r>
      <w:r>
        <w:rPr>
          <w:sz w:val="16"/>
          <w:szCs w:val="16"/>
        </w:rPr>
        <w:t xml:space="preserve">S. Biderman </w:t>
      </w:r>
      <w:r>
        <w:rPr>
          <w:i/>
          <w:iCs/>
          <w:sz w:val="16"/>
          <w:szCs w:val="16"/>
        </w:rPr>
        <w:t xml:space="preserve">et al.</w:t>
      </w:r>
      <w:r>
        <w:rPr>
          <w:sz w:val="16"/>
          <w:szCs w:val="16"/>
        </w:rPr>
        <w:t xml:space="preserve">, “Pythia: A suite for analyzing large language models across training and scaling,” in </w:t>
      </w:r>
      <w:r>
        <w:rPr>
          <w:i/>
          <w:iCs/>
          <w:sz w:val="16"/>
          <w:szCs w:val="16"/>
        </w:rPr>
        <w:t xml:space="preserve">Proc. 40th Int. Conf. Mach. Learn.</w:t>
      </w:r>
      <w:r>
        <w:rPr>
          <w:sz w:val="16"/>
          <w:szCs w:val="16"/>
        </w:rPr>
        <w:t xml:space="preserve">, 2023, pp. 2397–2430.</w:t>
      </w:r>
    </w:p>
    <w:p>
      <w:pPr>
        <w:pStyle w:val="References"/>
        <w:numPr>
          <w:ilvl w:val="0"/>
          <w:numId w:val="0"/>
        </w:numPr>
        <w:tabs>
          <w:tab w:val="left" w:pos="360"/>
        </w:tabs>
        <w:ind w:left="360" w:hanging="360"/>
      </w:pPr>
      <w:r>
        <w:rPr>
          <w:sz w:val="16"/>
          <w:szCs w:val="16"/>
        </w:rPr>
        <w:t xml:space="preserve">[14]	</w:t>
      </w:r>
      <w:r>
        <w:rPr>
          <w:sz w:val="16"/>
          <w:szCs w:val="16"/>
        </w:rPr>
        <w:t xml:space="preserve">R. Dekker, “Applications of maintenance optimization models: A review and analysis,” </w:t>
      </w:r>
      <w:r>
        <w:rPr>
          <w:i/>
          <w:iCs/>
          <w:sz w:val="16"/>
          <w:szCs w:val="16"/>
        </w:rPr>
        <w:t xml:space="preserve">Rel. Eng. Syst. Saf.</w:t>
      </w:r>
      <w:r>
        <w:rPr>
          <w:sz w:val="16"/>
          <w:szCs w:val="16"/>
        </w:rPr>
        <w:t xml:space="preserve">, vol. 51, no. 3, pp. 229–240, 1996.</w:t>
      </w:r>
    </w:p>
    <w:p>
      <w:pPr>
        <w:pStyle w:val="References"/>
        <w:numPr>
          <w:ilvl w:val="0"/>
          <w:numId w:val="0"/>
        </w:numPr>
        <w:tabs>
          <w:tab w:val="left" w:pos="360"/>
        </w:tabs>
        <w:ind w:left="360" w:hanging="360"/>
      </w:pPr>
      <w:r>
        <w:rPr>
          <w:sz w:val="16"/>
          <w:szCs w:val="16"/>
        </w:rPr>
        <w:t xml:space="preserve">[15]	</w:t>
      </w:r>
      <w:r>
        <w:rPr>
          <w:sz w:val="16"/>
          <w:szCs w:val="16"/>
        </w:rPr>
        <w:t xml:space="preserve">B. de Jonge and P. A. Scarf, “A review on maintenance optimization,” </w:t>
      </w:r>
      <w:r>
        <w:rPr>
          <w:i/>
          <w:iCs/>
          <w:sz w:val="16"/>
          <w:szCs w:val="16"/>
        </w:rPr>
        <w:t xml:space="preserve">Eur. J. Oper. Res.</w:t>
      </w:r>
      <w:r>
        <w:rPr>
          <w:sz w:val="16"/>
          <w:szCs w:val="16"/>
        </w:rPr>
        <w:t xml:space="preserve">, vol. 285, no. 3, pp. 805–824, 2020.</w:t>
      </w:r>
    </w:p>
    <w:p>
      <w:pPr>
        <w:pStyle w:val="References"/>
        <w:numPr>
          <w:ilvl w:val="0"/>
          <w:numId w:val="0"/>
        </w:numPr>
        <w:tabs>
          <w:tab w:val="left" w:pos="360"/>
        </w:tabs>
        <w:ind w:left="360" w:hanging="360"/>
      </w:pPr>
      <w:r>
        <w:rPr>
          <w:sz w:val="16"/>
          <w:szCs w:val="16"/>
        </w:rPr>
        <w:t xml:space="preserve">[16]	</w:t>
      </w:r>
      <w:r>
        <w:rPr>
          <w:sz w:val="16"/>
          <w:szCs w:val="16"/>
        </w:rPr>
        <w:t xml:space="preserve">J. Arts, R. N. Boute, S. Loeys, and H. E. van Staden, “Fifty years of maintenance optimization: Reflections and perspectives,” </w:t>
      </w:r>
      <w:r>
        <w:rPr>
          <w:i/>
          <w:iCs/>
          <w:sz w:val="16"/>
          <w:szCs w:val="16"/>
        </w:rPr>
        <w:t xml:space="preserve">Eur. J. Oper. Res.</w:t>
      </w:r>
      <w:r>
        <w:rPr>
          <w:sz w:val="16"/>
          <w:szCs w:val="16"/>
        </w:rPr>
        <w:t xml:space="preserve">, vol. 322, no. 3, pp. 725–739, 2025.</w:t>
      </w:r>
    </w:p>
    <w:p>
      <w:pPr>
        <w:pStyle w:val="References"/>
        <w:numPr>
          <w:ilvl w:val="0"/>
          <w:numId w:val="0"/>
        </w:numPr>
        <w:tabs>
          <w:tab w:val="left" w:pos="360"/>
        </w:tabs>
        <w:ind w:left="360" w:hanging="360"/>
      </w:pPr>
      <w:r>
        <w:rPr>
          <w:sz w:val="16"/>
          <w:szCs w:val="16"/>
        </w:rPr>
        <w:t xml:space="preserve">[17]	</w:t>
      </w:r>
      <w:r>
        <w:rPr>
          <w:sz w:val="16"/>
          <w:szCs w:val="16"/>
        </w:rPr>
        <w:t xml:space="preserve">J. Lu, A. Liu, F. Dong, F. Gu, J. Gama, and G. Zhang, “Learning under concept drift: A review,” </w:t>
      </w:r>
      <w:r>
        <w:rPr>
          <w:i/>
          <w:iCs/>
          <w:sz w:val="16"/>
          <w:szCs w:val="16"/>
        </w:rPr>
        <w:t xml:space="preserve">IEEE Trans. Knowl. Data Eng.</w:t>
      </w:r>
      <w:r>
        <w:rPr>
          <w:sz w:val="16"/>
          <w:szCs w:val="16"/>
        </w:rPr>
        <w:t xml:space="preserve">, vol. 31, no. 12, pp. 2346–2363, Dec. 2019.</w:t>
      </w:r>
    </w:p>
    <w:p>
      <w:pPr>
        <w:pStyle w:val="References"/>
        <w:numPr>
          <w:ilvl w:val="0"/>
          <w:numId w:val="0"/>
        </w:numPr>
        <w:tabs>
          <w:tab w:val="left" w:pos="360"/>
        </w:tabs>
        <w:ind w:left="360" w:hanging="360"/>
      </w:pPr>
      <w:r>
        <w:rPr>
          <w:sz w:val="16"/>
          <w:szCs w:val="16"/>
        </w:rPr>
        <w:t xml:space="preserve">[18]	</w:t>
      </w:r>
      <w:r>
        <w:rPr>
          <w:sz w:val="16"/>
          <w:szCs w:val="16"/>
        </w:rPr>
        <w:t xml:space="preserve">A. Mahadevan and M. Mathioudakis, “Cost-effective retraining of machine learning models,” 2023, arXiv:2310.04216.</w:t>
      </w:r>
    </w:p>
    <w:p>
      <w:pPr>
        <w:pStyle w:val="References"/>
        <w:numPr>
          <w:ilvl w:val="0"/>
          <w:numId w:val="0"/>
        </w:numPr>
        <w:tabs>
          <w:tab w:val="left" w:pos="360"/>
        </w:tabs>
        <w:ind w:left="360" w:hanging="360"/>
      </w:pPr>
      <w:r>
        <w:rPr>
          <w:sz w:val="16"/>
          <w:szCs w:val="16"/>
        </w:rPr>
        <w:t xml:space="preserve">[19]	</w:t>
      </w:r>
      <w:r>
        <w:rPr>
          <w:sz w:val="16"/>
          <w:szCs w:val="16"/>
        </w:rPr>
        <w:t xml:space="preserve">H. B. Beytur, G. de Veciana, H. Vikalo, and K. S. Chan, “Optimal resource allocation for ML model training and deployment under concept drift,” 2025, arXiv:2512.12816.</w:t>
      </w:r>
    </w:p>
    <w:p>
      <w:pPr>
        <w:pStyle w:val="References"/>
        <w:numPr>
          <w:ilvl w:val="0"/>
          <w:numId w:val="0"/>
        </w:numPr>
        <w:tabs>
          <w:tab w:val="left" w:pos="360"/>
        </w:tabs>
        <w:ind w:left="360" w:hanging="360"/>
      </w:pPr>
      <w:r>
        <w:rPr>
          <w:sz w:val="16"/>
          <w:szCs w:val="16"/>
        </w:rPr>
        <w:t xml:space="preserve">[20]	</w:t>
      </w:r>
      <w:r>
        <w:rPr>
          <w:sz w:val="16"/>
          <w:szCs w:val="16"/>
        </w:rPr>
        <w:t xml:space="preserve">E. Williams, T. Sinha, M. Lyttle, and Y. Kanagasingam, “Optimising retraining frequency for a paediatric emergency department admission prediction model,” </w:t>
      </w:r>
      <w:r>
        <w:rPr>
          <w:i/>
          <w:iCs/>
          <w:sz w:val="16"/>
          <w:szCs w:val="16"/>
        </w:rPr>
        <w:t xml:space="preserve">Emerg. Med. Australas.</w:t>
      </w:r>
      <w:r>
        <w:rPr>
          <w:sz w:val="16"/>
          <w:szCs w:val="16"/>
        </w:rPr>
        <w:t xml:space="preserve">, vol. 38, no. 3, 2026.</w:t>
      </w:r>
    </w:p>
    <w:p>
      <w:pPr>
        <w:pStyle w:val="References"/>
        <w:numPr>
          <w:ilvl w:val="0"/>
          <w:numId w:val="0"/>
        </w:numPr>
        <w:tabs>
          <w:tab w:val="left" w:pos="360"/>
        </w:tabs>
        <w:ind w:left="360" w:hanging="360"/>
      </w:pPr>
      <w:r>
        <w:rPr>
          <w:sz w:val="16"/>
          <w:szCs w:val="16"/>
        </w:rPr>
        <w:t xml:space="preserve">[21]	</w:t>
      </w:r>
      <w:r>
        <w:rPr>
          <w:sz w:val="16"/>
          <w:szCs w:val="16"/>
        </w:rPr>
        <w:t xml:space="preserve">H. Shi </w:t>
      </w:r>
      <w:r>
        <w:rPr>
          <w:i/>
          <w:iCs/>
          <w:sz w:val="16"/>
          <w:szCs w:val="16"/>
        </w:rPr>
        <w:t xml:space="preserve">et al.</w:t>
      </w:r>
      <w:r>
        <w:rPr>
          <w:sz w:val="16"/>
          <w:szCs w:val="16"/>
        </w:rPr>
        <w:t xml:space="preserve">, “Continual learning of large language models: A comprehensive survey,” 2024, arXiv:2404.16789.</w:t>
      </w:r>
    </w:p>
    <w:p>
      <w:pPr>
        <w:pStyle w:val="References"/>
        <w:numPr>
          <w:ilvl w:val="0"/>
          <w:numId w:val="0"/>
        </w:numPr>
        <w:tabs>
          <w:tab w:val="left" w:pos="360"/>
        </w:tabs>
        <w:ind w:left="360" w:hanging="360"/>
      </w:pPr>
      <w:r>
        <w:rPr>
          <w:sz w:val="16"/>
          <w:szCs w:val="16"/>
        </w:rPr>
        <w:t xml:space="preserve">[22]	</w:t>
      </w:r>
      <w:r>
        <w:rPr>
          <w:sz w:val="16"/>
          <w:szCs w:val="16"/>
        </w:rPr>
        <w:t xml:space="preserve">Y. Luo, Z. Yang, F. Meng, Y. Li, J. Zhou, and Y. Zhang, “An empirical study of catastrophic forgetting in large language models during continual fine-tuning,” 2023, arXiv:2308.08747.</w:t>
      </w:r>
    </w:p>
    <w:p>
      <w:pPr>
        <w:pStyle w:val="References"/>
        <w:numPr>
          <w:ilvl w:val="0"/>
          <w:numId w:val="0"/>
        </w:numPr>
        <w:tabs>
          <w:tab w:val="left" w:pos="360"/>
        </w:tabs>
        <w:ind w:left="360" w:hanging="360"/>
      </w:pPr>
      <w:r>
        <w:rPr>
          <w:sz w:val="16"/>
          <w:szCs w:val="16"/>
        </w:rPr>
        <w:t xml:space="preserve">[23]	</w:t>
      </w:r>
      <w:r>
        <w:rPr>
          <w:sz w:val="16"/>
          <w:szCs w:val="16"/>
        </w:rPr>
        <w:t xml:space="preserve">F. Huszár, “Note on the quadratic penalties in elastic weight consolidation,” </w:t>
      </w:r>
      <w:r>
        <w:rPr>
          <w:i/>
          <w:iCs/>
          <w:sz w:val="16"/>
          <w:szCs w:val="16"/>
        </w:rPr>
        <w:t xml:space="preserve">Proc. Natl. Acad. Sci. U.S.A.</w:t>
      </w:r>
      <w:r>
        <w:rPr>
          <w:sz w:val="16"/>
          <w:szCs w:val="16"/>
        </w:rPr>
        <w:t xml:space="preserve">, vol. 115, no. 11, pp. E2496–E2497, 2018.</w:t>
      </w:r>
    </w:p>
    <w:p>
      <w:pPr>
        <w:pStyle w:val="References"/>
        <w:numPr>
          <w:ilvl w:val="0"/>
          <w:numId w:val="0"/>
        </w:numPr>
        <w:tabs>
          <w:tab w:val="left" w:pos="360"/>
        </w:tabs>
        <w:ind w:left="360" w:hanging="360"/>
      </w:pPr>
      <w:r>
        <w:rPr>
          <w:sz w:val="16"/>
          <w:szCs w:val="16"/>
        </w:rPr>
        <w:t xml:space="preserve">[24]	</w:t>
      </w:r>
      <w:r>
        <w:rPr>
          <w:sz w:val="16"/>
          <w:szCs w:val="16"/>
        </w:rPr>
        <w:t xml:space="preserve">F. Kunstner, L. Balles, and P. Hennig, “Limitations of the empirical Fisher approximation for natural gradient descent,” in </w:t>
      </w:r>
      <w:r>
        <w:rPr>
          <w:i/>
          <w:iCs/>
          <w:sz w:val="16"/>
          <w:szCs w:val="16"/>
        </w:rPr>
        <w:t xml:space="preserve">Adv. Neural Inf. Process. Syst.</w:t>
      </w:r>
      <w:r>
        <w:rPr>
          <w:sz w:val="16"/>
          <w:szCs w:val="16"/>
        </w:rPr>
        <w:t xml:space="preserve">, vol. 32, 2019.</w:t>
      </w:r>
    </w:p>
    <w:p>
      <w:pPr>
        <w:pStyle w:val="References"/>
        <w:numPr>
          <w:ilvl w:val="0"/>
          <w:numId w:val="0"/>
        </w:numPr>
        <w:tabs>
          <w:tab w:val="left" w:pos="360"/>
        </w:tabs>
        <w:ind w:left="360" w:hanging="360"/>
      </w:pPr>
      <w:r>
        <w:rPr>
          <w:sz w:val="16"/>
          <w:szCs w:val="16"/>
        </w:rPr>
        <w:t xml:space="preserve">[25]	</w:t>
      </w:r>
      <w:r>
        <w:rPr>
          <w:sz w:val="16"/>
          <w:szCs w:val="16"/>
        </w:rPr>
        <w:t xml:space="preserve">S. Wang, Y. Zhu, H. Liu, Z. Zheng, C. Chen, and J. Li, “Knowledge editing for large language models: A survey,” </w:t>
      </w:r>
      <w:r>
        <w:rPr>
          <w:i/>
          <w:iCs/>
          <w:sz w:val="16"/>
          <w:szCs w:val="16"/>
        </w:rPr>
        <w:t xml:space="preserve">ACM Comput. Surv.</w:t>
      </w:r>
      <w:r>
        <w:rPr>
          <w:sz w:val="16"/>
          <w:szCs w:val="16"/>
        </w:rPr>
        <w:t xml:space="preserve">, vol. 57, no. 3, 2024.</w:t>
      </w:r>
    </w:p>
    <w:p>
      <w:pPr>
        <w:pStyle w:val="References"/>
        <w:numPr>
          <w:ilvl w:val="0"/>
          <w:numId w:val="0"/>
        </w:numPr>
        <w:tabs>
          <w:tab w:val="left" w:pos="360"/>
        </w:tabs>
        <w:ind w:left="360" w:hanging="360"/>
      </w:pPr>
      <w:r>
        <w:rPr>
          <w:sz w:val="16"/>
          <w:szCs w:val="16"/>
        </w:rPr>
        <w:t xml:space="preserve">[26]	</w:t>
      </w:r>
      <w:r>
        <w:rPr>
          <w:sz w:val="16"/>
          <w:szCs w:val="16"/>
        </w:rPr>
        <w:t xml:space="preserve">N. Zhang </w:t>
      </w:r>
      <w:r>
        <w:rPr>
          <w:i/>
          <w:iCs/>
          <w:sz w:val="16"/>
          <w:szCs w:val="16"/>
        </w:rPr>
        <w:t xml:space="preserve">et al.</w:t>
      </w:r>
      <w:r>
        <w:rPr>
          <w:sz w:val="16"/>
          <w:szCs w:val="16"/>
        </w:rPr>
        <w:t xml:space="preserve">, “A comprehensive study of knowledge editing for large language models,” 2024, arXiv:2401.01286.</w:t>
      </w:r>
    </w:p>
    <w:p>
      <w:pPr>
        <w:pStyle w:val="References"/>
        <w:numPr>
          <w:ilvl w:val="0"/>
          <w:numId w:val="0"/>
        </w:numPr>
        <w:tabs>
          <w:tab w:val="left" w:pos="360"/>
        </w:tabs>
        <w:ind w:left="360" w:hanging="360"/>
      </w:pPr>
      <w:r>
        <w:rPr>
          <w:sz w:val="16"/>
          <w:szCs w:val="16"/>
        </w:rPr>
        <w:t xml:space="preserve">[27]	</w:t>
      </w:r>
      <w:r>
        <w:rPr>
          <w:sz w:val="16"/>
          <w:szCs w:val="16"/>
        </w:rPr>
        <w:t xml:space="preserve">E. J. Hu </w:t>
      </w:r>
      <w:r>
        <w:rPr>
          <w:i/>
          <w:iCs/>
          <w:sz w:val="16"/>
          <w:szCs w:val="16"/>
        </w:rPr>
        <w:t xml:space="preserve">et al.</w:t>
      </w:r>
      <w:r>
        <w:rPr>
          <w:sz w:val="16"/>
          <w:szCs w:val="16"/>
        </w:rPr>
        <w:t xml:space="preserve">, “LoRA: Low-rank adaptation of large language models,” in </w:t>
      </w:r>
      <w:r>
        <w:rPr>
          <w:i/>
          <w:iCs/>
          <w:sz w:val="16"/>
          <w:szCs w:val="16"/>
        </w:rPr>
        <w:t xml:space="preserve">Proc. Int. Conf. Learn. Represent.</w:t>
      </w:r>
      <w:r>
        <w:rPr>
          <w:sz w:val="16"/>
          <w:szCs w:val="16"/>
        </w:rPr>
        <w:t xml:space="preserve">, 2022.</w:t>
      </w:r>
    </w:p>
    <w:p>
      <w:pPr>
        <w:pStyle w:val="References"/>
        <w:numPr>
          <w:ilvl w:val="0"/>
          <w:numId w:val="0"/>
        </w:numPr>
        <w:tabs>
          <w:tab w:val="left" w:pos="360"/>
        </w:tabs>
        <w:ind w:left="360" w:hanging="360"/>
      </w:pPr>
      <w:r>
        <w:rPr>
          <w:sz w:val="16"/>
          <w:szCs w:val="16"/>
        </w:rPr>
        <w:t xml:space="preserve">[28]	</w:t>
      </w:r>
      <w:r>
        <w:rPr>
          <w:sz w:val="16"/>
          <w:szCs w:val="16"/>
        </w:rPr>
        <w:t xml:space="preserve">Y. Gao </w:t>
      </w:r>
      <w:r>
        <w:rPr>
          <w:i/>
          <w:iCs/>
          <w:sz w:val="16"/>
          <w:szCs w:val="16"/>
        </w:rPr>
        <w:t xml:space="preserve">et al.</w:t>
      </w:r>
      <w:r>
        <w:rPr>
          <w:sz w:val="16"/>
          <w:szCs w:val="16"/>
        </w:rPr>
        <w:t xml:space="preserve">, “Retrieval-augmented generation for large language models: A survey,” 2023, arXiv:2312.10997.</w:t>
      </w:r>
    </w:p>
    <w:p>
      <w:pPr>
        <w:pStyle w:val="References"/>
        <w:numPr>
          <w:ilvl w:val="0"/>
          <w:numId w:val="0"/>
        </w:numPr>
        <w:tabs>
          <w:tab w:val="left" w:pos="360"/>
        </w:tabs>
        <w:ind w:left="360" w:hanging="360"/>
      </w:pPr>
      <w:r>
        <w:rPr>
          <w:sz w:val="16"/>
          <w:szCs w:val="16"/>
        </w:rPr>
        <w:t xml:space="preserve">[29]	</w:t>
      </w:r>
      <w:r>
        <w:rPr>
          <w:sz w:val="16"/>
          <w:szCs w:val="16"/>
        </w:rPr>
        <w:t xml:space="preserve">J. Kaplan </w:t>
      </w:r>
      <w:r>
        <w:rPr>
          <w:i/>
          <w:iCs/>
          <w:sz w:val="16"/>
          <w:szCs w:val="16"/>
        </w:rPr>
        <w:t xml:space="preserve">et al.</w:t>
      </w:r>
      <w:r>
        <w:rPr>
          <w:sz w:val="16"/>
          <w:szCs w:val="16"/>
        </w:rPr>
        <w:t xml:space="preserve">, “Scaling laws for neural language models,” 2020, arXiv:2001.08361.</w:t>
      </w:r>
    </w:p>
    <w:p>
      <w:pPr>
        <w:pStyle w:val="References"/>
        <w:numPr>
          <w:ilvl w:val="0"/>
          <w:numId w:val="0"/>
        </w:numPr>
        <w:tabs>
          <w:tab w:val="left" w:pos="360"/>
        </w:tabs>
        <w:ind w:left="360" w:hanging="360"/>
      </w:pPr>
      <w:r>
        <w:rPr>
          <w:sz w:val="16"/>
          <w:szCs w:val="16"/>
        </w:rPr>
        <w:t xml:space="preserve">[30]	</w:t>
      </w:r>
      <w:r>
        <w:rPr>
          <w:sz w:val="16"/>
          <w:szCs w:val="16"/>
        </w:rPr>
        <w:t xml:space="preserve">J. Hoffmann </w:t>
      </w:r>
      <w:r>
        <w:rPr>
          <w:i/>
          <w:iCs/>
          <w:sz w:val="16"/>
          <w:szCs w:val="16"/>
        </w:rPr>
        <w:t xml:space="preserve">et al.</w:t>
      </w:r>
      <w:r>
        <w:rPr>
          <w:sz w:val="16"/>
          <w:szCs w:val="16"/>
        </w:rPr>
        <w:t xml:space="preserve">, “Training compute-optimal large language models,” 2022, arXiv:2203.15556.</w:t>
      </w:r>
    </w:p>
    <w:p>
      <w:pPr>
        <w:pStyle w:val="References"/>
        <w:numPr>
          <w:ilvl w:val="0"/>
          <w:numId w:val="0"/>
        </w:numPr>
        <w:tabs>
          <w:tab w:val="left" w:pos="360"/>
        </w:tabs>
        <w:ind w:left="360" w:hanging="360"/>
      </w:pPr>
      <w:r>
        <w:rPr>
          <w:sz w:val="16"/>
          <w:szCs w:val="16"/>
        </w:rPr>
        <w:t xml:space="preserve">[31]	</w:t>
      </w:r>
      <w:r>
        <w:rPr>
          <w:sz w:val="16"/>
          <w:szCs w:val="16"/>
        </w:rPr>
        <w:t xml:space="preserve">L. Ouyang </w:t>
      </w:r>
      <w:r>
        <w:rPr>
          <w:i/>
          <w:iCs/>
          <w:sz w:val="16"/>
          <w:szCs w:val="16"/>
        </w:rPr>
        <w:t xml:space="preserve">et al.</w:t>
      </w:r>
      <w:r>
        <w:rPr>
          <w:sz w:val="16"/>
          <w:szCs w:val="16"/>
        </w:rPr>
        <w:t xml:space="preserve">, “Training language models to follow instructions with human feedback,” in </w:t>
      </w:r>
      <w:r>
        <w:rPr>
          <w:i/>
          <w:iCs/>
          <w:sz w:val="16"/>
          <w:szCs w:val="16"/>
        </w:rPr>
        <w:t xml:space="preserve">Adv. Neural Inf. Process. Syst.</w:t>
      </w:r>
      <w:r>
        <w:rPr>
          <w:sz w:val="16"/>
          <w:szCs w:val="16"/>
        </w:rPr>
        <w:t xml:space="preserve">, vol. 35, 2022.</w:t>
      </w:r>
    </w:p>
    <w:p>
      <w:pPr>
        <w:pStyle w:val="References"/>
        <w:numPr>
          <w:ilvl w:val="0"/>
          <w:numId w:val="0"/>
        </w:numPr>
        <w:tabs>
          <w:tab w:val="left" w:pos="360"/>
        </w:tabs>
        <w:ind w:left="360" w:hanging="360"/>
      </w:pPr>
      <w:r>
        <w:rPr>
          <w:sz w:val="16"/>
          <w:szCs w:val="16"/>
        </w:rPr>
        <w:t xml:space="preserve">[32]	</w:t>
      </w:r>
      <w:r>
        <w:rPr>
          <w:sz w:val="16"/>
          <w:szCs w:val="16"/>
        </w:rPr>
        <w:t xml:space="preserve">S. M. Ross, </w:t>
      </w:r>
      <w:r>
        <w:rPr>
          <w:i/>
          <w:iCs/>
          <w:sz w:val="16"/>
          <w:szCs w:val="16"/>
        </w:rPr>
        <w:t xml:space="preserve">Stochastic Processes</w:t>
      </w:r>
      <w:r>
        <w:rPr>
          <w:sz w:val="16"/>
          <w:szCs w:val="16"/>
        </w:rPr>
        <w:t xml:space="preserve">, 2nd ed. New York, NY, USA: Wiley, 1996.</w:t>
      </w:r>
    </w:p>
    <w:p>
      <w:pPr>
        <w:pStyle w:val="References"/>
        <w:numPr>
          <w:ilvl w:val="0"/>
          <w:numId w:val="0"/>
        </w:numPr>
        <w:tabs>
          <w:tab w:val="left" w:pos="360"/>
        </w:tabs>
        <w:ind w:left="360" w:hanging="360"/>
      </w:pPr>
      <w:r>
        <w:rPr>
          <w:sz w:val="16"/>
          <w:szCs w:val="16"/>
        </w:rPr>
        <w:t xml:space="preserve">[33]	</w:t>
      </w:r>
      <w:r>
        <w:rPr>
          <w:sz w:val="16"/>
          <w:szCs w:val="16"/>
        </w:rPr>
        <w:t xml:space="preserve">M. L. Puterman, </w:t>
      </w:r>
      <w:r>
        <w:rPr>
          <w:i/>
          <w:iCs/>
          <w:sz w:val="16"/>
          <w:szCs w:val="16"/>
        </w:rPr>
        <w:t xml:space="preserve">Markov Decision Processes: Discrete Stochastic Dynamic Programming</w:t>
      </w:r>
      <w:r>
        <w:rPr>
          <w:sz w:val="16"/>
          <w:szCs w:val="16"/>
        </w:rPr>
        <w:t xml:space="preserve">. New York, NY, USA: Wiley, 1994.</w:t>
      </w:r>
    </w:p>
    <w:p>
      <w:pPr>
        <w:pStyle w:val="References"/>
        <w:numPr>
          <w:ilvl w:val="0"/>
          <w:numId w:val="0"/>
        </w:numPr>
        <w:tabs>
          <w:tab w:val="left" w:pos="360"/>
        </w:tabs>
        <w:ind w:left="360" w:hanging="360"/>
      </w:pPr>
      <w:r>
        <w:rPr>
          <w:sz w:val="16"/>
          <w:szCs w:val="16"/>
        </w:rPr>
        <w:t xml:space="preserve">[34]	</w:t>
      </w:r>
      <w:r>
        <w:rPr>
          <w:sz w:val="16"/>
          <w:szCs w:val="16"/>
        </w:rPr>
        <w:t xml:space="preserve">D. P. Bertsekas, </w:t>
      </w:r>
      <w:r>
        <w:rPr>
          <w:i/>
          <w:iCs/>
          <w:sz w:val="16"/>
          <w:szCs w:val="16"/>
        </w:rPr>
        <w:t xml:space="preserve">Dynamic Programming and Optimal Control</w:t>
      </w:r>
      <w:r>
        <w:rPr>
          <w:sz w:val="16"/>
          <w:szCs w:val="16"/>
        </w:rPr>
        <w:t xml:space="preserve">, 4th ed., vol. I. Belmont, MA, USA: Athena Scientific, 2017.</w:t>
      </w:r>
    </w:p>
    <w:p>
      <w:pPr>
        <w:pStyle w:val="References"/>
        <w:numPr>
          <w:ilvl w:val="0"/>
          <w:numId w:val="0"/>
        </w:numPr>
        <w:tabs>
          <w:tab w:val="left" w:pos="360"/>
        </w:tabs>
        <w:ind w:left="360" w:hanging="360"/>
      </w:pPr>
      <w:r>
        <w:rPr>
          <w:sz w:val="16"/>
          <w:szCs w:val="16"/>
        </w:rPr>
        <w:t xml:space="preserve">[35]	</w:t>
      </w:r>
      <w:r>
        <w:rPr>
          <w:sz w:val="16"/>
          <w:szCs w:val="16"/>
        </w:rPr>
        <w:t xml:space="preserve">D. M. Topkis, </w:t>
      </w:r>
      <w:r>
        <w:rPr>
          <w:i/>
          <w:iCs/>
          <w:sz w:val="16"/>
          <w:szCs w:val="16"/>
        </w:rPr>
        <w:t xml:space="preserve">Supermodularity and Complementarity</w:t>
      </w:r>
      <w:r>
        <w:rPr>
          <w:sz w:val="16"/>
          <w:szCs w:val="16"/>
        </w:rPr>
        <w:t xml:space="preserve">. Princeton, NJ, USA: Princeton Univ. Press, 1998.</w:t>
      </w:r>
    </w:p>
    <w:p>
      <w:pPr>
        <w:pStyle w:val="References"/>
        <w:numPr>
          <w:ilvl w:val="0"/>
          <w:numId w:val="0"/>
        </w:numPr>
        <w:tabs>
          <w:tab w:val="left" w:pos="360"/>
        </w:tabs>
        <w:ind w:left="360" w:hanging="360"/>
      </w:pPr>
      <w:r>
        <w:rPr>
          <w:sz w:val="16"/>
          <w:szCs w:val="16"/>
        </w:rPr>
        <w:t xml:space="preserve">[36]	</w:t>
      </w:r>
      <w:r>
        <w:rPr>
          <w:sz w:val="16"/>
          <w:szCs w:val="16"/>
        </w:rPr>
        <w:t xml:space="preserve">R. Dekker, R. E. Wildeman, and F. A. van der Duyn Schouten, “A review of multi-component maintenance models with economic dependence,” </w:t>
      </w:r>
      <w:r>
        <w:rPr>
          <w:i/>
          <w:iCs/>
          <w:sz w:val="16"/>
          <w:szCs w:val="16"/>
        </w:rPr>
        <w:t xml:space="preserve">Math. Methods Oper. Res.</w:t>
      </w:r>
      <w:r>
        <w:rPr>
          <w:sz w:val="16"/>
          <w:szCs w:val="16"/>
        </w:rPr>
        <w:t xml:space="preserve">, vol. 45, no. 3, pp. 411–435, 1997.</w:t>
      </w:r>
    </w:p>
    <w:p>
      <w:pPr>
        <w:pStyle w:val="References"/>
        <w:numPr>
          <w:ilvl w:val="0"/>
          <w:numId w:val="0"/>
        </w:numPr>
        <w:tabs>
          <w:tab w:val="left" w:pos="360"/>
        </w:tabs>
        <w:ind w:left="360" w:hanging="360"/>
      </w:pPr>
      <w:r>
        <w:rPr>
          <w:sz w:val="16"/>
          <w:szCs w:val="16"/>
        </w:rPr>
        <w:t xml:space="preserve">[37]	</w:t>
      </w:r>
      <w:r>
        <w:rPr>
          <w:sz w:val="16"/>
          <w:szCs w:val="16"/>
        </w:rPr>
        <w:t xml:space="preserve">I. Shumailov, Z. Shumaylov, Y. Zhao, N. Papernot, R. Anderson, and Y. Gal, “AI models collapse when trained on recursively generated data,” </w:t>
      </w:r>
      <w:r>
        <w:rPr>
          <w:i/>
          <w:iCs/>
          <w:sz w:val="16"/>
          <w:szCs w:val="16"/>
        </w:rPr>
        <w:t xml:space="preserve">Nature</w:t>
      </w:r>
      <w:r>
        <w:rPr>
          <w:sz w:val="16"/>
          <w:szCs w:val="16"/>
        </w:rPr>
        <w:t xml:space="preserve">, vol. 631, pp. 755–759, 2024.</w:t>
      </w:r>
    </w:p>
    <w:sectPr w:rsidR="00732E46" w:rsidSect="00002FAF">
      <w:footnotePr>
        <w:numRestart w:val="eachSect"/>
      </w:footnotePr>
      <w:type w:val="continuous"/>
      <w:pgSz w:w="12240" w:h="15840"/>
      <w:pgMar w:top="1008" w:right="936" w:bottom="1008" w:left="936" w:header="432" w:footer="432" w:gutter="0"/>
      <w:pgNumType w:start="1"/>
      <w:cols w:num="2" w:space="720" w:equalWidth="0">
        <w:col w:w="5040" w:space="288"/>
        <w:col w:w="5040" w:space="0"/>
      </w:col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DAAF20E" w14:textId="77777777" w:rsidR="004C2573" w:rsidRDefault="004C2573">
      <w:r>
        <w:separator/>
      </w:r>
    </w:p>
  </w:endnote>
  <w:endnote w:type="continuationSeparator" w:id="0">
    <w:p w14:paraId="31199390" w14:textId="77777777" w:rsidR="004C2573" w:rsidRDefault="004C25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Tahoma">
    <w:panose1 w:val="020B0604030504040204"/>
    <w:charset w:val="00"/>
    <w:family w:val="swiss"/>
    <w:pitch w:val="variable"/>
    <w:sig w:usb0="E1002EFF" w:usb1="C000605B" w:usb2="00000029" w:usb3="00000000" w:csb0="000101FF" w:csb1="00000000"/>
  </w:font>
  <w:font w:name="Baskerville">
    <w:altName w:val="Perpetua"/>
    <w:charset w:val="00"/>
    <w:family w:val="auto"/>
    <w:pitch w:val="variable"/>
    <w:sig w:usb0="80000063" w:usb1="00000000" w:usb2="00000000" w:usb3="00000000" w:csb0="000001FB" w:csb1="00000000"/>
  </w:font>
  <w:font w:name="Formata-Regular">
    <w:altName w:val="Calibri"/>
    <w:panose1 w:val="00000000000000000000"/>
    <w:charset w:val="4D"/>
    <w:family w:val="auto"/>
    <w:notTrueType/>
    <w:pitch w:val="default"/>
    <w:sig w:usb0="00000003" w:usb1="00000000" w:usb2="00000000" w:usb3="00000000" w:csb0="00000001" w:csb1="00000000"/>
  </w:font>
  <w:font w:name="MS Mincho">
    <w:altName w:val="ＭＳ 明朝"/>
    <w:panose1 w:val="020206090402050803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NimbusRomNo9L-Regu">
    <w:altName w:val="Calibri"/>
    <w:panose1 w:val="00000000000000000000"/>
    <w:charset w:val="00"/>
    <w:family w:val="auto"/>
    <w:notTrueType/>
    <w:pitch w:val="default"/>
    <w:sig w:usb0="00000003" w:usb1="08070000" w:usb2="00000010" w:usb3="00000000" w:csb0="00020001" w:csb1="00000000"/>
  </w:font>
  <w:font w:name="Cambria">
    <w:panose1 w:val="02040503050406030204"/>
    <w:charset w:val="00"/>
    <w:family w:val="roman"/>
    <w:pitch w:val="variable"/>
    <w:sig w:usb0="E00006FF" w:usb1="420024FF" w:usb2="02000000" w:usb3="00000000" w:csb0="0000019F"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67F0C3B3" w14:textId="77777777" w:rsidR="004C2573" w:rsidRPr="009A0AA6" w:rsidRDefault="004C2573" w:rsidP="009A0AA6">
      <w:pPr>
        <w:pStyle w:val="Footer"/>
      </w:pPr>
    </w:p>
  </w:footnote>
  <w:footnote w:type="continuationSeparator" w:id="0">
    <w:p w14:paraId="38D72284" w14:textId="77777777" w:rsidR="004C2573" w:rsidRDefault="004C2573">
      <w:r>
        <w:continuationSeparator/>
      </w:r>
    </w:p>
  </w:footnote>
  <w:footnote w:id="1">
    <w:p>
      <w:pPr>
        <w:keepLines/>
        <w:ind w:firstLine="202"/>
        <w:jc w:val="both"/>
      </w:pPr>
      <w:r>
        <w:rPr>
          <w:sz w:val="16"/>
          <w:szCs w:val="16"/>
        </w:rPr>
        <w:t xml:space="preserve">Manuscript received XX XX, 2026; revised XX XX, 2026. This research did not receive any specific grant from funding agencies in the public, commercial, or not-for-profit sectors. (Corresponding author: Ook Lee.)</w:t>
      </w:r>
    </w:p>
    <w:p>
      <w:pPr>
        <w:keepLines/>
        <w:ind w:firstLine="202"/>
        <w:jc w:val="both"/>
      </w:pPr>
      <w:r>
        <w:rPr>
          <w:sz w:val="16"/>
          <w:szCs w:val="16"/>
        </w:rPr>
        <w:t xml:space="preserve">The author is with the Department of Information Systems, Hanyang University, Seoul 04763, Republic of Korea (e-mail: ooklee@hanyang.ac.kr).</w:t>
      </w:r>
    </w:p>
  </w:footnote>
  <w:footnote w:id="2">
    <w:p w14:paraId="00256728" w14:textId="77777777" w:rsidR="00732E46" w:rsidRDefault="000F2C11">
      <w:pPr>
        <w:pBdr>
          <w:top w:val="nil"/>
          <w:left w:val="nil"/>
          <w:bottom w:val="nil"/>
          <w:right w:val="nil"/>
          <w:between w:val="nil"/>
        </w:pBdr>
        <w:ind w:firstLine="202"/>
        <w:jc w:val="both"/>
        <w:rPr>
          <w:color w:val="000000"/>
          <w:sz w:val="16"/>
          <w:szCs w:val="16"/>
        </w:rPr>
      </w:pPr>
      <w:r>
        <w:rPr>
          <w:rStyle w:val="FootnoteReference"/>
        </w:rPr>
        <w:footnoteRef/>
      </w:r>
      <w:r>
        <w:rPr>
          <w:color w:val="000000"/>
          <w:sz w:val="16"/>
          <w:szCs w:val="16"/>
        </w:rPr>
        <w:t>It is recommended that footnotes be avoided (except for the unnumbered footnote with the receipt date on the first page). Instead, try to integrate the footnote information into the text.</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BDD9899" w14:textId="77777777" w:rsidR="00732E46" w:rsidRDefault="000F2C11">
    <w:pPr>
      <w:jc w:val="right"/>
    </w:pPr>
    <w:r>
      <w:fldChar w:fldCharType="begin"/>
    </w:r>
    <w:r>
      <w:instrText>PAGE</w:instrText>
    </w:r>
    <w:r>
      <w:fldChar w:fldCharType="separate"/>
    </w:r>
    <w:r w:rsidR="005A170E">
      <w:rPr>
        <w:noProof/>
      </w:rPr>
      <w:t>3</w:t>
    </w:r>
    <w:r>
      <w:fldChar w:fldCharType="end"/>
    </w:r>
  </w:p>
  <w:p w14:paraId="3F33F23C" w14:textId="77777777" w:rsidR="00732E46" w:rsidRDefault="000F2C11">
    <w:pPr>
      <w:ind w:right="360"/>
    </w:pPr>
    <w:r>
      <w:t>&gt; REPLACE THIS LINE WITH YOUR MANUSCRIPT ID NUMBER (DOUBLE-CLICK HERE TO EDIT) &lt;</w:t>
    </w:r>
  </w:p>
  <w:p w14:paraId="46E0BAAB" w14:textId="77777777" w:rsidR="00732E46" w:rsidRDefault="00732E46">
    <w:pPr>
      <w:ind w:right="360"/>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43C2982"/>
    <w:multiLevelType w:val="multilevel"/>
    <w:tmpl w:val="0409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 w15:restartNumberingAfterBreak="0">
    <w:nsid w:val="0D27563A"/>
    <w:multiLevelType w:val="multilevel"/>
    <w:tmpl w:val="91500BF2"/>
    <w:lvl w:ilvl="0">
      <w:start w:val="1"/>
      <w:numFmt w:val="upperRoman"/>
      <w:lvlText w:val="%1."/>
      <w:lvlJc w:val="left"/>
      <w:pPr>
        <w:ind w:left="0" w:firstLine="0"/>
      </w:pPr>
    </w:lvl>
    <w:lvl w:ilvl="1">
      <w:start w:val="1"/>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2" w15:restartNumberingAfterBreak="0">
    <w:nsid w:val="119C305F"/>
    <w:multiLevelType w:val="multilevel"/>
    <w:tmpl w:val="DCC063F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15:restartNumberingAfterBreak="0">
    <w:nsid w:val="1BAC5DBD"/>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4" w15:restartNumberingAfterBreak="0">
    <w:nsid w:val="31F66E8E"/>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5" w15:restartNumberingAfterBreak="0">
    <w:nsid w:val="40BB7F3B"/>
    <w:multiLevelType w:val="multilevel"/>
    <w:tmpl w:val="96FCB51C"/>
    <w:lvl w:ilvl="0">
      <w:start w:val="1"/>
      <w:numFmt w:val="upperRoman"/>
      <w:lvlText w:val="%1."/>
      <w:lvlJc w:val="left"/>
      <w:pPr>
        <w:ind w:left="0" w:firstLine="0"/>
      </w:pPr>
    </w:lvl>
    <w:lvl w:ilvl="1">
      <w:start w:val="2"/>
      <w:numFmt w:val="upperLetter"/>
      <w:lvlText w:val="%2."/>
      <w:lvlJc w:val="left"/>
      <w:pPr>
        <w:ind w:left="0" w:firstLine="0"/>
      </w:pPr>
      <w:rPr>
        <w:b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6" w15:restartNumberingAfterBreak="0">
    <w:nsid w:val="44604766"/>
    <w:multiLevelType w:val="multilevel"/>
    <w:tmpl w:val="C84CC298"/>
    <w:lvl w:ilvl="0">
      <w:start w:val="1"/>
      <w:numFmt w:val="decimal"/>
      <w:pStyle w:val="References"/>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7" w15:restartNumberingAfterBreak="0">
    <w:nsid w:val="466B4453"/>
    <w:multiLevelType w:val="multilevel"/>
    <w:tmpl w:val="45AE852C"/>
    <w:lvl w:ilvl="0">
      <w:start w:val="1"/>
      <w:numFmt w:val="upperRoman"/>
      <w:lvlText w:val="%1."/>
      <w:lvlJc w:val="left"/>
      <w:pPr>
        <w:ind w:left="0" w:firstLine="0"/>
      </w:pPr>
    </w:lvl>
    <w:lvl w:ilvl="1">
      <w:start w:val="1"/>
      <w:numFmt w:val="decimal"/>
      <w:lvlText w:val="%2)"/>
      <w:lvlJc w:val="left"/>
      <w:pPr>
        <w:ind w:left="450" w:hanging="360"/>
      </w:pPr>
      <w:rPr>
        <w:b w:val="0"/>
        <w:i w:val="0"/>
        <w:u w:val="none"/>
      </w:rPr>
    </w:lvl>
    <w:lvl w:ilvl="2">
      <w:start w:val="1"/>
      <w:numFmt w:val="decimal"/>
      <w:lvlText w:val="%3)"/>
      <w:lvlJc w:val="left"/>
      <w:pPr>
        <w:ind w:left="0" w:firstLine="0"/>
      </w:pPr>
      <w:rPr>
        <w:i/>
      </w:rPr>
    </w:lvl>
    <w:lvl w:ilvl="3">
      <w:start w:val="1"/>
      <w:numFmt w:val="lowerLetter"/>
      <w:lvlText w:val="%4)"/>
      <w:lvlJc w:val="left"/>
      <w:pPr>
        <w:ind w:left="1152" w:hanging="720"/>
      </w:pPr>
    </w:lvl>
    <w:lvl w:ilvl="4">
      <w:start w:val="1"/>
      <w:numFmt w:val="decimal"/>
      <w:lvlText w:val="(%5)"/>
      <w:lvlJc w:val="left"/>
      <w:pPr>
        <w:ind w:left="1872" w:hanging="720"/>
      </w:pPr>
    </w:lvl>
    <w:lvl w:ilvl="5">
      <w:start w:val="1"/>
      <w:numFmt w:val="lowerLetter"/>
      <w:lvlText w:val="(%6)"/>
      <w:lvlJc w:val="left"/>
      <w:pPr>
        <w:ind w:left="2592" w:hanging="720"/>
      </w:pPr>
    </w:lvl>
    <w:lvl w:ilvl="6">
      <w:start w:val="1"/>
      <w:numFmt w:val="lowerRoman"/>
      <w:lvlText w:val="(%7)"/>
      <w:lvlJc w:val="left"/>
      <w:pPr>
        <w:ind w:left="3312" w:hanging="720"/>
      </w:pPr>
    </w:lvl>
    <w:lvl w:ilvl="7">
      <w:start w:val="1"/>
      <w:numFmt w:val="lowerLetter"/>
      <w:lvlText w:val="(%8)"/>
      <w:lvlJc w:val="left"/>
      <w:pPr>
        <w:ind w:left="4032" w:hanging="720"/>
      </w:pPr>
    </w:lvl>
    <w:lvl w:ilvl="8">
      <w:start w:val="1"/>
      <w:numFmt w:val="lowerRoman"/>
      <w:lvlText w:val="(%9)"/>
      <w:lvlJc w:val="left"/>
      <w:pPr>
        <w:ind w:left="4752" w:hanging="720"/>
      </w:pPr>
    </w:lvl>
  </w:abstractNum>
  <w:abstractNum w:abstractNumId="8" w15:restartNumberingAfterBreak="0">
    <w:nsid w:val="4C936FD3"/>
    <w:multiLevelType w:val="multilevel"/>
    <w:tmpl w:val="82B850BA"/>
    <w:lvl w:ilvl="0">
      <w:start w:val="1"/>
      <w:numFmt w:val="upperLetter"/>
      <w:lvlText w:val="%1."/>
      <w:lvlJc w:val="left"/>
      <w:pPr>
        <w:ind w:left="720" w:hanging="360"/>
      </w:pPr>
      <w:rPr>
        <w:i/>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4CC97A8F"/>
    <w:multiLevelType w:val="multilevel"/>
    <w:tmpl w:val="51823B8A"/>
    <w:lvl w:ilvl="0">
      <w:start w:val="1"/>
      <w:numFmt w:val="decimal"/>
      <w:lvlText w:val="[%1]"/>
      <w:lvlJc w:val="left"/>
      <w:pPr>
        <w:ind w:left="990" w:hanging="360"/>
      </w:pPr>
      <w:rPr>
        <w:i w:val="0"/>
        <w:sz w:val="16"/>
        <w:szCs w:val="16"/>
      </w:rPr>
    </w:lvl>
    <w:lvl w:ilvl="1">
      <w:start w:val="1"/>
      <w:numFmt w:val="bullet"/>
      <w:pStyle w:val="Heading2"/>
      <w:lvlText w:val=""/>
      <w:lvlJc w:val="left"/>
      <w:pPr>
        <w:ind w:left="0" w:firstLine="0"/>
      </w:pPr>
    </w:lvl>
    <w:lvl w:ilvl="2">
      <w:start w:val="1"/>
      <w:numFmt w:val="bullet"/>
      <w:pStyle w:val="Heading3"/>
      <w:lvlText w:val=""/>
      <w:lvlJc w:val="left"/>
      <w:pPr>
        <w:ind w:left="0" w:firstLine="0"/>
      </w:pPr>
    </w:lvl>
    <w:lvl w:ilvl="3">
      <w:start w:val="1"/>
      <w:numFmt w:val="bullet"/>
      <w:pStyle w:val="Heading4"/>
      <w:lvlText w:val=""/>
      <w:lvlJc w:val="left"/>
      <w:pPr>
        <w:ind w:left="0" w:firstLine="0"/>
      </w:pPr>
    </w:lvl>
    <w:lvl w:ilvl="4">
      <w:start w:val="1"/>
      <w:numFmt w:val="bullet"/>
      <w:pStyle w:val="Heading5"/>
      <w:lvlText w:val=""/>
      <w:lvlJc w:val="left"/>
      <w:pPr>
        <w:ind w:left="0" w:firstLine="0"/>
      </w:pPr>
    </w:lvl>
    <w:lvl w:ilvl="5">
      <w:start w:val="1"/>
      <w:numFmt w:val="bullet"/>
      <w:pStyle w:val="Heading6"/>
      <w:lvlText w:val=""/>
      <w:lvlJc w:val="left"/>
      <w:pPr>
        <w:ind w:left="0" w:firstLine="0"/>
      </w:pPr>
    </w:lvl>
    <w:lvl w:ilvl="6">
      <w:start w:val="1"/>
      <w:numFmt w:val="bullet"/>
      <w:pStyle w:val="Heading7"/>
      <w:lvlText w:val=""/>
      <w:lvlJc w:val="left"/>
      <w:pPr>
        <w:ind w:left="0" w:firstLine="0"/>
      </w:pPr>
    </w:lvl>
    <w:lvl w:ilvl="7">
      <w:start w:val="1"/>
      <w:numFmt w:val="bullet"/>
      <w:pStyle w:val="Heading8"/>
      <w:lvlText w:val=""/>
      <w:lvlJc w:val="left"/>
      <w:pPr>
        <w:ind w:left="0" w:firstLine="0"/>
      </w:pPr>
    </w:lvl>
    <w:lvl w:ilvl="8">
      <w:start w:val="1"/>
      <w:numFmt w:val="bullet"/>
      <w:pStyle w:val="Heading9"/>
      <w:lvlText w:val=""/>
      <w:lvlJc w:val="left"/>
      <w:pPr>
        <w:ind w:left="0" w:firstLine="0"/>
      </w:pPr>
    </w:lvl>
  </w:abstractNum>
  <w:abstractNum w:abstractNumId="10" w15:restartNumberingAfterBreak="0">
    <w:nsid w:val="52F65CE7"/>
    <w:multiLevelType w:val="multilevel"/>
    <w:tmpl w:val="9A60E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DEA164D"/>
    <w:multiLevelType w:val="multilevel"/>
    <w:tmpl w:val="8D6CF7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704474254">
    <w:abstractNumId w:val="9"/>
  </w:num>
  <w:num w:numId="2" w16cid:durableId="1182279118">
    <w:abstractNumId w:val="2"/>
  </w:num>
  <w:num w:numId="3" w16cid:durableId="83192768">
    <w:abstractNumId w:val="1"/>
  </w:num>
  <w:num w:numId="4" w16cid:durableId="1311791867">
    <w:abstractNumId w:val="8"/>
  </w:num>
  <w:num w:numId="5" w16cid:durableId="171183208">
    <w:abstractNumId w:val="5"/>
  </w:num>
  <w:num w:numId="6" w16cid:durableId="1268463963">
    <w:abstractNumId w:val="6"/>
  </w:num>
  <w:num w:numId="7" w16cid:durableId="439372643">
    <w:abstractNumId w:val="9"/>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8" w16cid:durableId="538515103">
    <w:abstractNumId w:val="4"/>
  </w:num>
  <w:num w:numId="9" w16cid:durableId="1950312838">
    <w:abstractNumId w:val="3"/>
  </w:num>
  <w:num w:numId="10" w16cid:durableId="881602541">
    <w:abstractNumId w:val="7"/>
  </w:num>
  <w:num w:numId="11" w16cid:durableId="830146748">
    <w:abstractNumId w:val="0"/>
  </w:num>
  <w:num w:numId="12" w16cid:durableId="947540831">
    <w:abstractNumId w:val="11"/>
  </w:num>
  <w:num w:numId="13" w16cid:durableId="152536492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20"/>
  <w:removePersonalInformation/>
  <w:removeDateAndTim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732E46"/>
    <w:rsid w:val="00002FAF"/>
    <w:rsid w:val="00023182"/>
    <w:rsid w:val="00031B79"/>
    <w:rsid w:val="0003442C"/>
    <w:rsid w:val="000403AE"/>
    <w:rsid w:val="00050683"/>
    <w:rsid w:val="00053B2E"/>
    <w:rsid w:val="000650E5"/>
    <w:rsid w:val="00067023"/>
    <w:rsid w:val="00081747"/>
    <w:rsid w:val="00085D7A"/>
    <w:rsid w:val="000968E1"/>
    <w:rsid w:val="000C21BE"/>
    <w:rsid w:val="000D4F4C"/>
    <w:rsid w:val="000F2C11"/>
    <w:rsid w:val="000F400B"/>
    <w:rsid w:val="00114406"/>
    <w:rsid w:val="00124A09"/>
    <w:rsid w:val="0014692A"/>
    <w:rsid w:val="00152AB3"/>
    <w:rsid w:val="00170C54"/>
    <w:rsid w:val="001743EC"/>
    <w:rsid w:val="00180047"/>
    <w:rsid w:val="0019206C"/>
    <w:rsid w:val="001B020C"/>
    <w:rsid w:val="001B0334"/>
    <w:rsid w:val="001B2E51"/>
    <w:rsid w:val="001E7EDB"/>
    <w:rsid w:val="001F1173"/>
    <w:rsid w:val="001F2329"/>
    <w:rsid w:val="001F512A"/>
    <w:rsid w:val="00201147"/>
    <w:rsid w:val="00233A4C"/>
    <w:rsid w:val="00234ABB"/>
    <w:rsid w:val="002577ED"/>
    <w:rsid w:val="00262D2F"/>
    <w:rsid w:val="002775B6"/>
    <w:rsid w:val="00282E76"/>
    <w:rsid w:val="00285E41"/>
    <w:rsid w:val="002947C5"/>
    <w:rsid w:val="002E2421"/>
    <w:rsid w:val="002F221E"/>
    <w:rsid w:val="00305C29"/>
    <w:rsid w:val="0031286C"/>
    <w:rsid w:val="00313303"/>
    <w:rsid w:val="00357347"/>
    <w:rsid w:val="0036091A"/>
    <w:rsid w:val="003913E5"/>
    <w:rsid w:val="003F021E"/>
    <w:rsid w:val="00402320"/>
    <w:rsid w:val="004063A4"/>
    <w:rsid w:val="00474613"/>
    <w:rsid w:val="0048247F"/>
    <w:rsid w:val="004A4B26"/>
    <w:rsid w:val="004B29E3"/>
    <w:rsid w:val="004C0A1B"/>
    <w:rsid w:val="004C0A56"/>
    <w:rsid w:val="004C1E98"/>
    <w:rsid w:val="004C2573"/>
    <w:rsid w:val="00533E1B"/>
    <w:rsid w:val="00550D56"/>
    <w:rsid w:val="0056364D"/>
    <w:rsid w:val="0059348A"/>
    <w:rsid w:val="005A170E"/>
    <w:rsid w:val="005A2567"/>
    <w:rsid w:val="005B43C2"/>
    <w:rsid w:val="005C18AE"/>
    <w:rsid w:val="005C68BC"/>
    <w:rsid w:val="005E2D10"/>
    <w:rsid w:val="005E69DC"/>
    <w:rsid w:val="005F0DEA"/>
    <w:rsid w:val="005F12E8"/>
    <w:rsid w:val="005F4497"/>
    <w:rsid w:val="005F5E3C"/>
    <w:rsid w:val="006068E5"/>
    <w:rsid w:val="00613800"/>
    <w:rsid w:val="006209FC"/>
    <w:rsid w:val="00621141"/>
    <w:rsid w:val="00636D0A"/>
    <w:rsid w:val="00645190"/>
    <w:rsid w:val="006514FE"/>
    <w:rsid w:val="0065173B"/>
    <w:rsid w:val="00660F88"/>
    <w:rsid w:val="006774B8"/>
    <w:rsid w:val="00694E0B"/>
    <w:rsid w:val="006B68F3"/>
    <w:rsid w:val="006C32BD"/>
    <w:rsid w:val="006C60F0"/>
    <w:rsid w:val="006E42E3"/>
    <w:rsid w:val="006F18B8"/>
    <w:rsid w:val="006F6F5A"/>
    <w:rsid w:val="007054D1"/>
    <w:rsid w:val="00732E46"/>
    <w:rsid w:val="00756915"/>
    <w:rsid w:val="00771AA2"/>
    <w:rsid w:val="007938DE"/>
    <w:rsid w:val="007A2DEB"/>
    <w:rsid w:val="007B07C3"/>
    <w:rsid w:val="007B38DE"/>
    <w:rsid w:val="007B62A7"/>
    <w:rsid w:val="007C410D"/>
    <w:rsid w:val="007C5FE2"/>
    <w:rsid w:val="007E5119"/>
    <w:rsid w:val="007E713A"/>
    <w:rsid w:val="007F4FB6"/>
    <w:rsid w:val="0080720F"/>
    <w:rsid w:val="00810E2F"/>
    <w:rsid w:val="00813371"/>
    <w:rsid w:val="00827FB8"/>
    <w:rsid w:val="008313C6"/>
    <w:rsid w:val="00851B4D"/>
    <w:rsid w:val="00874977"/>
    <w:rsid w:val="008856C3"/>
    <w:rsid w:val="0089298D"/>
    <w:rsid w:val="008E1FF8"/>
    <w:rsid w:val="008E4F03"/>
    <w:rsid w:val="00932FBA"/>
    <w:rsid w:val="009454A2"/>
    <w:rsid w:val="00954BD6"/>
    <w:rsid w:val="0096199E"/>
    <w:rsid w:val="00986618"/>
    <w:rsid w:val="009A0AA6"/>
    <w:rsid w:val="009B429F"/>
    <w:rsid w:val="009D0B85"/>
    <w:rsid w:val="009E2C51"/>
    <w:rsid w:val="009E73E3"/>
    <w:rsid w:val="00A26A6A"/>
    <w:rsid w:val="00A27561"/>
    <w:rsid w:val="00A320DF"/>
    <w:rsid w:val="00A41540"/>
    <w:rsid w:val="00A530D2"/>
    <w:rsid w:val="00A6122B"/>
    <w:rsid w:val="00A65256"/>
    <w:rsid w:val="00A80BDA"/>
    <w:rsid w:val="00A853F3"/>
    <w:rsid w:val="00AA5225"/>
    <w:rsid w:val="00AB4C22"/>
    <w:rsid w:val="00AC0FD4"/>
    <w:rsid w:val="00AF3089"/>
    <w:rsid w:val="00B05CCE"/>
    <w:rsid w:val="00B07BB7"/>
    <w:rsid w:val="00B10AF1"/>
    <w:rsid w:val="00B51AB6"/>
    <w:rsid w:val="00B54450"/>
    <w:rsid w:val="00B60677"/>
    <w:rsid w:val="00B630FA"/>
    <w:rsid w:val="00B83635"/>
    <w:rsid w:val="00BC0495"/>
    <w:rsid w:val="00BE4774"/>
    <w:rsid w:val="00C04F49"/>
    <w:rsid w:val="00C16047"/>
    <w:rsid w:val="00C25825"/>
    <w:rsid w:val="00C52F3D"/>
    <w:rsid w:val="00C54B70"/>
    <w:rsid w:val="00C64D24"/>
    <w:rsid w:val="00C72820"/>
    <w:rsid w:val="00C7592D"/>
    <w:rsid w:val="00C821C0"/>
    <w:rsid w:val="00C9162C"/>
    <w:rsid w:val="00CB5CB4"/>
    <w:rsid w:val="00CC21A8"/>
    <w:rsid w:val="00CD54DC"/>
    <w:rsid w:val="00CF48E2"/>
    <w:rsid w:val="00D050EC"/>
    <w:rsid w:val="00D05F12"/>
    <w:rsid w:val="00D10AC8"/>
    <w:rsid w:val="00D20E00"/>
    <w:rsid w:val="00D66528"/>
    <w:rsid w:val="00D83AF6"/>
    <w:rsid w:val="00D868B8"/>
    <w:rsid w:val="00D87F8B"/>
    <w:rsid w:val="00DA34C3"/>
    <w:rsid w:val="00DA5A9A"/>
    <w:rsid w:val="00DB3364"/>
    <w:rsid w:val="00DB4355"/>
    <w:rsid w:val="00DC758F"/>
    <w:rsid w:val="00DD7F24"/>
    <w:rsid w:val="00DF6629"/>
    <w:rsid w:val="00E05735"/>
    <w:rsid w:val="00E2077B"/>
    <w:rsid w:val="00E247D3"/>
    <w:rsid w:val="00E30D60"/>
    <w:rsid w:val="00E45781"/>
    <w:rsid w:val="00E57D3D"/>
    <w:rsid w:val="00E625A7"/>
    <w:rsid w:val="00E653B5"/>
    <w:rsid w:val="00E65DF7"/>
    <w:rsid w:val="00E90136"/>
    <w:rsid w:val="00EA352F"/>
    <w:rsid w:val="00EC35CE"/>
    <w:rsid w:val="00EE01E7"/>
    <w:rsid w:val="00EE02E8"/>
    <w:rsid w:val="00EF6430"/>
    <w:rsid w:val="00F22A05"/>
    <w:rsid w:val="00F33F99"/>
    <w:rsid w:val="00F63565"/>
    <w:rsid w:val="00F67007"/>
    <w:rsid w:val="00FA6C74"/>
    <w:rsid w:val="00FB41DF"/>
    <w:rsid w:val="00FD69D2"/>
    <w:rsid w:val="00FF4CD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E434F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autoRedefine/>
    <w:uiPriority w:val="9"/>
    <w:qFormat/>
    <w:rsid w:val="00827FB8"/>
    <w:pPr>
      <w:keepNext/>
      <w:spacing w:before="240" w:after="80"/>
      <w:jc w:val="center"/>
      <w:outlineLvl w:val="0"/>
    </w:pPr>
    <w:rPr>
      <w:smallCaps/>
      <w:kern w:val="28"/>
    </w:rPr>
  </w:style>
  <w:style w:type="paragraph" w:styleId="Heading2">
    <w:name w:val="heading 2"/>
    <w:basedOn w:val="Normal"/>
    <w:next w:val="Normal"/>
    <w:link w:val="Heading2Char"/>
    <w:uiPriority w:val="9"/>
    <w:unhideWhenUsed/>
    <w:qFormat/>
    <w:pPr>
      <w:keepNext/>
      <w:numPr>
        <w:ilvl w:val="1"/>
        <w:numId w:val="1"/>
      </w:numPr>
      <w:spacing w:before="120" w:after="60"/>
      <w:outlineLvl w:val="1"/>
    </w:pPr>
    <w:rPr>
      <w:i/>
      <w:iCs/>
    </w:rPr>
  </w:style>
  <w:style w:type="paragraph" w:styleId="Heading3">
    <w:name w:val="heading 3"/>
    <w:basedOn w:val="Normal"/>
    <w:next w:val="Normal"/>
    <w:uiPriority w:val="9"/>
    <w:unhideWhenUsed/>
    <w:qFormat/>
    <w:pPr>
      <w:keepNext/>
      <w:numPr>
        <w:ilvl w:val="2"/>
        <w:numId w:val="1"/>
      </w:numPr>
      <w:outlineLvl w:val="2"/>
    </w:pPr>
    <w:rPr>
      <w:i/>
      <w:iCs/>
    </w:rPr>
  </w:style>
  <w:style w:type="paragraph" w:styleId="Heading4">
    <w:name w:val="heading 4"/>
    <w:basedOn w:val="Normal"/>
    <w:next w:val="Normal"/>
    <w:uiPriority w:val="9"/>
    <w:semiHidden/>
    <w:unhideWhenUsed/>
    <w:qFormat/>
    <w:pPr>
      <w:keepNext/>
      <w:numPr>
        <w:ilvl w:val="3"/>
        <w:numId w:val="1"/>
      </w:numPr>
      <w:spacing w:before="240" w:after="60"/>
      <w:outlineLvl w:val="3"/>
    </w:pPr>
    <w:rPr>
      <w:i/>
      <w:iCs/>
      <w:sz w:val="18"/>
      <w:szCs w:val="18"/>
    </w:rPr>
  </w:style>
  <w:style w:type="paragraph" w:styleId="Heading5">
    <w:name w:val="heading 5"/>
    <w:basedOn w:val="Normal"/>
    <w:next w:val="Normal"/>
    <w:uiPriority w:val="9"/>
    <w:semiHidden/>
    <w:unhideWhenUsed/>
    <w:qFormat/>
    <w:pPr>
      <w:numPr>
        <w:ilvl w:val="4"/>
        <w:numId w:val="1"/>
      </w:numPr>
      <w:spacing w:before="240" w:after="60"/>
      <w:outlineLvl w:val="4"/>
    </w:pPr>
    <w:rPr>
      <w:sz w:val="18"/>
      <w:szCs w:val="18"/>
    </w:rPr>
  </w:style>
  <w:style w:type="paragraph" w:styleId="Heading6">
    <w:name w:val="heading 6"/>
    <w:basedOn w:val="Normal"/>
    <w:next w:val="Normal"/>
    <w:uiPriority w:val="9"/>
    <w:semiHidden/>
    <w:unhideWhenUsed/>
    <w:qFormat/>
    <w:pPr>
      <w:numPr>
        <w:ilvl w:val="5"/>
        <w:numId w:val="1"/>
      </w:numPr>
      <w:spacing w:before="240" w:after="60"/>
      <w:outlineLvl w:val="5"/>
    </w:pPr>
    <w:rPr>
      <w:i/>
      <w:iCs/>
      <w:sz w:val="16"/>
      <w:szCs w:val="16"/>
    </w:rPr>
  </w:style>
  <w:style w:type="paragraph" w:styleId="Heading7">
    <w:name w:val="heading 7"/>
    <w:basedOn w:val="Normal"/>
    <w:next w:val="Normal"/>
    <w:uiPriority w:val="9"/>
    <w:qFormat/>
    <w:pPr>
      <w:numPr>
        <w:ilvl w:val="6"/>
        <w:numId w:val="1"/>
      </w:numPr>
      <w:spacing w:before="240" w:after="60"/>
      <w:outlineLvl w:val="6"/>
    </w:pPr>
    <w:rPr>
      <w:sz w:val="16"/>
      <w:szCs w:val="16"/>
    </w:rPr>
  </w:style>
  <w:style w:type="paragraph" w:styleId="Heading8">
    <w:name w:val="heading 8"/>
    <w:basedOn w:val="Normal"/>
    <w:next w:val="Normal"/>
    <w:uiPriority w:val="9"/>
    <w:qFormat/>
    <w:pPr>
      <w:numPr>
        <w:ilvl w:val="7"/>
        <w:numId w:val="1"/>
      </w:numPr>
      <w:spacing w:before="240" w:after="60"/>
      <w:outlineLvl w:val="7"/>
    </w:pPr>
    <w:rPr>
      <w:i/>
      <w:iCs/>
      <w:sz w:val="16"/>
      <w:szCs w:val="16"/>
    </w:rPr>
  </w:style>
  <w:style w:type="paragraph" w:styleId="Heading9">
    <w:name w:val="heading 9"/>
    <w:basedOn w:val="Normal"/>
    <w:next w:val="Normal"/>
    <w:uiPriority w:val="9"/>
    <w:qFormat/>
    <w:pPr>
      <w:numPr>
        <w:ilvl w:val="8"/>
        <w:numId w:val="1"/>
      </w:numPr>
      <w:spacing w:before="240" w:after="60"/>
      <w:outlineLvl w:val="8"/>
    </w:pPr>
    <w:rPr>
      <w:sz w:val="16"/>
      <w:szCs w:val="1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framePr w:w="9360" w:hSpace="187" w:vSpace="187" w:wrap="notBeside" w:vAnchor="text" w:hAnchor="page" w:xAlign="center" w:y="1"/>
      <w:jc w:val="center"/>
    </w:pPr>
    <w:rPr>
      <w:kern w:val="28"/>
      <w:sz w:val="48"/>
      <w:szCs w:val="48"/>
    </w:rPr>
  </w:style>
  <w:style w:type="paragraph" w:customStyle="1" w:styleId="Abstract">
    <w:name w:val="Abstract"/>
    <w:basedOn w:val="Normal"/>
    <w:next w:val="Normal"/>
    <w:pPr>
      <w:spacing w:before="20"/>
      <w:ind w:firstLine="202"/>
      <w:jc w:val="both"/>
    </w:pPr>
    <w:rPr>
      <w:b/>
      <w:bCs/>
      <w:sz w:val="18"/>
      <w:szCs w:val="18"/>
    </w:rPr>
  </w:style>
  <w:style w:type="paragraph" w:customStyle="1" w:styleId="Authors">
    <w:name w:val="Authors"/>
    <w:basedOn w:val="Normal"/>
    <w:next w:val="Normal"/>
    <w:pPr>
      <w:framePr w:w="9072" w:hSpace="187" w:vSpace="187" w:wrap="notBeside" w:vAnchor="text" w:hAnchor="page" w:xAlign="center" w:y="1"/>
      <w:spacing w:after="320"/>
      <w:jc w:val="center"/>
    </w:pPr>
    <w:rPr>
      <w:sz w:val="22"/>
      <w:szCs w:val="22"/>
    </w:rPr>
  </w:style>
  <w:style w:type="character" w:customStyle="1" w:styleId="MemberType">
    <w:name w:val="MemberType"/>
    <w:rPr>
      <w:rFonts w:ascii="Times New Roman" w:hAnsi="Times New Roman" w:cs="Times New Roman"/>
      <w:i/>
      <w:iCs/>
      <w:sz w:val="22"/>
      <w:szCs w:val="22"/>
    </w:rPr>
  </w:style>
  <w:style w:type="paragraph" w:styleId="FootnoteText">
    <w:name w:val="footnote text"/>
    <w:basedOn w:val="Normal"/>
    <w:link w:val="FootnoteTextChar"/>
    <w:semiHidden/>
    <w:pPr>
      <w:ind w:firstLine="202"/>
      <w:jc w:val="both"/>
    </w:pPr>
    <w:rPr>
      <w:sz w:val="16"/>
      <w:szCs w:val="16"/>
    </w:rPr>
  </w:style>
  <w:style w:type="paragraph" w:customStyle="1" w:styleId="References">
    <w:name w:val="References"/>
    <w:basedOn w:val="Normal"/>
    <w:pPr>
      <w:numPr>
        <w:numId w:val="6"/>
      </w:numPr>
      <w:jc w:val="both"/>
    </w:pPr>
    <w:rPr>
      <w:sz w:val="16"/>
      <w:szCs w:val="16"/>
    </w:rPr>
  </w:style>
  <w:style w:type="paragraph" w:customStyle="1" w:styleId="IndexTerms">
    <w:name w:val="IndexTerms"/>
    <w:basedOn w:val="Normal"/>
    <w:next w:val="Normal"/>
    <w:pPr>
      <w:ind w:firstLine="202"/>
      <w:jc w:val="both"/>
    </w:pPr>
    <w:rPr>
      <w:b/>
      <w:bCs/>
      <w:sz w:val="18"/>
      <w:szCs w:val="18"/>
    </w:rPr>
  </w:style>
  <w:style w:type="character" w:styleId="FootnoteReference">
    <w:name w:val="footnote reference"/>
    <w:semiHidden/>
    <w:rPr>
      <w:vertAlign w:val="superscript"/>
    </w:rPr>
  </w:style>
  <w:style w:type="paragraph" w:styleId="Footer">
    <w:name w:val="footer"/>
    <w:basedOn w:val="Normal"/>
    <w:link w:val="FooterChar"/>
    <w:uiPriority w:val="99"/>
    <w:pPr>
      <w:tabs>
        <w:tab w:val="center" w:pos="4320"/>
        <w:tab w:val="right" w:pos="8640"/>
      </w:tabs>
    </w:pPr>
  </w:style>
  <w:style w:type="paragraph" w:customStyle="1" w:styleId="Text">
    <w:name w:val="Text"/>
    <w:basedOn w:val="Normal"/>
    <w:link w:val="TextChar"/>
    <w:pPr>
      <w:widowControl w:val="0"/>
      <w:spacing w:line="252" w:lineRule="auto"/>
      <w:ind w:firstLine="202"/>
      <w:jc w:val="both"/>
    </w:pPr>
  </w:style>
  <w:style w:type="paragraph" w:customStyle="1" w:styleId="FigureCaption">
    <w:name w:val="Figure Caption"/>
    <w:basedOn w:val="Normal"/>
    <w:pPr>
      <w:jc w:val="both"/>
    </w:pPr>
    <w:rPr>
      <w:sz w:val="16"/>
      <w:szCs w:val="16"/>
    </w:rPr>
  </w:style>
  <w:style w:type="paragraph" w:customStyle="1" w:styleId="TableTitle">
    <w:name w:val="Table Title"/>
    <w:basedOn w:val="Normal"/>
    <w:pPr>
      <w:jc w:val="center"/>
    </w:pPr>
    <w:rPr>
      <w:smallCaps/>
      <w:sz w:val="16"/>
      <w:szCs w:val="16"/>
    </w:rPr>
  </w:style>
  <w:style w:type="paragraph" w:customStyle="1" w:styleId="ReferenceHead">
    <w:name w:val="Reference Head"/>
    <w:basedOn w:val="Heading1"/>
    <w:link w:val="ReferenceHeadChar"/>
  </w:style>
  <w:style w:type="paragraph" w:styleId="Header">
    <w:name w:val="header"/>
    <w:basedOn w:val="Normal"/>
    <w:pPr>
      <w:tabs>
        <w:tab w:val="center" w:pos="4320"/>
        <w:tab w:val="right" w:pos="8640"/>
      </w:tabs>
    </w:pPr>
  </w:style>
  <w:style w:type="paragraph" w:customStyle="1" w:styleId="Equation">
    <w:name w:val="Equation"/>
    <w:basedOn w:val="Normal"/>
    <w:next w:val="Normal"/>
    <w:pPr>
      <w:widowControl w:val="0"/>
      <w:tabs>
        <w:tab w:val="right" w:pos="5040"/>
      </w:tabs>
      <w:spacing w:line="252" w:lineRule="auto"/>
      <w:jc w:val="both"/>
    </w:pPr>
  </w:style>
  <w:style w:type="character" w:styleId="Hyperlink">
    <w:name w:val="Hyperlink"/>
    <w:rPr>
      <w:color w:val="0000FF"/>
      <w:u w:val="single"/>
    </w:rPr>
  </w:style>
  <w:style w:type="character" w:styleId="FollowedHyperlink">
    <w:name w:val="FollowedHyperlink"/>
    <w:rPr>
      <w:color w:val="800080"/>
      <w:u w:val="single"/>
    </w:rPr>
  </w:style>
  <w:style w:type="paragraph" w:styleId="BodyTextIndent">
    <w:name w:val="Body Text Indent"/>
    <w:basedOn w:val="Normal"/>
    <w:link w:val="BodyTextIndentChar"/>
    <w:pPr>
      <w:ind w:left="630" w:hanging="630"/>
    </w:pPr>
    <w:rPr>
      <w:szCs w:val="24"/>
    </w:rPr>
  </w:style>
  <w:style w:type="paragraph" w:styleId="DocumentMap">
    <w:name w:val="Document Map"/>
    <w:basedOn w:val="Normal"/>
    <w:semiHidden/>
    <w:rsid w:val="00DC5FC7"/>
    <w:pPr>
      <w:shd w:val="clear" w:color="auto" w:fill="000080"/>
    </w:pPr>
    <w:rPr>
      <w:rFonts w:ascii="Tahoma" w:hAnsi="Tahoma" w:cs="Tahoma"/>
    </w:rPr>
  </w:style>
  <w:style w:type="paragraph" w:customStyle="1" w:styleId="Pa0">
    <w:name w:val="Pa0"/>
    <w:basedOn w:val="Normal"/>
    <w:next w:val="Normal"/>
    <w:rsid w:val="00426966"/>
    <w:pPr>
      <w:widowControl w:val="0"/>
      <w:adjustRightInd w:val="0"/>
      <w:spacing w:line="241" w:lineRule="atLeast"/>
    </w:pPr>
    <w:rPr>
      <w:rFonts w:ascii="Baskerville" w:hAnsi="Baskerville"/>
      <w:sz w:val="24"/>
      <w:szCs w:val="24"/>
    </w:rPr>
  </w:style>
  <w:style w:type="character" w:customStyle="1" w:styleId="A5">
    <w:name w:val="A5"/>
    <w:rsid w:val="00426966"/>
    <w:rPr>
      <w:color w:val="00529F"/>
      <w:sz w:val="20"/>
      <w:szCs w:val="20"/>
    </w:rPr>
  </w:style>
  <w:style w:type="paragraph" w:styleId="BalloonText">
    <w:name w:val="Balloon Text"/>
    <w:basedOn w:val="Normal"/>
    <w:link w:val="BalloonTextChar"/>
    <w:rsid w:val="00F33D49"/>
    <w:rPr>
      <w:rFonts w:ascii="Tahoma" w:hAnsi="Tahoma" w:cs="Tahoma"/>
      <w:sz w:val="16"/>
      <w:szCs w:val="16"/>
    </w:rPr>
  </w:style>
  <w:style w:type="character" w:customStyle="1" w:styleId="BalloonTextChar">
    <w:name w:val="Balloon Text Char"/>
    <w:link w:val="BalloonText"/>
    <w:rsid w:val="00F33D49"/>
    <w:rPr>
      <w:rFonts w:ascii="Tahoma" w:hAnsi="Tahoma" w:cs="Tahoma"/>
      <w:sz w:val="16"/>
      <w:szCs w:val="16"/>
    </w:rPr>
  </w:style>
  <w:style w:type="character" w:customStyle="1" w:styleId="MediumGrid11">
    <w:name w:val="Medium Grid 11"/>
    <w:uiPriority w:val="99"/>
    <w:semiHidden/>
    <w:rsid w:val="009A1F6E"/>
    <w:rPr>
      <w:color w:val="808080"/>
    </w:rPr>
  </w:style>
  <w:style w:type="paragraph" w:customStyle="1" w:styleId="ParagraphStyle1">
    <w:name w:val="Paragraph Style 1"/>
    <w:basedOn w:val="Normal"/>
    <w:uiPriority w:val="99"/>
    <w:rsid w:val="00C82D86"/>
    <w:pPr>
      <w:widowControl w:val="0"/>
      <w:tabs>
        <w:tab w:val="left" w:pos="480"/>
      </w:tabs>
      <w:adjustRightInd w:val="0"/>
      <w:spacing w:before="100" w:line="280" w:lineRule="atLeast"/>
      <w:textAlignment w:val="center"/>
    </w:pPr>
    <w:rPr>
      <w:rFonts w:ascii="Formata-Regular" w:eastAsia="MS Mincho" w:hAnsi="Formata-Regular" w:cs="Formata-Regular"/>
      <w:color w:val="000000"/>
      <w:sz w:val="22"/>
      <w:szCs w:val="22"/>
      <w:lang w:eastAsia="ja-JP"/>
    </w:rPr>
  </w:style>
  <w:style w:type="character" w:customStyle="1" w:styleId="BodyText1">
    <w:name w:val="Body Text1"/>
    <w:uiPriority w:val="99"/>
    <w:rsid w:val="00C82D86"/>
    <w:rPr>
      <w:rFonts w:ascii="Verdana" w:hAnsi="Verdana" w:cs="Verdana"/>
      <w:color w:val="000000"/>
      <w:sz w:val="22"/>
      <w:szCs w:val="22"/>
    </w:rPr>
  </w:style>
  <w:style w:type="character" w:customStyle="1" w:styleId="bodytype">
    <w:name w:val="body type"/>
    <w:uiPriority w:val="99"/>
    <w:rsid w:val="00C82D86"/>
    <w:rPr>
      <w:rFonts w:ascii="Formata-Regular" w:hAnsi="Formata-Regular" w:cs="Formata-Regular"/>
      <w:color w:val="000000"/>
      <w:sz w:val="22"/>
      <w:szCs w:val="22"/>
    </w:rPr>
  </w:style>
  <w:style w:type="paragraph" w:customStyle="1" w:styleId="Style1">
    <w:name w:val="Style1"/>
    <w:basedOn w:val="ReferenceHead"/>
    <w:link w:val="Style1Char"/>
    <w:qFormat/>
    <w:rsid w:val="003F52AD"/>
  </w:style>
  <w:style w:type="character" w:customStyle="1" w:styleId="Heading1Char">
    <w:name w:val="Heading 1 Char"/>
    <w:link w:val="Heading1"/>
    <w:uiPriority w:val="9"/>
    <w:rsid w:val="00827FB8"/>
    <w:rPr>
      <w:smallCaps/>
      <w:kern w:val="28"/>
    </w:rPr>
  </w:style>
  <w:style w:type="character" w:customStyle="1" w:styleId="ReferenceHeadChar">
    <w:name w:val="Reference Head Char"/>
    <w:link w:val="ReferenceHead"/>
    <w:rsid w:val="003F52AD"/>
    <w:rPr>
      <w:smallCaps/>
      <w:kern w:val="28"/>
    </w:rPr>
  </w:style>
  <w:style w:type="character" w:customStyle="1" w:styleId="Style1Char">
    <w:name w:val="Style1 Char"/>
    <w:link w:val="Style1"/>
    <w:rsid w:val="003F52AD"/>
    <w:rPr>
      <w:smallCaps/>
      <w:kern w:val="28"/>
    </w:rPr>
  </w:style>
  <w:style w:type="paragraph" w:customStyle="1" w:styleId="ColorfulShading-Accent11">
    <w:name w:val="Colorful Shading - Accent 11"/>
    <w:hidden/>
    <w:uiPriority w:val="99"/>
    <w:semiHidden/>
    <w:rsid w:val="001B36B1"/>
  </w:style>
  <w:style w:type="character" w:customStyle="1" w:styleId="BodyText2">
    <w:name w:val="Body Text2"/>
    <w:uiPriority w:val="99"/>
    <w:rsid w:val="001B36B1"/>
    <w:rPr>
      <w:rFonts w:ascii="Verdana" w:hAnsi="Verdana" w:cs="Verdana"/>
      <w:color w:val="000000"/>
      <w:sz w:val="22"/>
      <w:szCs w:val="22"/>
    </w:rPr>
  </w:style>
  <w:style w:type="character" w:customStyle="1" w:styleId="Heading2Char">
    <w:name w:val="Heading 2 Char"/>
    <w:link w:val="Heading2"/>
    <w:uiPriority w:val="9"/>
    <w:rsid w:val="001B36B1"/>
    <w:rPr>
      <w:i/>
      <w:iCs/>
    </w:rPr>
  </w:style>
  <w:style w:type="paragraph" w:customStyle="1" w:styleId="TextL-MAG">
    <w:name w:val="Text L-MAG"/>
    <w:basedOn w:val="Normal"/>
    <w:link w:val="TextL-MAGChar"/>
    <w:qFormat/>
    <w:rsid w:val="009C7D17"/>
    <w:pPr>
      <w:widowControl w:val="0"/>
      <w:tabs>
        <w:tab w:val="left" w:pos="360"/>
      </w:tabs>
      <w:spacing w:line="276" w:lineRule="auto"/>
      <w:ind w:firstLine="360"/>
      <w:jc w:val="both"/>
    </w:pPr>
    <w:rPr>
      <w:rFonts w:ascii="Arial" w:eastAsia="MS Mincho" w:hAnsi="Arial"/>
      <w:sz w:val="18"/>
      <w:szCs w:val="22"/>
      <w:lang w:eastAsia="ja-JP"/>
    </w:rPr>
  </w:style>
  <w:style w:type="character" w:customStyle="1" w:styleId="TextL-MAGChar">
    <w:name w:val="Text L-MAG Char"/>
    <w:link w:val="TextL-MAG"/>
    <w:rsid w:val="009C7D17"/>
    <w:rPr>
      <w:rFonts w:ascii="Arial" w:eastAsia="MS Mincho" w:hAnsi="Arial"/>
      <w:sz w:val="18"/>
      <w:szCs w:val="22"/>
      <w:lang w:eastAsia="ja-JP"/>
    </w:rPr>
  </w:style>
  <w:style w:type="character" w:customStyle="1" w:styleId="FooterChar">
    <w:name w:val="Footer Char"/>
    <w:basedOn w:val="DefaultParagraphFont"/>
    <w:link w:val="Footer"/>
    <w:uiPriority w:val="99"/>
    <w:rsid w:val="00D90C10"/>
  </w:style>
  <w:style w:type="character" w:customStyle="1" w:styleId="FootnoteTextChar">
    <w:name w:val="Footnote Text Char"/>
    <w:link w:val="FootnoteText"/>
    <w:semiHidden/>
    <w:rsid w:val="00C075EF"/>
    <w:rPr>
      <w:sz w:val="16"/>
      <w:szCs w:val="16"/>
    </w:rPr>
  </w:style>
  <w:style w:type="character" w:customStyle="1" w:styleId="BodyTextIndentChar">
    <w:name w:val="Body Text Indent Char"/>
    <w:link w:val="BodyTextIndent"/>
    <w:rsid w:val="003F26BD"/>
    <w:rPr>
      <w:szCs w:val="24"/>
    </w:rPr>
  </w:style>
  <w:style w:type="character" w:customStyle="1" w:styleId="m5113501246024331607m-6864882937387638336gmail-il">
    <w:name w:val="m_5113501246024331607m_-6864882937387638336gmail-il"/>
    <w:basedOn w:val="DefaultParagraphFont"/>
    <w:rsid w:val="0076355A"/>
  </w:style>
  <w:style w:type="paragraph" w:customStyle="1" w:styleId="ColorfulList-Accent11">
    <w:name w:val="Colorful List - Accent 11"/>
    <w:basedOn w:val="Normal"/>
    <w:uiPriority w:val="34"/>
    <w:qFormat/>
    <w:rsid w:val="0076355A"/>
    <w:pPr>
      <w:ind w:left="720"/>
      <w:contextualSpacing/>
    </w:pPr>
  </w:style>
  <w:style w:type="character" w:customStyle="1" w:styleId="apple-converted-space">
    <w:name w:val="apple-converted-space"/>
    <w:basedOn w:val="DefaultParagraphFont"/>
    <w:rsid w:val="00F932B6"/>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character" w:customStyle="1" w:styleId="UnresolvedMention1">
    <w:name w:val="Unresolved Mention1"/>
    <w:basedOn w:val="DefaultParagraphFont"/>
    <w:uiPriority w:val="99"/>
    <w:semiHidden/>
    <w:unhideWhenUsed/>
    <w:rsid w:val="00A853F3"/>
    <w:rPr>
      <w:color w:val="605E5C"/>
      <w:shd w:val="clear" w:color="auto" w:fill="E1DFDD"/>
    </w:rPr>
  </w:style>
  <w:style w:type="character" w:styleId="CommentReference">
    <w:name w:val="annotation reference"/>
    <w:basedOn w:val="DefaultParagraphFont"/>
    <w:uiPriority w:val="99"/>
    <w:semiHidden/>
    <w:unhideWhenUsed/>
    <w:rsid w:val="001E7EDB"/>
    <w:rPr>
      <w:sz w:val="16"/>
      <w:szCs w:val="16"/>
    </w:rPr>
  </w:style>
  <w:style w:type="paragraph" w:styleId="CommentText">
    <w:name w:val="annotation text"/>
    <w:basedOn w:val="Normal"/>
    <w:link w:val="CommentTextChar"/>
    <w:uiPriority w:val="99"/>
    <w:semiHidden/>
    <w:unhideWhenUsed/>
    <w:rsid w:val="001E7EDB"/>
  </w:style>
  <w:style w:type="character" w:customStyle="1" w:styleId="CommentTextChar">
    <w:name w:val="Comment Text Char"/>
    <w:basedOn w:val="DefaultParagraphFont"/>
    <w:link w:val="CommentText"/>
    <w:uiPriority w:val="99"/>
    <w:semiHidden/>
    <w:rsid w:val="001E7EDB"/>
  </w:style>
  <w:style w:type="paragraph" w:styleId="CommentSubject">
    <w:name w:val="annotation subject"/>
    <w:basedOn w:val="CommentText"/>
    <w:next w:val="CommentText"/>
    <w:link w:val="CommentSubjectChar"/>
    <w:uiPriority w:val="99"/>
    <w:semiHidden/>
    <w:unhideWhenUsed/>
    <w:rsid w:val="001E7EDB"/>
    <w:rPr>
      <w:b/>
      <w:bCs/>
    </w:rPr>
  </w:style>
  <w:style w:type="character" w:customStyle="1" w:styleId="CommentSubjectChar">
    <w:name w:val="Comment Subject Char"/>
    <w:basedOn w:val="CommentTextChar"/>
    <w:link w:val="CommentSubject"/>
    <w:uiPriority w:val="99"/>
    <w:semiHidden/>
    <w:rsid w:val="001E7EDB"/>
    <w:rPr>
      <w:b/>
      <w:bCs/>
    </w:rPr>
  </w:style>
  <w:style w:type="paragraph" w:styleId="ListParagraph">
    <w:name w:val="List Paragraph"/>
    <w:basedOn w:val="Normal"/>
    <w:uiPriority w:val="34"/>
    <w:qFormat/>
    <w:rsid w:val="00DB3364"/>
    <w:pPr>
      <w:ind w:left="720"/>
      <w:contextualSpacing/>
    </w:pPr>
  </w:style>
  <w:style w:type="character" w:styleId="Emphasis">
    <w:name w:val="Emphasis"/>
    <w:basedOn w:val="DefaultParagraphFont"/>
    <w:uiPriority w:val="20"/>
    <w:qFormat/>
    <w:rsid w:val="002947C5"/>
    <w:rPr>
      <w:i/>
      <w:iCs/>
    </w:rPr>
  </w:style>
  <w:style w:type="paragraph" w:styleId="NormalWeb">
    <w:name w:val="Normal (Web)"/>
    <w:basedOn w:val="Normal"/>
    <w:uiPriority w:val="99"/>
    <w:semiHidden/>
    <w:unhideWhenUsed/>
    <w:rsid w:val="00DA5A9A"/>
    <w:pPr>
      <w:spacing w:before="100" w:beforeAutospacing="1" w:after="100" w:afterAutospacing="1"/>
    </w:pPr>
    <w:rPr>
      <w:sz w:val="24"/>
      <w:szCs w:val="24"/>
    </w:rPr>
  </w:style>
  <w:style w:type="character" w:customStyle="1" w:styleId="TextChar">
    <w:name w:val="Text Char"/>
    <w:link w:val="Text"/>
    <w:rsid w:val="00BE4774"/>
  </w:style>
  <w:style w:type="paragraph" w:customStyle="1" w:styleId="PARA">
    <w:name w:val="PARA"/>
    <w:basedOn w:val="Text"/>
    <w:link w:val="PARAChar"/>
    <w:rsid w:val="00621141"/>
    <w:pPr>
      <w:ind w:firstLine="0"/>
    </w:pPr>
  </w:style>
  <w:style w:type="paragraph" w:customStyle="1" w:styleId="PARAIndent">
    <w:name w:val="PARA_Indent"/>
    <w:basedOn w:val="Text"/>
    <w:link w:val="PARAIndentChar"/>
    <w:rsid w:val="00621141"/>
    <w:pPr>
      <w:spacing w:line="240" w:lineRule="auto"/>
    </w:pPr>
  </w:style>
  <w:style w:type="character" w:customStyle="1" w:styleId="PARAIndentChar">
    <w:name w:val="PARA_Indent Char"/>
    <w:link w:val="PARAIndent"/>
    <w:rsid w:val="00621141"/>
  </w:style>
  <w:style w:type="character" w:customStyle="1" w:styleId="PARAChar">
    <w:name w:val="PARA Char"/>
    <w:link w:val="PARA"/>
    <w:rsid w:val="0062114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231187393">
      <w:bodyDiv w:val="1"/>
      <w:marLeft w:val="0"/>
      <w:marRight w:val="0"/>
      <w:marTop w:val="0"/>
      <w:marBottom w:val="0"/>
      <w:divBdr>
        <w:top w:val="none" w:sz="0" w:space="0" w:color="auto"/>
        <w:left w:val="none" w:sz="0" w:space="0" w:color="auto"/>
        <w:bottom w:val="none" w:sz="0" w:space="0" w:color="auto"/>
        <w:right w:val="none" w:sz="0" w:space="0" w:color="auto"/>
      </w:divBdr>
      <w:divsChild>
        <w:div w:id="2116973051">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963418517">
              <w:marLeft w:val="0"/>
              <w:marRight w:val="0"/>
              <w:marTop w:val="0"/>
              <w:marBottom w:val="0"/>
              <w:divBdr>
                <w:top w:val="none" w:sz="0" w:space="0" w:color="auto"/>
                <w:left w:val="none" w:sz="0" w:space="0" w:color="auto"/>
                <w:bottom w:val="none" w:sz="0" w:space="0" w:color="auto"/>
                <w:right w:val="none" w:sz="0" w:space="0" w:color="auto"/>
              </w:divBdr>
              <w:divsChild>
                <w:div w:id="175772336">
                  <w:marLeft w:val="0"/>
                  <w:marRight w:val="0"/>
                  <w:marTop w:val="0"/>
                  <w:marBottom w:val="0"/>
                  <w:divBdr>
                    <w:top w:val="none" w:sz="0" w:space="0" w:color="auto"/>
                    <w:left w:val="none" w:sz="0" w:space="0" w:color="auto"/>
                    <w:bottom w:val="none" w:sz="0" w:space="0" w:color="auto"/>
                    <w:right w:val="none" w:sz="0" w:space="0" w:color="auto"/>
                  </w:divBdr>
                  <w:divsChild>
                    <w:div w:id="91903409">
                      <w:marLeft w:val="0"/>
                      <w:marRight w:val="0"/>
                      <w:marTop w:val="0"/>
                      <w:marBottom w:val="0"/>
                      <w:divBdr>
                        <w:top w:val="none" w:sz="0" w:space="0" w:color="auto"/>
                        <w:left w:val="none" w:sz="0" w:space="0" w:color="auto"/>
                        <w:bottom w:val="none" w:sz="0" w:space="0" w:color="auto"/>
                        <w:right w:val="none" w:sz="0" w:space="0" w:color="auto"/>
                      </w:divBdr>
                      <w:divsChild>
                        <w:div w:id="349307477">
                          <w:blockQuote w:val="1"/>
                          <w:marLeft w:val="96"/>
                          <w:marRight w:val="0"/>
                          <w:marTop w:val="0"/>
                          <w:marBottom w:val="0"/>
                          <w:divBdr>
                            <w:top w:val="none" w:sz="0" w:space="0" w:color="auto"/>
                            <w:left w:val="single" w:sz="6" w:space="6" w:color="CCCCCC"/>
                            <w:bottom w:val="none" w:sz="0" w:space="0" w:color="auto"/>
                            <w:right w:val="none" w:sz="0" w:space="0" w:color="auto"/>
                          </w:divBdr>
                          <w:divsChild>
                            <w:div w:id="690840997">
                              <w:marLeft w:val="0"/>
                              <w:marRight w:val="0"/>
                              <w:marTop w:val="0"/>
                              <w:marBottom w:val="0"/>
                              <w:divBdr>
                                <w:top w:val="none" w:sz="0" w:space="0" w:color="auto"/>
                                <w:left w:val="none" w:sz="0" w:space="0" w:color="auto"/>
                                <w:bottom w:val="none" w:sz="0" w:space="0" w:color="auto"/>
                                <w:right w:val="none" w:sz="0" w:space="0" w:color="auto"/>
                              </w:divBdr>
                              <w:divsChild>
                                <w:div w:id="229121804">
                                  <w:marLeft w:val="0"/>
                                  <w:marRight w:val="0"/>
                                  <w:marTop w:val="0"/>
                                  <w:marBottom w:val="0"/>
                                  <w:divBdr>
                                    <w:top w:val="none" w:sz="0" w:space="0" w:color="auto"/>
                                    <w:left w:val="none" w:sz="0" w:space="0" w:color="auto"/>
                                    <w:bottom w:val="none" w:sz="0" w:space="0" w:color="auto"/>
                                    <w:right w:val="none" w:sz="0" w:space="0" w:color="auto"/>
                                  </w:divBdr>
                                  <w:divsChild>
                                    <w:div w:id="708576033">
                                      <w:marLeft w:val="0"/>
                                      <w:marRight w:val="0"/>
                                      <w:marTop w:val="0"/>
                                      <w:marBottom w:val="0"/>
                                      <w:divBdr>
                                        <w:top w:val="none" w:sz="0" w:space="0" w:color="auto"/>
                                        <w:left w:val="none" w:sz="0" w:space="0" w:color="auto"/>
                                        <w:bottom w:val="none" w:sz="0" w:space="0" w:color="auto"/>
                                        <w:right w:val="none" w:sz="0" w:space="0" w:color="auto"/>
                                      </w:divBdr>
                                      <w:divsChild>
                                        <w:div w:id="14329659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69195544">
      <w:bodyDiv w:val="1"/>
      <w:marLeft w:val="0"/>
      <w:marRight w:val="0"/>
      <w:marTop w:val="0"/>
      <w:marBottom w:val="0"/>
      <w:divBdr>
        <w:top w:val="none" w:sz="0" w:space="0" w:color="auto"/>
        <w:left w:val="none" w:sz="0" w:space="0" w:color="auto"/>
        <w:bottom w:val="none" w:sz="0" w:space="0" w:color="auto"/>
        <w:right w:val="none" w:sz="0" w:space="0" w:color="auto"/>
      </w:divBdr>
      <w:divsChild>
        <w:div w:id="696005995">
          <w:blockQuote w:val="1"/>
          <w:marLeft w:val="720"/>
          <w:marRight w:val="720"/>
          <w:marTop w:val="100"/>
          <w:marBottom w:val="100"/>
          <w:divBdr>
            <w:top w:val="none" w:sz="0" w:space="0" w:color="auto"/>
            <w:left w:val="none" w:sz="0" w:space="0" w:color="auto"/>
            <w:bottom w:val="none" w:sz="0" w:space="0" w:color="auto"/>
            <w:right w:val="none" w:sz="0" w:space="0" w:color="auto"/>
          </w:divBdr>
          <w:divsChild>
            <w:div w:id="1295332046">
              <w:marLeft w:val="0"/>
              <w:marRight w:val="0"/>
              <w:marTop w:val="0"/>
              <w:marBottom w:val="0"/>
              <w:divBdr>
                <w:top w:val="none" w:sz="0" w:space="0" w:color="auto"/>
                <w:left w:val="none" w:sz="0" w:space="0" w:color="auto"/>
                <w:bottom w:val="none" w:sz="0" w:space="0" w:color="auto"/>
                <w:right w:val="none" w:sz="0" w:space="0" w:color="auto"/>
              </w:divBdr>
              <w:divsChild>
                <w:div w:id="1457792411">
                  <w:marLeft w:val="0"/>
                  <w:marRight w:val="0"/>
                  <w:marTop w:val="0"/>
                  <w:marBottom w:val="0"/>
                  <w:divBdr>
                    <w:top w:val="none" w:sz="0" w:space="0" w:color="auto"/>
                    <w:left w:val="none" w:sz="0" w:space="0" w:color="auto"/>
                    <w:bottom w:val="none" w:sz="0" w:space="0" w:color="auto"/>
                    <w:right w:val="none" w:sz="0" w:space="0" w:color="auto"/>
                  </w:divBdr>
                  <w:divsChild>
                    <w:div w:id="1929775424">
                      <w:marLeft w:val="0"/>
                      <w:marRight w:val="0"/>
                      <w:marTop w:val="0"/>
                      <w:marBottom w:val="0"/>
                      <w:divBdr>
                        <w:top w:val="none" w:sz="0" w:space="0" w:color="auto"/>
                        <w:left w:val="none" w:sz="0" w:space="0" w:color="auto"/>
                        <w:bottom w:val="none" w:sz="0" w:space="0" w:color="auto"/>
                        <w:right w:val="none" w:sz="0" w:space="0" w:color="auto"/>
                      </w:divBdr>
                      <w:divsChild>
                        <w:div w:id="1271738231">
                          <w:blockQuote w:val="1"/>
                          <w:marLeft w:val="96"/>
                          <w:marRight w:val="0"/>
                          <w:marTop w:val="0"/>
                          <w:marBottom w:val="0"/>
                          <w:divBdr>
                            <w:top w:val="none" w:sz="0" w:space="0" w:color="auto"/>
                            <w:left w:val="single" w:sz="6" w:space="6" w:color="CCCCCC"/>
                            <w:bottom w:val="none" w:sz="0" w:space="0" w:color="auto"/>
                            <w:right w:val="none" w:sz="0" w:space="0" w:color="auto"/>
                          </w:divBdr>
                          <w:divsChild>
                            <w:div w:id="1925020562">
                              <w:marLeft w:val="0"/>
                              <w:marRight w:val="0"/>
                              <w:marTop w:val="0"/>
                              <w:marBottom w:val="0"/>
                              <w:divBdr>
                                <w:top w:val="none" w:sz="0" w:space="0" w:color="auto"/>
                                <w:left w:val="none" w:sz="0" w:space="0" w:color="auto"/>
                                <w:bottom w:val="none" w:sz="0" w:space="0" w:color="auto"/>
                                <w:right w:val="none" w:sz="0" w:space="0" w:color="auto"/>
                              </w:divBdr>
                              <w:divsChild>
                                <w:div w:id="8040025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28801600">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32" Type="http://schemas.openxmlformats.org/officeDocument/2006/relationships/theme" Target="theme/theme1.xml"/><Relationship Id="rId5" Type="http://schemas.openxmlformats.org/officeDocument/2006/relationships/settings" Target="settings.xml"/><Relationship Id="rId31"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header" Target="header1.xml"/><Relationship Id="rId100" Type="http://schemas.openxmlformats.org/officeDocument/2006/relationships/image" Target="media/fig1.png"/><Relationship Id="rId101" Type="http://schemas.openxmlformats.org/officeDocument/2006/relationships/image" Target="media/fig2.png"/><Relationship Id="rId102" Type="http://schemas.openxmlformats.org/officeDocument/2006/relationships/image" Target="media/fig3.png"/><Relationship Id="rId103" Type="http://schemas.openxmlformats.org/officeDocument/2006/relationships/image" Target="media/fig4.png"/><Relationship Id="rId104" Type="http://schemas.openxmlformats.org/officeDocument/2006/relationships/image" Target="media/fig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go:docsCustomData xmlns:go="http://customooxmlschemas.google.com/" roundtripDataSignature="AMtx7mjPovk3igAzhESNbNe8yh+DWI7/jA==">AMUW2mXG0bU19G0C8aMf1s6y/EIZzwtIRb43sWAoZw9gpigwMsBkAuBe1Cb7n1RKgNh9eIK/iLZfQkvvYfe8QE9g0/aepdtdvuwGtTZuVOJR4F+Mdu/YtTtcrOtZE5TgmG164R0wzOtWmzqammxh4seUfgE2SvzeBU/ZIkIAtkqnwW6ZZ8tPaJ192miPj/o2sHcgvowT/bZ4m+v8myN8zdAM/rLdu7iDOwJ22aQrWKinLjgap7TuYAmaMaAeJnNq3X/72FpGsRI2qohqa11BgTg0HsgjdLyrwqWVDTylYpQOAYjFepAB2aCNEUWyHKpMTdG9KnjGDg3vjmxmek1cxbWV7DaHMzgzhfF89+dZNicu/b6YeG3A0Jp0o9aFAWDdkwDq9aMtbmb3d4jOlXa2nr3JH6coEiRGU02V2vL0tUiMF3GsillLHM1R4tEiqFAeQb3pozhmWsAVsCrWqqxvlgUC/C6tDT3OKXRbk1Kqe5hbjvFiZ4TnCM4M2Yx/YKUTAeh3NVIaOIOkMaVchw+SWMkeStJU89bl30SyS0W3ZreR4Zkrkqv6bass517ajZo4vMOL3mk1EYDKtN5u0N88UM0d5RqhjJ6/mL6qllPCH8pZjU3zDnqyzpBYCPvxoOOtwYb07ao8TdUKkfERlpmawp4yOvq1ijZrzw8TatdA7HMEcB28FHWiM+AJF+q43W0Ab6+PHeNZBgUCluiTjcewVbmCNoKehz9jvh86GHeGhNetv2Hx4mmIwIflA6XvqvpjpFfdbUiuI5N/OlqN15NQ2ZNPlUHnzi1zuehhMA2IYL8KWC1FMpf0QKnd+D2CqNRQh8WurixwJb8SAnLxDcjP+qZ3OZvJvw0cdE+9mAM+sOFXjgCj9FYbHU3hWUqhqw6ft4pi0S6mwoDCJq7p/b6EzTizsZje4soyfj1N6wU4n7sXGnBz5yXk7DbK0oYz1wHcIBHemDgBoMWk5FBCv1dArETRMNbpOr4LsVbRaY8Bc7Ah1+OackTeY/PAwn12rTHmevxE3JFnOigTo+zpRAVAgmZzxYKyiDHbOU+GavCrKd/uyF91lVXWdJb5kngQPEWcmDI9LlSTNuV3KjawD9ue70GURnR9M2JC7ft2t4+f0Y5Ps2kxciF171xIWLg3DyvX4fgrwhNSxyFTxUDZ6izBZVwOyn3BXu7TmhtetEva465SIt+2oem16g5m2Qj45zYqHS9rmoV103wjSdkE+dA9oeWJFOggEuArcL1Uxwrj60UljCd3sQx5qhQPJEIDVlfCcrOKJf04RSk0584pCzHjk0mW4yP6HLOIHTGlIcQOTjHqUei2xTmPuIQjNNBklC99ElvIMrnWP3Uw+rRO4PkWFWcgu5bejAig9NEm+V98xgAZP9ns0KOKNCdwb3KRQ+uJCqtx8Njf3/cslxlm6x04K2kv9GbyzbvWqTdeEsamYDbfv2SuAAAOWb7Na1lt22qrZciGylriyqLhdWgoiyslyNVp5outAJi7GfvD/KJ/RnUOCEyDB8eh0zIDA35gflVh059ExJIz3saVnJQ7u4/60p/3aW2f7wNzgf2UwRD+1XzO5jofLSgw5Jg10YyTbTWPkIrNoqHwi2tcsh2cVMhG6O06TTCuSAg8RMyYSTfxXz1mItQ8A1rGTK0QvL9lEUeCzMWyJnOPQPNBrYN3XhQcdscuqiS6+jrp8pBMR9Aue7g1aNs9TLFV9J1Dtz8w6V0EjDqZ1tE7d5CWd9T45X97htioFuK+SVB2fWLhSeB5L59iK9D3mXUpqbVVnFAWYJPk77fVheHPUS+QWPH9pEPs4Jr9rl8YM8przekIhjIWfpgh4IpoILvbuJU7r+vfzraXBLiDZ0OBbQLD+ul0CfkuKWWVZwfs6JZbnzDYh4AvLsJP0Srbdj8jwmcqvRSkGagtP+Nt5C9TYgKSuFICABex0keXQlT/MWC0bVnqK6C0J//2qqq7rPgPgul1TvRQVqK6BUbuwsrokC1nuK6zh6mad56UrxpmfvUUrdHh3JAYm/YW2FtyB6akw350T6XlwCE9BFE0yvgGhXx4htD9qwiXxu92wm5Z7Do79VKkPCOxPf33AgspB27hxvWGpbcBdQRjelUpXKWY9c+KoJxid9PCj1wSzsQE70dEshDavfA/VYHSt6JWY1ufWJAzou8F9NTxynanBqpMnQE4tGoYJU/Vt31uAvh4qJsTjbXnlLYyRis66in8hWpLhjpl3hqPB6fprtfwrKtx9qMu8L/KoxYBW1yhJIJup9c8PB/3NUu5Av2QFUwW6gJs5d/j0w3h1mNmWZeRwKG0TS65Te1/edcpKtBSeRiyK7hnsvRBWxIcVLNdl68AZ8S0XLz8mse1IMwMmhwDqtIOJQRrhyuyCM53lwKHrdWSREiKUsiDttJQHNS4+U6y84O8O1P0C7YmBXrkfVHv6V3guRCZo7D6DUGduByGOua4SZEgofZMtJTH8qsQutCyy84uitk+HAFjBrNbQEiF03F8UBCUIDPKM6IePrO/OqA1VnXWLg+5CtHDYaebeDoDQMXthp1qATMGvEKQvF+I1BrcRxKPlbe/rAOeDCcsWOTdWNA+yHAUXIH5SfFaMcx3Ij4O72sBTw4YkXOS/hzYBxL7J+qIlVyH5gebcEIWenh6PUNj9QL1XZkqyDbpMheDN59HD9rtG9sLlmBmxNXc0n1HDc6bzGhnUB1g/KIEPz5Zzn48/Jxqi8xljIFptqbQx3/7UxyC6DJOn8pDpuOtvzNgg38eCfLHCbHWi4qJF3XztETlDVXBPb844VWd+jDVUj+V/iGkuqDvbFr/BEK5fKfPax1TLGSreKGLwNeke+WPHEtZpOqjeOj9DllHj4KC6k7wmYfIeA13nA7/LNkw4/KdxXSZ7B3YoAxL9jxwY5DJRlexqXqGVuhhftlnZpzJvrdMFrOCry4EQwnMqskkGfG2J/KVQV/dJs3Hb+DlamoPNWQGf46MO/4CJ8ScT96ntmxWR92wkjf0VnghBpY+/g6XnjLhukk43I+9K6lJ+L8agbqqOxxS6n6Is1s7uayNh3rgO50hzMMkLiQJb0prQjtLMYM9pLdqw9bcWNQDkYJKSeclyr+WEWblak7+FnZYYN0ldlUpA8pimTNI7F8gtOziD4tLJxgXdIVWpNvoTBWIQbrJd1H3JcNwmUxIxGXGwkofN9uHPrlSs2V1EW+lrkRDgTVzq5cW6d6qlyQJydoecJcpBQRs/qLdUpmgSrmtMGIilpi4dEIUaugTgbbavcaImXKOH8jV6430rjqc/TyHLwjlOhR6FvhFqKjVFl8OFNl3Z7g0TywEDqNFq9CxhEtS+KGndKZ3hmCX4zTg2v0rld1HX/IFoRSyQe/anptl/6MEmcprafTDsSsu4KlL42rEL6G25rm8XbqVzioiRNCiKQLqmO+L2lWDdMopwDsUFptmOlpLJcLnC2J8sZo0E46pZQ274jpwDrnl+9VQxKh5VG/pBxdkGd7VXE54xlmSDoDnjz4nA1/ehnpCkLiccyJoDG+hlhF+8dQUUuUHoNQZG8jSpf6KJZT/h+jmrz42v2o1/78aWH2pwmfkjWByF8IegHd3L77ZiAMH6lByrzN08Us3yrF88K1z2co4/zrINn0bUfRSGabB25WcptOkTlZoR0ll1H6p9Gm9yCzVg58Rf70sk1uYbSmgmgy5RmoWr2FKwNYzi66aMNrWGcyDgMFPltymMb5NbJrR/dRblyXhTOv/5+L0/NA+tgs8xsOQf5jTrcTyCOd3dTxP8zB4xPhs94buIZ7XHr2N6i3tjmo78es9rTwx2n3DXnSx1KfDyek/MUVuD5IkkU1dKPG032z+4acbuASEJNq6I2lNOZLCEXjT6tOzxuV3Ic+kAPtvnxi0GQ4daSPbsg5Yl8l8o09aCOUcChCIYgPydRb0Z6GPXHKOUThTIfWNpfuApfRdGEF2FQF4hF7a2COY4TmMeAyRGVmITe7PKZqU0ecIFK0VVqZZZxrgBstd+uFzZl1eUpE3iyroBMNbXs/Pp+ma4y+eZIGtV8YtIaOZ9VMaUpzmDcYCdHrNGOzg6f7S7uxMFU+ZNW5lk4tcCSQ7/AcY5x3huDXO88lc+Uihx9fiQusxKEu9684XpHihJtCFdWzTebwmUCaryO2thA1ZINBwfcgfvJc4oX1z6VE0OL1y+YxmWRmo/CHDXjPPRecg0nxXJr0imLr4Hw/3Qi5huIODKNNuMB6yzlrlkz78pd9j4DXjmkfnyTY4fopsniTsvhDK6XmUfh7GqtsQuLsJZonxxgxfB25R+z+HO6yaAPpRcOmeC1Zyp5TYIeHXfIslb6+0liXgzT1xQe3wtmuPuIBhoJg1Ph7VbLGTQfEcpY88JwDOop1CeK/Sf+j7mI6xQe4irKHWw3ey7PjTWzJQDG8Iz13XQylgMUXGdDOiIe9mINRPjLt69p0PIsGJXFo3lF/yFdZZ3GTlnZYOGcVnA4uMxlma58JQ3ihiZeQGFqigBQzDAaMvmha3eH6Ae9VJQO55PvfNYKHFcSLvX1NpRBXYFIw5MzUMRCfx131L1OxU7yTnsyubcARl7LlaISuuTXDxJ8Fx5z1Sb+e7VChJwtL1phJhKqJY+CDxWM1sBRw5ZAPo1sS4o5B6E0ELPeTdlwpxkNbNspLoX9MDrmLanprhUlS+8XNJkSs1U7wgTxmj4s8SsY/u1hsLgpbQyL6Yu1vS15PC10zwzAWrGk1aHHxxl3Ul6a5pEcw9znQz5WDp3e5Cm1efRib2C53LanbsMTLc803+5sJJij93/uHSNLYX6G6fc83mrkEz+iE5t1lfKvN+4zspBUJ+REA2bT8wDNc+P4k+ZAb9rg3V+Z3PcBmH/BtIAUD9Xd7kXas6QSuDsqqf0BOUdcNTfmk6b1maRIUUuAehz9hp7MM4pqtlxGHM/OU9AduZ81u3IJmQ+ApYAePOUZdrKj2XWuhXuB8vkkT19vrBOfmNLZx7uZo2VWTmMnNa9vj3rG9yT+i1nvI+cmOC8X7pNAVCk8mbzWCvP1bldCS54b5msCL3fTijeWzTpjzO74NwthDg4xPr4A/6k2CmAR93r3HBAJeVEpMfNSsPHb5ciK4tv6FqcILWaFf2gnxzarcIGC2AkD4ax9Ge8xy+Dt/In08hsNQbomVrQ+/rbwO3aWKICjk9BXD7J1tFSNIwiDmYbkpVjwt8wbaNgbnRfkmayuvHtBymjc5fzuxnhJlFV8wG0ObfSphmAKTTEGTTAx0jDFtnyDTGhYtoeUxpXD2Wwyg1BVB8gcbc5QebxQmUc5DhKVlIWKJRDUKnMTOao8bZ6tTZWv/VJqeXmMFjOhZ8wo0P9mN+1krUjuZN0VP4c/ZgAyKs2mxFjv8orPHDjdWBRofyErUTYBQ2wWPSt1s0OEm5qD/tT7S5RLAkB3DJRI4Vh83cZZtfnOSCs0se+wWvgjzzxYp2L7Gw5wqBpW2NAF5yewHGaYNLVOTi/w9tQTiybp+wuoJIAsFwnHSkb6wGzGE1kDXHqLVil/QDBGq9LLg5JrS4eDN+1dGWPAtsqZVXQuEbeDaaNa54S22l9fzbRqmGVN2WDkH1P+blPMYkHUYHjjJHeDQE/+MMn0cppMs/0Vv1mNgkH+WhYrmB/mRN4QEmCEXICp+6r6SqcS5vt7JfkDiKeyiiiosXFA4wpY2EHE6OwMQTHhLpq88f8xYT+yHiT0S5AGKyUv3tY87LXf44Ao/ZaP7ZNeiNcjyxWrNI1olgPyZ3v8JePnR5ofQs/PxvolBWD/6VWASpdy07HyfvrqNhLHM8W1XO/XV2gj4BTF2dBMsUnX0h4SdnLUTooRLqz4Kfrj6vShMgfTJkUwzuR0u3SatstrcB2Ts/GSXLzjw9noLcJFTAi2xrf3ensL/JJw+mJDkaldmy40FlOFtvDaWfOjnwDHr7QFt9GRxEclJgTm7CPIvJw0UzS78NAuOm/OOVZBGQ2iX0GdX/qvBcRwbktMBSsxIa8g1VE37VJEpkZRe78hDDwwP7MTPi6CLvVC5SB2MpnqbU/byKnQVkSPO7mdh2huj+xJGyuUXOP2BqLNzon+uG2Qny99yUGwnTiAxw6Ikl6LhxHfsYlY1lUPnMGlwpoN1wXMwzg5aoP5Tzk80oK6/vibfIjkn79BuQ4WrE2Ym0x1vEFdORFrnVSCNoMA7f+XHkXNPoYqncHyn4Xkn7MQ5AlHYYv+ka9sItlF4yxC3jPAi5ZCjKiR+08dXYZKjkoOT8mP8ScZZqJY0ZT9mo/iK94L1wNT74Wcb8pS1jACx1HucIPJ6dfzb+7N0dCy4GQwU84OaSQQ05y1uNaCnGSNzT3Eav9Iy/ljkbBcyg/z2oIPmp35trMoRPUhpH+0JNu+mmtZGosF44FVmrVOSTXQr6pG2mmVn67smVpaJPNBwanul1dSS70xLiFrkJkkOYpr1GyBgaLycNnxipo200V2ZNmWBxaW7rOOyp451PPFTO0bV4X6YMhWxarSgwjXNoZQch8tD3RlITbCueXiEnfLsJLk4oBfFeHo+mIbYHMxQY1SGZZxxRo6J40cMgIFtN97LFOO5b72OJVKlYNBwvwhXWqRyiril+/UsNubViWYHU7vKmZv2IVksqPLD/k4jmpJGRWJJe9zdS/kFrLxCRd1K+ueo/8y8ft1TJb3I5y8bMlBJz2bfVIqoQeR81gUzUdmvtOej4SqXIKJ3jLjGWkKYOrXR+ErJ8yUNJPfzvuIXHYkiGt5m8n8w0jBXbw4UhSirfzA0zGIPNiyeXs2jipavvI8IbLsd+qVDFW0IbOyVXplwsK3D8PHevDGATjZSyWBBF7PzcrLNcDT/u4UwfcGI4v7+XU47Kh1oBk1Txv+ufEYo+5OoZ927mxtqMF5u9ogoHHSzNRfeSugetf6TVLbZN9Nvszkoq3chWpkLjF41oEcvvrjy9isJJJ4139yfS18NbRAby8L22cipYjoyN20+pl47LryjijniIdPvTYF/q8KWYIgjIMv9TGTR3qZuk+M7R9Lp0CTuTBMp3GzjL5uSCeyJ/E6KFLO/UbdKhsQqC0xd1syAaXv45ZSD2PITur5dQsEvCKMOmlVdA34vOpRaNl1pk5De5GbVBXvZlV861QLk3pedSPfffZto+/vj/fUw6hhp2NQWoHtlOM91yUcEMXqDHx/2vmsjWA1tbCKoYzvZdglO61XVoraOAvm8WHugMe5D+ftLM6XYhHSRgdVSonGqHtlXi2G8WpESyFASnlVbz9GGX96BQXg15aYkWhEW2DIjXBIfbD6JdpmYRl3olnUWJx7IwF4zrq7vLH+U3rFS9bSVe4HlrtXU0NdDo3Wmz9mutw5NxRm3TJbNnoc1yxvN2uFBnX0GF9uoztFyeT6Vq0uyK1gqb++p5M090lMkAQZqbLeZpzOrIB5MAJgCXSw361vC2SowKR97WECCBdrZs1F00qaR0amsN1f3gc4hkmZ8FiED3VPQxeldTueQ9pC1tyh5hmAHePXUwhrV5+VpxigKyyDGbP5TfEQ7EPMK3jl76eCg7HosDLtW2UzFu8sN1FRpZRBcaOYVlsENM9+aqc/Px/9/FLvOLH33SteJV3sic+VI/5v526j03e9kIH/RnLldWiHObxzyp25IOLfvhY/4c1FCvZG7lkZyp0Lp6Eka8fmG0KmjIBPDH/geijzTMGF7LJSNxnPgUmHdjF5xcuzNCvoKIKl83JZtWSiAK/aUs4ncyAbvBFEBzr+Jwh28ASnFliibXRqKcjNQ8IWsKeCpCIelyRWtisvLzRFF8J5afiNJa3rHOa69iEDp4fr/fUsWKUP0wTJv4YjNw0wIWMFfleSC6wPqjSAAJsghA/XXfGEsIgzHOpmlxUNeVj/V9MTtkv6cyp3HccFonKMgMpBMN2coc3Bl5+zvpA3f9o7FgSZQpHBEArJIHb22z7Xixikm5uK/Vp1p5jc8kVeoud+KkJG0FKT0t3Y0alpyotCd+WWCtqMjmz9O86+bjuMVChPgi4y8Gusnu2jhcVTmrJiIWGSIYuzqKyC+RUBALAwd6gl68MamS2b8G7asxVWPUkgDLlPCZJ13tJKsUVb9xRP/2hOiDX8TntFtRs1V4/05PpLI5bdDyodfHAie7GXTXQekigwW8s6XkuGFCB99LUPrc5QCUzkQ0eJmzdfpEIfMtnVuTiouigo7mfI/hHFl1QOA1V03L9JP1+wujdSIIrWm5atY05ngkjg7csYWcv5v2jdnjJXbWuCv/0ROBduIX5Rs0DRC6V0tlfKUyAZtyJv5EqE1ap9Pd2pUv9pdhxnqWCIEHKko4A7ARtvs8BumgRRXmTecohGl48x/O5GNcLnS2sZEfWVag/8hyzqnjPElnQdkIEVmMWpPTk0dXDLtlyXpw3VqzQqUFXqBp7+t22RoJek0g9tHgP2dmK7mvCzMN/SYwB27z68c8wq7DUaqqec+JIvB74u86S0jCunKkatb8pvpjAK4TLGVMy8SFHWZJuh7JJU/7UESz3LODVWDDVrPfUHJQIYd8yr7Kfg8lyMrW6+cLGG/E6h/vYCSm2ZmLBzQrcJvX1pUJhFTJEUhOwmz/TxQejGQNvGK8blzpiQAX7uqvPdKWr1PiJahJup++cD5oY4coH5W7tYA++F3YI43dSXreI05xSt56Wd71fzF2s3GFGcP5xgB5bXo6mNKA3KFebYP6gYs+gAwLOLt3PfG0JxsOKf+nHVj5ajG7TMSRDkMQOOU1s4OLMCLEz+kPqlPwjDuxdzKKRxcMQbEbVjaKuFQdyC7fnsOGaO7DfeR0FY8Eltaoir4SKEDWY9uieLy/1SP1/NEszBJg1+loyQp6dJ5F4MbpcC+/XI9IwpY3I5L8L3uOf6Xw/Sqox80J5PZhUVS5PNTz5CCQqtnJeKW914nhXnHB2qJPGdvFoeAQ35aMne5MwZVuVr1J9oBPGc61F/4fUe1LE271xdG+kA8tyUo5gXymddNIIUfCTBqVNvyguCKtAC/addIRPuEgfonIe5nmdu4VHpkZRdZHXXYXCeGf057lVCshJk+XGVP7cNtpG/uZd+xtbyE5ee161mK31aKI4by1a5NTEBypwbTEr8Z7LbtaTuujYTB76kc52zdK4nl1LCWFbhsUAdhtITYHwus5wqCgcaUV3S25GdBjR5ysZNfKJCoakUBfE9msPaB5BTdYf3bzQCmmKSWqv6orBgeEuUiOK4U+GSBfbXjSOLtEUR1UyvA7LbwgIy7tsYsl6c3gc9UZ04Lq7dPcFCQ6Odcg6cAcRevQFca4bAWFl1H8pjhGGJyLM1Ns31HQo74Ct/rwFXywT+kYRBokMiajwruQ1OLXEZeKu2zOiG6EJ/g2LxvoT6xE1ICg5IA6zgIrrHUhAkjxtVLFeHYQJ7FgG42iSrHuTallTMgRoUfdJ5fewj0eVVwfp8gVkTfhXxzlsaeHJBGRF4F+P/OoXfwuXRf6vl7jUhZX0cfQx5C2EOSA8T/l5IbKgb5/7vOAOT2v1Qt/Z7IIQxc/QFJLeInmPDDPG8cWzwpbB5cJUbH7X2mb00iXwsu422ofJkA5sx9wAKomeXTa6AgwSXsOOYfeqrHESt7lFoVN+TGq5FZW0EUqARxL69evuWR0nZlbY1KFSHW38p9N6foqQcjY6Hx4x3KtU7mMfnSppBHJUZfnY/WvjHKOlBL5lxxZRsBApcrFWtLg+tXbGhmHWjCoE6KE/oYgfEs/4n4oFmKiiT35WYEutn8h3FSQLGdfk68iqa0xhffirOD3vVWn42WBeSzKoVzURSxHt9o1Gg7rWG5fEdMiwsJXoIwFcSfp5yhJtq7+5sWtibP3jjQD3CJaPr4mrgYUDdMTwwjysi3uNgPEPoQj0LHjnVRLX3at3KbXpJvMvYeghu223RN1kn1jHbKiWySMTrdjDFXu/g4rUqLZycOJEjhImX2lnZIHswlU8UYQnyFIuEkfo2uw9RAQdXGMSzjKZAwup6EUkNC8C6sy/wDZKKqU98/ZqyUJtuLfTE9NeSku9+oeV2csiax1r/V1iYMEiakDzRTIbpe0/7qePtHqjil2J9JEU4C6WJBQ3A98ZrUwkO+e67Rqx6pmDJKskNW34XnTks62z0v7vpz38sbhbUZNUUNWwxgLLKoN6PLud7R/8QJpYXR8+Q7bxxk1XlgDQpqS2vEVjBGl1Ok3h/XmIfSEwz/yv8iLMq7EkL5eiAllHHuBauMWw6phj6YKydSdEj73fQjdpaqVYN9pW2prO2eecXPE+m4GsDmKgAmiPRDPj4MIlYT/sC7czYjLd0ouIWb4i6rDPLJb7l0l/H+uTLo9fDz+1PhlmbDFEeLl5pVSf67WX8AWKAf8ck1bizWg9WDxlXtECyxNTn7UL9+tZZ1NC57yIHacOlEoKxzz/JtzX2bT1IcbTkLRdqej7qv69XREc0yeJ/hJ2CF4bSyAghoa9A4aghWYc05Tpqncp2w8VJ5VHxgNoGkQqU2YMtEcac/Lley4mq0QYPRDc8ZFk4+HrLczeHR+eCPKuQFdjpYbMx3gRxVWz5DDz0bl+NrKzLKJWVRPgCs5JLX9czG0VQ8EcWpP82XYpTCVvizHqUwCLBdgQoXLaTkoRNizAMEnCc/AF7QkfmwfbJdSIWSh7FkzVYF5T4rntSUKWNljTDYCqlZd2zN471IkwL1DmZZnMy8f7shGtUhcrNJA9dRokl70tHMs5tpByw6ORGYHLZs+VWiGiCJ4Ppt2VEpec3tReDF/+8JTbvDdWotbfEc2eyBfCVWnDWXwPJn9OBPkoJK6H/J/5h4hCZCAhhcZuN0UYNUPCEy/P4/m90NiDS+x3LItN9QpYFId5ch+DJgJ0mCDDF8gEnCN4l6wUnWyQMk/7t0cotdfzTzZbLnA1jlUcw3qXBqW4qmFWs9r5QXbRVUY4lAABQothnnfre1kHqdbS+1lGE0kzwdEDFmA3NGHkdIAj8f222jmZ8pg6CqTBooAAHE2In4ToLn30GFcZeP0PJInEz6p0k/AVSxloOq7O8Qo3L9p9wPfVljbUdrzIuXFDhHsADhoaq4q6XYGYGdMzvC8ixoIsI05HVjT8OzGkTL48N8DsZymxyDgdS61u+bfb44DfxALssrj4sEUdb2nhs4Dex2WEAUMPFjh0WEaRmcl5kVWdpdfbR0UIpXQSR/8oblRjX/1pby8300rjOVOYoLJo9KYbleNY6hNkF9ZRk8VpcOHdIFrBSXRq2twuVRNti4K1u/7cuLe8AwVO4Zk3viiXfInplHlp9z3HAR+wOIIW8dnMlD8k4dZE9evB+yENpcy/5Ibf0etrqng7MbD29ocyGyPnrVq8HIOmqfR/EcPXyXh5viiaK+P44yFLd75hwwbWp09Fvo7UL3U9anSVy3o9G/quwjLigQUNVJ8HgIdP9WXLiDvMLbqNFgNBMzN37bmsUgxM8WGsJUHUbmyNqylDJppzPC9YzfQMPnXijkP+jfJvHGO2IWelJRwctxiu2vMkCD6cxMfPe6oBOQmjI/NxYbIflpaCzAzJZVH2I8rJ+EcJotTrkTvv4TLphFNwVVzcimozCXbVkueC5Wo0kUBFl0uuNRk3wNPTaCtw/l92LSH5zZoj5GQXHvAoAsnA+nw7na7CeDm2WBTGjwPfY9kiEZGx/1W1vStiZuqwuqArcE5dbSvDJAm9nd0gSYUeq2moxnSfn8sLd1cDtf5K4q5C588EQwHPPVY3gC/egeF1uzWgBA8mgeIfcYD21QYl5gaxPo57tqabvoscSbXne8L+1VxuhdozBBOOeKtcu5tLy2eFv7grfJ9AaEw83x+LBpaXs2p26DcF3gwd1x1FIywdZkpnEQe4hfQYy4EHXlbnTz7c/YaADGsBmmwc0BQZbm1fZyTHPdXzm+h0hMsEj4SpJ9X5/lsQAbr6gKCNxrGV5L7Y5YRJ3oCutLMnEvbIxHfNs198Hr/QRiJC4PhNRpK1aP9jQP+Gt96bKJ27ClCwt1WP9RwkIpZi62v3GAqn26GYwY3Vm6IRHVOoaLhWX/+K5qt+CzJQiYMLp1D3ekAxSMqdfvxkPmVAKIGveAD5sOQhFULZWnn/kmqanJckbeouUdgFjprZcVvPrmROL6MsFAD6zaaQMmzE8Xv9t1CRZ13MZsb3C5+/tMg+doXnMZBoe3DwoMW9ZqqzY6P3tepd6vFmRnvExrGYvWSGRoTIBRt/rTN1T1aMPH3Gfrcyq4TFHnoMeRYFwmaDrwMNgTgu4NRKZ3IOT5Ze/2ytoBYs6EF/JpYLBlygIux2opzF50jBMb/0gOcmAYBFDBrrf6gGA2go4vQGmol5Il6LiIt5gU9EfWXRA5dJffxAOICPzPkxsFF6oj+WOnCNyq19GFiFyCOr0IrMgaZ1V0egisZy1Mya3/yizGk/Ic7HXj25PXtm8THZ96HUxAkU7zgfYoa/e/2Ej7bHQMnLXAzsIkvVPRJtf2RVmfIYz65k3xJNDi9CZXU5uQqY+yl/i4rtu66WP0wX23mTehSdX/hgVdl6mim8safpkrQs1ZIk3/Q7VUP1yWt+m+F0V0vVkf9oNucSEwvQBvSeXttfSK4cge6oVss0hroqR+6qnjaA6UmdztlC3GJCm9cIf3/wT+CaRM6L+OWhczYWlR+UdoWTK8NwZxtfZ9VfPfLhw0upHJoZJ+6YgR3GVyXjGg6s856gmqaawVV5UzZe690jvJfeXT3yu3ZmWRBMddoqXKFzhgkA9dvpuWuKbCFZQnxeCojWm7S4fkpa9oLqW1GJ1yZY757hbw3fkiyY2kQmKDi8iX8z+LtT453OlXuDtG9jmlgPnDnk2nle/tet7v4Yzk3mWaimWIxwilgObsAxcqXl4lKFGk4a8Q9y5+tYjxGybZdyolqPmMjvVuGgRmTSZHgA4c8qoTzoxarMAYYUWRudxugCMMNDPTC/bJg50o5sKbhg27aV6a1GMROvLkm95SRfAqBiKT0I6h/sgAQhcyT3In9fRzSwmWw/AtysMjSy55Y9l8+Rd9YC+ggDMfjvu4szPuxyao8+7XNnwx5DLHFczpWAO0Nuq+GOn1QDqR9v4BvAN/NQgiwS4cPmrUy99yhoCalMoKC0s07ZGQPML5EeBRejanB2JPIGRc6sx+kWL4fDpln1YuiXI5+DSPLzCooro9zwOxSc0F4BcNUj4v/98g4uz6wXYDqFfYUM/b0wPd/l9BkV9Lp1Eh3C6+W719ePaHyv9dexxbvzNdwwzblCNgC9QnJsehoh7VlI5SDeBE63xuKwsxSNL0WTKBb5vracdUoTCTM4d1Wl3ltcSzkTP+zxwqs/nQ6+sg0a3307E6jTKosUR5ABrOTB6Tmy48odPYhBMpYXMawWmjgm3CYVjkvvKmRyRmY/rs49X7bSmoKrCg14LvP11gj9uhwSRiiVzZ5FJcAVoenwa8Rr1bzqHB+B52J15FjD4ijPHjwNmbnULZd/C3r8aXLv+BtAl9C76k8iDDrezfby0rrrL962z2NBpOs97RBBq+YRflTsFp/tnbkCOQoN1nEpDg7yJE6r8RK5omEaBZq8785wNc3vFuybAgM7ji78I7LDUFoCvFljjpfjs+QQ8GXbpT+uRj9kk6+Zkt0zhOwIRGHYygFK98wMpZwJXR9507Qhrug+7v72gMWeTfgIEa5ShmxocbbEBnWm8HncZi6ac0hbITVtS6bDHDCurz7DCxxlwq07eYFnBPAPUbJ5BOo3jfnEi/hmKn2vjZvfSYPySAZ38gH13F0gY+XHhNbk56BltkuyIJVWyEwUJyBqdxIVr+TZfO4XplQNKlC7EOcJamjT8c6NTDJud39ryy23M2KoMUTUsI1uGFrHILtFRhRof5imzpQwa/BlxHFqr2hXOKgUUKJKSW0Pte8N8sQCcMsrli4dnsj3TS8VEo1gtzj1rJpmCDceHN5HApjYQmDe7LU3xC/vEm0Aud+zNw82b0HP0fZuZRMFVxXi8x/a7Rv3uVqbNCO2Orevc86ezQJm3l81YjVbNJ+izLavTa1LvSD+8uMwst6leLmRWKGcXvFFvK/02HitKxDMkzWmkPaoFvpBiKoQdjzAdc0oHQWtUDZpzpv5oYCfyvCWEuhy2ccK3nuhyusFX+Vliz4Z2KjAMUr/2vAOAYq+91X5ka3OslsPU4gEeLvevi+J/BYzATLgzo/tEAJ5cuK2mwJyjaVAIAa6kcULjfUq16AD6ksUGvpo3T68w7mD3dBHNaxMgDczqycv0HinAxM8vb751Cja8V5f66JsuPURs6Iujx76C6JhqT7sOoDSzPEebPhBvFjdhafQpJD6sFE7onp82c27m5U9BHzhYmwQDxJGT74ZR4mDTtZzdn+6J+K24bbaJDDpyOa3n1QdJ1BdzcrBeAyiSEUDTtIdLgCnhu3LnjG5uGmc5+gYRyiue76Sok0epFr6Smxzqvx4CADlDg2ILAUycsXYRE9dmNvfwuq5LKUGP1+UwKxyCtiO/r+ooOgAIGospL1qfrUaNAH8jqX8qVKQ+uEuSRlwJP6wFYnmBR0SCjQUNuxTN9qhMaJnmJ5RQTu8hg1gaJWuOSNLsd/vqoYLLST4U6quXt39aI0LahA5IClS+Er9D6iQdFiAdvRG7DhogXIbH1ZWJj3j15cv4VLIm7mKYG0WUOdADmviXQDcdsP09Ko9/agbzI2z3IT+Fmosu1A1KrJODR09LV8x/sIIHJTB1UMcgVtmdq3oefJdQ5ep3ooGrxXmi/WaF2/UoGO2xGtAayQlbSkNmXMyt3zWkBGlNtAvtQiYGUL4t1m99bL3A3o/FZ0QCsLBXhWd8jmAOKvBgMWz84L/nLlzuXYcqC/GFMepouE39L0JcT+ubWYBuG2AWesnTPiFbq4NmhoVr3YtjTkLor0GKFcfbPh/LG1iXlUMO/zQCH1Ow15saqXPPpCO5mslLPsKXgOiaa7luYsbXixe/2in9fYXFZEoHkzEds7UuAl6KhR9SUH3XWhx33eQOlpWvdnzB0DuETM/ZuXT3v5vYoTWFxwhr0oH8Jrt8gxu30HukJnsx2uJF7bChWnIgLyprnTpRSDhqm3PhaNvWIkqskizy69Wc64VmJ7aTaKSPZSjJBkl3d3cB7nmeYFhbN6XTuOYa6AfRzqxqJjTSO3yPwIsk2m7iCoufQkm4thWFtEXMKxgaQakJk/BuIUka0KdmWS09P7eAJ+eA7mPKM7eGuIyGK+/5XRynaP0QYjoGwP8FW/UjxbjWvQgmuzn0xbt0buAND904aGfja53UxBtpJatFR7dQ+Kg3o5c9hSsIR7SILMYT8Ub0DrUBZi/uR/Hd1bCPzW9BW+2eaXjaDNsPBgBpEYZlFAao2l6ZF1U5rDOMTyuXXBq+qOeNt9PFZ/AptZmObawbz1uG++z+gASu2JkT4Jz78GTu1HY2KFpjZyc2xL2WTvViyh7fsl99JEWehSDfbhVafwdpnXqm1vL9t8ZkFD4egdPbGl6rOclYU3zXrzvf8PfVZAT9gJDnUYyivr+SubV41k5AyXPUbM4RE6OqHG5bHfjHYmrErGFVLecTGb7cU3p51cNUiZtFXRYwhcAjOt61nPi445I0ff3tRCOflz+m1ymE5IR6iP28MvRot68EFpSq6rpYtKGjaDfCgOkSAnhTiQGxssh0EZAXLAH+jzSZxw0mqXYUiHdPdmfba3gNNmZXPoVN5oBK2ODSsr/JXw3CRvrIzgLxOI/BsCZeE0VTTwSRpi6R45qZQuvChQprQwcuUFTMr+7l2Gb2U/sXCM3q5l5aX0qMZz9S6AOmVf+V669LYQwOzvbEWwARS9b3QaRkvTLh1HlAvpvC8DklyORGembECp9GhTxEO2Oyaa0OMpN8oyx5vhp5PzBUzyr5ur1gIMvGkrvyIOwf0tUPWwqtj8D+gM+uwHxla+A5hMmSSUguPqxKb/U1fwcKuuukqQ7MFq1Swnaas4BVXrxVJzde9HF2wYr0hAQROAPOTUBUDP9wSmOMb8sgN8tQ8AS5fAXQ4Ok+/jwZK6x2ADa/p+1T0ekM5OchgTzzL2Ojh8tq7NThmVVAGI8uuOrB0eIH5Vbyj8CwQ1837T2KEWUt6nnGD6g0JAtrhFj8GBYsmpQS3pnvwMDkfWbjIRyVgwo29mxXmY7ZTwGbANubFmjBVg559J9FNWWLBgJYsXu4uGGRYbN/y2jsK/HVxnnVywPFW4dJgq9zn/rQBXUGdgeVPPuOUVVLJrNWkj0sluQoEcfAB1e4fx1R7yGY1xHTDIIJrg3EmCjhY2Ay9GhktXLXmFG6i2qEOYLSG+8RZuay2CD2sFFBjLjCWNC7YUcTofHgYu2NS+83xUNl1bwyLliu0vDJLa0dM5Exb/6R7KGr1lM4tN02qMiOOVkDqZgtDOB7u9M0lsavF0LJl4HaO0Emi6rEgphALIW7raNC8NuFPLjy+R5p7fPYbMArsiLBELOrvvhv6v5LmP/O8CY0Zy/kYd6dmGI8f1GeWL0EsoRHXtDd8u9hvRgV0YFRhJLJAyRCOO0Za5aLP+cggnK7NHrmK7fr0GRdTzwtxOKPSWCWGidP5FIvir1Ov40rMQnXJQHPvfJduFnFLw6T+zPdrsWxbM+Ljvod6KaJ+4gl+dlW57pLdAlewsHUdUZwko/lHW+fHvxxYvej0DL7vzlTKgo/w/FDsjDD2NuC+1U1FjbwP0aLzqc6kskAigonmBkmxOHnBgK4eM/IEGvGEKJkcs84p4Nf/8YTYArmLtuWF6mBeWQ8kkR/tiSapn+6MC/uSK2HnDKvQ67tNLVGcToe7UgBH1yv2wqXdzHFgMSIO7IG1oehVRHmXEGE8KLX9OzrUOMs1TzKVv9U+VAI++QXwMgJvuozfT69tny4tAqpXb4TbW4ENLL29op4fcGu/hsJzRKu9fljxslofK6pUM+iH/06zPifGKEcEd0oRgle+11bnrtDRBL5ACdzb7zqDsP2N+RPVd9pS8w2NXLdz/Rb5PlvcI4fPw1pf6y4O5uC985Kb0Xp7VLQdD5Q/mUB8LQPbX9194u5qjMKBJ+JRKQ27l25a9ftIAIVK8ZpaV2bwJFVQ4MX3KGUZuvLVUGZpx1/c3vY46JFrVspS5Tsa43H9K0rUG4eZxcMQeNotY1IDss1X0f4IsH+Y30RZZg89K7WcCsZtW9yZoDDwLu/Bk+XZ/+wvCvg00Zfbn5azNrbWDUcJZ4bYtY9CdHwZ3fUoeU5K3KvZNhIjecYNOEKoSxBKYOhSQ9kbqTb0hSFgEEEFDGIXBfxU0l7IHL/6b89Qk6CzMayR+HuZMcnnllfAk7oVPkeDR3SB+2C89wlKloQYrWH7CoRPQ6Z21gFn5saXoRnjkrrYR+l6Pz1SnrVg80qvpdoP7UOmcx0bN1sX4zjQ0UL3Q4cPJas/fvv3mV+M6JvOexAGywFkd1duwyvSpSgN1ZM2iouWCoxjwDCFwi7h5xAoVzE1U4FTY1qfwXjiACv4yW/bB8/cCQiLgX8sBMDQ49loIEMJqhdDR3RHr5XRWlzCr8hhFWieo8tUR2fWfpxRzztfsXs4tL1Z2vPSksdlpLuXgNI/K3hFytKLLAPe3QrhexeVhWdUEQXF6kwLg8iXz3s+eTQTDgoH8PHeCJCriCxglDXhm7TMD1CQj4yMWdK9DVX7FVSiUZkZZZiTEA5GmWbCZ90FfohwFVncAYOYUHt6jCHU1XTSdMZJI9L4xh55xVfTwZZ0eAJG7caO1gydujJY4oSqHwWVf8t/hQzJBkig7uRR5/RPea0e4IBpoflBq+bn9dI0wk612HpvmBGc7YhN/hXCKAwlgZiie+St6oTKPcjsnhhfTioDHX+2zznvybsXAqrSS8ypnfebYblMAln5PHF6s2BjTjKOe8LuRkgjUjTZpWvUE55vngXFW0hPGt98iWXRm97ndzuQ1CzF+lm7zKrMbgreIkNLX6+pK2W1+F/ciPVX6N+uSorOwp4V2ejpeY1M8sE2UgcvyQG0tCLjkOyRJm5iZx+MT61a/il0oFMA+yMIyOQ/TIypLpQ4FcYVr9Prk/GXu66daQWXcZHLepwQrD5rJIB5iyxo7DOMlECKxRmPm0cK1kvbY4wcNsKfOjWorhI1SUrdXrf7haU3i25ImdZCuq8AU6p+VTX+UU0d6SNqpjvuEqoaBNJKDoVDxXaSPWdl515N7GRlCMc6x0LQoe+kRrU1KFUYg0SiOPPCELOTZR0Z7oL2eoP6+ojWhsjW0/aC8AOfcmBtrgjH6l/F6T0hdNnJNL+9nZdfI3kUu1ZWSRIhvV5h9j8XpqVBm+HnCiHtkodR2luhc9mcoqow9huEQJW78rz1dpmHyiWR9kTyKhZfTBUZKvwYRhcs+PXd+vSUMmoRJ8Hg03VE0OdecB9iokMivNsRI9Ef13+FEH29X1EGhSmM6T6cQDc9ibfOwxLDl1OqgZ0npCoYFggnvtWRxtxjhD6UlLS+oNp5tUwF5ucRKT3JNAd2ZlZs0EtJjum2AJ5sOM1ZpGeKFoDiCxQpeoQf+PVodGQ4nj6X/NDW8JMguKI3EnBfhHc8cJNSCi3cyfxfWA4e40YMeUUj6wqTxCCDGAfXVbJSZ1BEq53yF/L2r8YjTIlkH/NjDz+3zZXItUtKl7baXZ3h4Mr4Q/DYHevq2EkUz8eBx3RGWUT+mg0SPZyoQrP0DlsVY6XdNQ/OjGlnZaWp9MCUUNePW+il57sknU5Z3c6IX87ikAR3tmNEKhEo3mYFh87q4tULc6tPCKMuQNUORIyyWPAxjbrGIMfvE1XCggPixiiCuQv3vWounMTtudpBEaUDjgPUpbQ/GJ+Hzeg1SxJ00Z/XKqiCyWUQVgc3sfkfju/3avQHEh2+V20B1Awh5ZnLKpAWJEpZ4qjsxb38SmRW3iJZfTfbWPVCYa1ANX5ZWNnzW/6JQZ5tBZ+jujg656K6femMSTmwaVZCgO6XtTA6VwA6PqwwlN954tbqmUmO6PjkCCTwXQvSDGyhHl7Zbp6xq+9f0N630ivmCQDw5CijWn5fwB8VzXLBl8Q2Q+gUKc3EylOUn2yvf8TY6TPmyoQXqz1Pr1JeE4qmG2eJF+kPV8cahm6zDNEP2dw8ubLN648nvOFViY5WxeBP7lXHSKLYGoP/2n4jPioVGkKfJI0lvK2YN3xgylgvmCSfOHxHCdxE4ybfIiWUeq/n2ezMqA3NNS2QK68Ed7CZA2IgRgAicrtSKzYMfqkr5vbYiwad31J90KDI+/len4+Me2bPP/zCedv6T8JJcwSdBMQQuuueXA12+A+++Vcgyk3GJdStbAGoMcU951QpeTH/AKc/KblKg2UkxVffYgHCfdNDlGhGvLsGQ8Eak2WX9cDliWgpupk/DIHH/m0+Vee+AS2IKw86c8LkJ9t15MOpi8Hj6d5cY8bawaSLetn1oeq6WB+bkaD7DLmDcgsZurgWo4hdnhjtqEDakXnHDPhd0jDtrhbhSVoUDuPsNDRI/zbNuwwp7a8FoToBUMi1h3mgBXHyiRJWGuCGv7S2lc73Q8HXGgpFncneAyfYJbWLVsg68RqerWTpXXL0Lgb6Qq8UoN1mM6vbcAknqvmIU1VmKt2TY+hEJAu0PShc0hwD4RM188sk9REKgymZh88B8dWbq2AvGvmM56MZ+8Uyb5DAYwP5k+7wmiJ1zDtVmiJ5+XM6pnsQ6DC3MVAc9UR75imZaJFBwb23VpQnIDDzqdVExkgda1wVRHR2y3M9wqoj5rVEVDev8c2ixJbCSlxkhkNS+Yay4ZYbmgLooxmsih4VyT1Jvzx1drkNcU0ijvnUEc+zs5z0jMzKFMJ10oLa2nvfYCOxRAiJ6xiG3wMWiqMt2EPr+vQFU81HFhGoaI8vih7MrNBbM5qzqjuAY15yx5QmE9yNVQ57am2haO51UNPbuhv6JHq66IISsrriBsn0LXRHeSYYDaxuaBOWmHATo/xBvySFui8199HPT7YdQJO6kg60YLvZTCaozgkpAC6Yfp+coFeCPMj+xeCGaOxrhUhBch/DSUAvK/rogfKCmvvFQBKod8GPmSLMjDvDk+/7AwBktbp+U3vwRe8rXpdfmKFkox2LzMTrf2O8KRcHkAGzgHp2NBIxyRqcxZE7Gf5gcvfXY691MmG1AQJ+iUW9S+pKM8SpDud4lYG/7ZPKjyuMTb6R2qKpteuo7B4nuv6X49WOt9qhew3XltAUMIgyU/k7d8++AmHk4vvQmauj6IEuQT3dMNIqTaBYYtFGt+jqJ6BC3s9RCd9dSnaRvNyS41LByX6vuwVTAQCcS0VYAt7FuEq5xVN/GXY9EqbzjLm4diGfZK6vNx4bH9rXdd0BBvDI+BX6MgDF002iJgLyXrTKZ/BQe4aTJV3V/roIPni12Q3tz/V+nhv4BGwbOr09pSbiiewr5Npz61x1T01CH5sCkNr81o0UwWH/8pmbNoqHzAoZEP59tRpYtKbieQc8CFvUCHi/KVZetNOeny89tJj5WaXVYa3EPsnzX7o34mfImuzkTwpq9Sp/VwmT/6ADRsDqAfaKnfTwzJIIyq5dlq3rXjFvu/d3lJN4l2+6SMuRM4V/Q3MMA3n+7l4E1RbeDqiP5N01HotTAP/8fO8zWKJ/YYrLXFQbicUJT6m5R1mJxXxw1+oqzgOZkKW+QYeO7CzPWj3S6ff5pqoVOGjik/GERGg9sCNJDVxPTrYW48n8Uteu1wLDxnR4kWpAljJdIHHMBUraKMU12whJiQNIXeARmVKGiwsK+GC/X+xx7NsXij/mX6sXvHzdsEpxNY2sNqEmzXqHoKb+WWFMdwohKpjLZ2MWSbbZK8NYNeqYRkw3upcz99QcpHOrHBCjRV6+VP4fa76ThYjb+34o/a1VcKcGqva47mE9W3FDYmkTXHy+6cdooIDGPuII+TjZAGGdx2jSIuVGIiWEAUJW/lfccK1tw0jtvhwYB47Gn1e6QtVAXkplS2XNhEEyrHLfJIPUZr/aI0b07Unkscj2FNSQiyM3AIiGcZd4fwdIocjw65j+yv+N7P0cF7/bR08Mf1y+ldWwwGvVk+wZSDN0IuniBbWcdiVPhuLF9njqz/uzyXOkWjw+837UHFR+KGhWYPGed7zwMfE5IoFVPfRHorGZu0hz4d1fxe9HqcYADiEKUic0RZdN872BqPfjxq6nb84JTVcIsxUPA4n56dZ7a86SIzKJAz6kp0t5vtGi1ZVtCX36wsEtGXoG5mmzix6ovaxhTkqrXFa7xOLhh8Rfhf/YKb5ihEIuiE4qMJnoHOfkMpWkW2Crj33ByFDckzZKYJJHG/k5e9npHXfZD/7s1sHqOUjz8DYvbO/J4bpx7tPHrOyZuBX+23dyXXnKaXONXTKqbXx6ApGyqUvtxiUv131cxCwZyktu3Ryzra0HGYrqAmzp/o+0xFY8+Uf4ckBK2zE49hwdDJMAN3Btt80VE4D+kgXGzae6b8cBLGhwjLgudCGxSoSZBcLHuqbXSd70urO+Hqeqh2BE06isY5euXiuaaM588MilXD6SumLQlAslACip7inboYnk8RCUdjHG5r1buMWvcIPlSu6Hzitx/R4qWkRb+TvoYRcmgMNmnMYsQ5mD3f0wMAhvT+3x58lTbRSqXGNO5+JlIrhvXuUExp4oq5qRqgEqhJrbGyvNXErzzTu+JI23XmQ+5aSkL4HHrFEewf0Slw5p1+WpikQmC79l5mYsj1HeIm+GlA40nAT/6RiiyhctuEbNPd0GNvO9KbyRAqOhayp2Mlg0PAefuQJsogbosdTzl6ytdZRkeXxv61Kis8lVRfw9EGXmEV0AIH6dRLJB+KUUE6Qf08CLNaazdKXEwEmYLgx+GaTQmjS6K7VcPSTrLI7lJxyfirmRPl71e7oD4EOvS7uzKT+bkDeu8oR/Yt1n/GKMo8jYqlHdAJyCV1g9e8Ci3lfmbUUcKndzYRvt8jWkBdALqu+OugpqyDO65OY4X1oKeTr64YS5+oHzdOBzRf65GAdDeCHzwt4GVRiYHCepFhQ608+OPtxcjw0QGXzknhqa3vhxp9HDy4+Qs3VKuUpMSBVL/sndtamvuPH3vhcGWXjOvqCCHt0H13Ryw6/52x25YZjbzP00cWq3qAlPfdQofINlm2Zg3/p4/60yIWQbb42/c47kDVJP577cO2xKmZ5qkc1PMC3KtiYjlxS+7TooD5JzhH/AVRHaEZClll6tFrnMdrFRRsE/FtfGMD+nTrx2dWOXHIAD1VcQe9quS8l9IaqEkTjQm0dutGN2jyDket66IF/mla91HITdOH8snNNSmrRCwB84Zo0Ox/TVsKD1PFloTmF2a34ulL1HLqlBWcSczuHJ4YO3vZauSBKctlWHrOILWTEbvV0kSE8ElytzpgqXqG+BnfozplDqCXvZ90xLjyyKMYrs9D6GEytcHw5SAAqTEj4d/MYA3bB39WZOp16e5dE0C1njcMuHJCeMUr7sODjTQgdeBLwU0/iK3t/2J0yvLTTdV6WG4IGKE1TNrcXRYS8ID7na/rEUWPS9zRphqFaJ/zxWRyhsU29IPbauCVyygb2GGXCLv2fpCBITgxxpmszT5abD8OK2BIrVTThjJhlXFEX4Rt2gaxb9FvwVbXQYaX2kT6gCRJ6ppXlXjqCOGN8jECRSEQYgrwcs3rC6lQVsMz5m6JtPg3zyBJOBIulUQnI5V85iy692s05QjV9zq+7h4RMWDkxXfouOLd0gR6JHQ48QnFh1ZQz0AdydLtcu2H/1rlFVtDEdrlS+yCF59xVQZjNg48wPqVNIjyrTCjKlI6szm78a+ZPZ73/P0SJJyErJmNaTPQLCLWUMCkhSehW7VSyI4G2WgdR74+kyNAva/I23SWAN2ZKQzKU6126oap7OeDdOM9UqjLlW10TbQ1x1617ijZMlGTXG0lwznCUvIkzLWAkYIfwD/G+h+/miMzwZG15QyySQX8O/I940xVLw8vX3iO0OqMdp2JLZsSuHsjnHr3hKmoTjAGyKRoLp5+N8O+7L11Z4eTPa1bkfH2CowtNI0PSSxXEx+NJIPqbME/di2svEgpKQDF3LEUj/ZuqHNsYjgJnCIGgntzKXwuNuVtzd7FBkF73jxAcmj/TsELSuz9yrVXIBZzfFX+tHAvGGkxScm0d4+3HjhIBmpJSHHE0jTJBwRgbgx0mptvamTaRjlbydk1XqC4bX7+rkY8HHzQp34F+og9+Xt9gTwE2ZYni2DgB9ZBGhD7Vmw6rm6N2oFIUEGAIWYo7WZup+Ny6tG7czwyyPuIFoJr+BVQ3ZaIdGSsLM03twetpicqbvPMuTNbuDBJYbtJ0pU3qmLlEtfT2fuIEmfnDF0k+Vvug2/ZvfQH5WLxa1uY5JQZgDfovxq5VWoB/JM4kKczg4Dz9bgo8jY478882m9rx46YZTPA9dSf8v7Vx6dr3s4Oa7ZBSWsVaCtezkXJRV1Ha9Kjqazi649JSofAIZsl4fbvxbTTPneHRStIFBTrdntNnlK6fGBH7yR6fpgXvKHhmlIi2fXLGGfL35DBVEzoBog1K8a8Yh+8a2pGcWMPkwGeAnQt4nkhHyUa0yN549WDhxxAQdm0lXjayZZvHjDus3j4ynVNDkwAbxfUzpdFT2D1IXx3j4No+kKmx3WarmlzmMuj4JEb3tjfueWq2ZA8tZ2jAMbgm06kEdCdXAOC63UIGzMcXTOSZ1aVSDbye2tp6IBkfXEnHEHgZHSpH/nni5nMQLVS+PdMn5SVJMEU1qjQvWjozou398/ObQc4kHoa34Id8BQwW8zfFN4JJ+II3SAy5Cm1M+29naZvnacjtMcQf5CJmrknTXG6nbMny/oXgM5wVs0LN2UtBeDzuYOU24eJrzGkIXJBFUF3cTnAWdxZVsnyibF+eZphlBuCWGekxnVUSB82wljjnYIafG18Sdu9E2RECYTTDr2zQjxvNQzWW7T35UzQeggfc665NQaooPi0xc9FZa4eU3UuWAW/X8g5MmUxet6YYcTOXRPlv4FeKXG99VUxlbX4V6E08vJY64q6i8ME1zQOeII9ORNYzMKIL6+S09TgSBt3i5F8EMErgiW+jCguWA7vx+F2uBPV2Y0SzWZ87uHnM4JM3smhyr0vV37Lp6P+sy7HqLyC+KN/WJeB8TrHWE6eTrjmBFjEOzO5/nlm3Z8UwRhiY4nOxNheUqtqRolfru1UCMmNsTE8lBVIMTeyYuATx6UzGk60Twk8Oewd5Uk3KDNW9WjcW7YI2TH58R0cj4zTW63IwiEJ3xdFmpqfWq136cezHXIAenvxI3pWnl5KY8h/uIhB8zNjlLFkDUu08wF6pNCaPdr1OSNWmHQuFqITiMDHI0QveKAfen5LVPsPGd+86ECsM1kh33mNqZZuvLMn+vJRJBbvsIVyEMG3ufCs107i6sNanQAo2DlI3cXUF2+QZOqdd7OkLg0i8HOpVh71Nb9MxjZS76D45HGgtISTAo61u+agLaLYnDHKVeyawJzhEFrzGAgx1+O01oejDeb0Jl5fg4DHkbyBLDonINgYHDRDIwu9155v9ofbILxx2zd/Jackto8C6BwHIc7tChLk5wTWQT5kyysap8rUDY8+XPxEF5r+/sRIBUpdJP7Mpq6U5p7lGsCw/7yKTLxrbXZbYsl2+v2l0s3yxqSZ+gPkq3wPF8te/rWdbrMg4BFH5FHWXZLSuTkyCdL1gWtKrVqYpSvwR5cLg2Qk2ZwaU+IlJK6zYtxCL78vRT5xRJ+gZQ8g56ElEkBf/pugPX9HN/3gTkHu4XG1Wh7/wNwSdmlvsx09oBlx4goEFrfj2fUkEzpHMT+hzVz7Q4y0Lovvr1HSFt3AFxVvtYgJBA1+rdSA8MYqG2cXU9hT5j+nTQj+BO/403Dx8j/sEhJFs2zbgZWcIc/Zn8+/LB4/IHHhVo1S23tdsxu9OJ76vebCsC2k4LfozLpe0Apgonlqg8MtCnaOfWxoSEuSmex5CKjhjh5rVrggy41DECaF4czVxrk1wIrh8uTZazji50ALIgrNrkkQp7Z1qIb6OLlAQRR/LL3gte1vyyMAXG13KIVCph0+/cpJJ34FsIcOCJ+nCRpUvMfPWx1NMbyJzxFPqMNZP9cCOfAN6cmmmT5ORY2/1idhlBKvzJbV17psugCaHIqH7W0zBNiqcNH1j/Ef4mMft9Mf+ggs/CWk29T/2bVGPxv0uH6j3gP1VvT2r/PT2lPpNTHEHqCdrgck0gMiYcu7BhlsBIkPmZ1591CT6XFK9ZA9BN0ETSCKdaxCjJujwitxpaXMHhSRaa39eZZCVtN5V/XrVr7xh+JoQJiH7XsJ0MgMys7pU7XSir4jNaIKOs7suBLUe3o2Kyn0VM6cI2B75Qy2dpJN7/7Gw4mMgTnOQBNT06omXnZw4hXVtxaeSe5Ypk4HP/42AYtInAua9N6c0UrTGDC+1CCgag2yWH4R8ANnIcLHFsClPvpacOJS8zAKnZutxfy+F5CuHhGP1eRv/AqnoB/RMD2K3bWaiRzdYDnmUS/mvUjR0HPUUtCNV6G8wbBDt66xrbm+eSl0J9d7x7O0vhQvVCC2S8tKCFBE4FTp+GZ7ZaoEqtFFyveFdyYXpJgGLv0fVMrJsLl7i1bf8ZLIlQ6Jr2zZXXTTQF5rW7sB51x05cle/g5cNpsiMA+UWfwX8E83KM9HlzPZcxIh+1vclk/GkthvVF1rDvS1x2yKCw369UUMMFMhZdcBx/GJYCo6Pdj5BWQw1gSYyygOS/we1AbF2cbCH/F+YEPRF5K7Cha0DhcU0gSz/MuT9L2cHoDpfxbcim0QFUJWo2mSWYr8WPmbqK+6433RmFYkMbP8eKXQYmuqfHXPmifJrZf9edTbFbchbpOZ3mu0/0GpPZIA1dEjqkE8V5VGO822rb1qw2qeKzR7/JAatN9kHAR/fKzDQDL18+bpBRF7VuLAi4pDjh7APsrcdJSOIDehrX1/jJ6uqjZ9ejJbjZkZI3YnwdlhCQ7INMWyKFPpKSsQNxfyVus2XuNIsG+RKcdfnYQvmdIdqJcDAgbPNEu5+gB8WYVDy5uyUlsH7YqKlzi0dTo9DkE6bCd4Yh5PrkGLz7cL+aPDFhZpzO+S+3n3vt2l4ltr18VVQbLZdidoE8qO6hfzwKpwTdScZzVSMVQJIlBX74slFAe5Nn30qcM3S+nS5/Qpcutgz46yG3ncCLKWnndc8Yq5u9vIXACCBQvL0K8hA4fYPxXglOMDfqmAhFMCeD38aHPHye9qZDKMW1Wyld60I6u2KtuJnlIZg8DIDhmQAk6iSS66AncsxTpW6bSjyN3GlXgLoy0zjSAVEQT9LtIIqEBD8J3xyAiQpXRUkGkZADU9bcQujD78H4IjUBuAm5L9y0RYpbRqtM+J2wBamJ6bBJnTNy/cOfnCGm85Elpjr7gPZqCgFLpmsERW4uIBADDnNe7Uwk8BM2paq+79pYJzRFbvK2dxe8Dr+RDYgK3CohUlqiGeK8sg2aUNdSVKEbdXsdqZmNTl6Rp8Pmyk18iDaJrRwTyua1DqKJ04XPdU/E7qX3hxdaGX+T6SDE7HPZictVfroN7/VhWO5M5ahwNsK8v7AIe7ajy1hk+P9v9k0o03X458c1kH482c9aTnby0cNe9xhJizAXua/+oeUpGoTJeGXnCYAqZmjOlgaVLKWo7r6UhkP/3uJC9UQk4lm+u6IlNj8yEm9XQugk+KvYXBM97++FEE9y+dJUTKX7e/yOgUI8dXZr3/Lpw6SrjrvJR+pmVVmZrRSCzwnAPFohTBzhiufZ/RVFS6khGkkQZ1AcFrFVGML2v7skn6DmuTMuJIL1bZrFv/yV8ZYE/CG9/moyK+Zwj3kmBXqT2iW/ohTE23mK/1y6JKDH90s1lWAjIYcvnO2fWbaL1YL6BuHk7K8VezS3C22mYSzvgmae2T6I2sz9YKDA3bcMMF7saXupoflM45AxpfN8GgPVcRdbvES6ajLUieN31tLsk0uiKL0xDHxU2EitDoHbjDRi1dWplzlIyBt9LzQUmA+Pq/ciJ4GRAP/M+5p0eJzKPl9Vr5y76OYv5enwSH4OeZcXnkc23NcL7v1hW8t38gGAJhQfizDoboh4sYHtxNw5T1XIfuNiDkXsCriWwx7DhOw==</go:docsCustomData>
</go:gDocsCustomXmlDataStorage>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7FDB3116-7FC6-4074-8BFD-613BFCEE0C0E}">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4702</Words>
  <Characters>26805</Characters>
  <Application>Microsoft Office Word</Application>
  <DocSecurity>0</DocSecurity>
  <Lines>223</Lines>
  <Paragraphs>62</Paragraphs>
  <ScaleCrop>false</ScaleCrop>
  <Company/>
  <LinksUpToDate>false</LinksUpToDate>
  <CharactersWithSpaces>31445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2024-06-12T13:11:00Z</dcterms:created>
  <dcterms:modified xsi:type="dcterms:W3CDTF">2024-06-12T13:11:00Z</dcterms:modified>
</cp:coreProperties>
</file>