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80" w:after="120"/>
        <w:rPr/>
      </w:pPr>
      <w:bookmarkStart w:id="0" w:name="X642f2b7e096a2208b729e0228ffaaae5906b275"/>
      <w:r>
        <w:rPr/>
        <w:t>Deference or Noise? Separating Stance Sensitivity from Instability in AI Reviewers and What It Costs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abstract"/>
      <w:r>
        <w:rPr/>
        <w:t>Abstract</w:t>
      </w:r>
    </w:p>
    <w:p>
      <w:pPr>
        <w:pStyle w:val="FirstParagraph"/>
        <w:rPr/>
      </w:pPr>
      <w:r>
        <w:rPr/>
        <w:t>Organizations ask AI systems to review decisions that a requester has already leaned toward. When the answer follows the requester’s stated view, this is read as sycophancy, but the change can also reflect run-to-run instability, sensitivity to any added sentence, or reasonable treatment of the stance as evidence. We separate these with a baseline-corrected measure of stance sensitivity and with gradients in the stance’s claimed evidence and the requester’s disclosed accuracy, and show how the corrected quantity enters the value of delegated review, (1 − s)(a − π). Across fourteen language models and 176,400 answers, correction removes a median 9% of raw deference but 21% to 75% for the five least stable models; stance-following responds to claimed evidence, no model shows pure deference, and larger models are not reliably less deferential. We offer an audit protocol and state its limits.</w:t>
      </w:r>
    </w:p>
    <w:p>
      <w:pPr>
        <w:pStyle w:val="BodyText"/>
        <w:rPr/>
      </w:pPr>
      <w:r>
        <w:rPr>
          <w:b/>
          <w:bCs/>
        </w:rPr>
        <w:t>Keywords:</w:t>
      </w:r>
      <w:r>
        <w:rPr/>
        <w:t xml:space="preserve"> AI delegation, sycophancy, AI auditing, value of information, large language models, measurement</w:t>
      </w:r>
    </w:p>
    <w:p>
      <w:pPr>
        <w:pStyle w:val="Normal"/>
        <w:rPr/>
      </w:pPr>
      <w:bookmarkStart w:id="2" w:name="abstract"/>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introduction"/>
      <w:r>
        <w:rPr/>
        <w:t>1. Introduction</w:t>
      </w:r>
    </w:p>
    <w:p>
      <w:pPr>
        <w:pStyle w:val="FirstParagraph"/>
        <w:rPr/>
      </w:pPr>
      <w:r>
        <w:rPr/>
        <w:t>A growing share of organizational review is delegated to AI systems that see the decision-maker’s leaning along with the evidence. A compliance officer asks whether a request meets policy after saying she thinks it does. An engineer asks a model to check a release he already believes is ready. A controller asks whether a report is consistent with the ledger, having drafted it. In each case the principal buys information she does not already hold, and the purchase is worth making only if the review depends on the evidence and not on the leaning she has already disclosed.</w:t>
      </w:r>
    </w:p>
    <w:p>
      <w:pPr>
        <w:pStyle w:val="BodyText"/>
        <w:rPr/>
      </w:pPr>
      <w:r>
        <w:rPr/>
        <w:t>The failure that worries practitioners and researchers is that the AI agrees. Models trained on human approval tend to endorse a stated view more often than the evidence warrants (Perez et al. 2022; Sharma et al. 2023), and challenging a correct answer can make a model abandon it (Laban et al. 2023). That reading is natural, and it is already familiar. It is also not yet a measurement. When a model’s answer changes after a user states a view, at least four different things could have happened:</w:t>
      </w:r>
    </w:p>
    <w:p>
      <w:pPr>
        <w:pStyle w:val="Compact"/>
        <w:numPr>
          <w:ilvl w:val="0"/>
          <w:numId w:val="6"/>
        </w:numPr>
        <w:rPr/>
      </w:pPr>
      <w:r>
        <w:rPr>
          <w:i/>
          <w:iCs/>
        </w:rPr>
        <w:t>Instability.</w:t>
      </w:r>
      <w:r>
        <w:rPr/>
        <w:t xml:space="preserve"> The model gives different answers to the same question across draws, so some answers change with no stance at all.</w:t>
      </w:r>
    </w:p>
    <w:p>
      <w:pPr>
        <w:pStyle w:val="Compact"/>
        <w:numPr>
          <w:ilvl w:val="0"/>
          <w:numId w:val="1"/>
        </w:numPr>
        <w:rPr/>
      </w:pPr>
      <w:r>
        <w:rPr>
          <w:i/>
          <w:iCs/>
        </w:rPr>
        <w:t>Sensitivity to added text.</w:t>
      </w:r>
      <w:r>
        <w:rPr/>
        <w:t xml:space="preserve"> Any additional sentence, relevant or not, shifts the answer (Sclar et al. 2024).</w:t>
      </w:r>
    </w:p>
    <w:p>
      <w:pPr>
        <w:pStyle w:val="Compact"/>
        <w:numPr>
          <w:ilvl w:val="0"/>
          <w:numId w:val="1"/>
        </w:numPr>
        <w:rPr/>
      </w:pPr>
      <w:r>
        <w:rPr>
          <w:i/>
          <w:iCs/>
        </w:rPr>
        <w:t>Evidence-weighing.</w:t>
      </w:r>
      <w:r>
        <w:rPr/>
        <w:t xml:space="preserve"> The stance carries information, such as a claimed colleague review or an accuracy record, and a model that gives it some weight is behaving sensibly, though not necessarily well.</w:t>
      </w:r>
    </w:p>
    <w:p>
      <w:pPr>
        <w:pStyle w:val="Compact"/>
        <w:numPr>
          <w:ilvl w:val="0"/>
          <w:numId w:val="1"/>
        </w:numPr>
        <w:rPr/>
      </w:pPr>
      <w:r>
        <w:rPr>
          <w:i/>
          <w:iCs/>
        </w:rPr>
        <w:t>Deference.</w:t>
      </w:r>
      <w:r>
        <w:rPr/>
        <w:t xml:space="preserve"> The report follows the stance because it is the stance.</w:t>
      </w:r>
    </w:p>
    <w:p>
      <w:pPr>
        <w:pStyle w:val="FirstParagraph"/>
        <w:rPr/>
      </w:pPr>
      <w:r>
        <w:rPr/>
        <w:t>Only the fourth is the yes-man of Prendergast (1993), and only the fourth justifies paying for a reviewer with integrity. Prior measurements report the sum of all four. The omission matters for management decisions in two ways. A firm that treats instability as deference will buy a more expensive “non-sycophantic” model and see no improvement in decision quality. A firm that treats deference as evidence-weighing will keep a reviewer that tells it what it already believes.</w:t>
      </w:r>
    </w:p>
    <w:p>
      <w:pPr>
        <w:pStyle w:val="BodyText"/>
        <w:rPr/>
      </w:pPr>
      <w:r>
        <w:rPr/>
        <w:t>This paper makes three contributions. First, we give a measurement design that separates the four mechanisms: replicated stance-free answers estimate instability, a length-matched neutral sentence estimates the effect of any added text, a gradient in the stance’s claimed evidence and in the requester’s disclosed accuracy discriminates deference from evidence-weighing, and a rotation of the option letters rules out position effects. Second, we extend the value-of-review function for a deferential delegate with two results that the measurement needs: the closed form with a measured conditional deference is biased by exactly the covariance between ability and deference across stems (Proposition 5), and a delegate that weights the stance at the rate that is rational for the requester’s accuracy loses nothing, so deference is a cost only to the extent that it exceeds that rate (Proposition 6). Third, we apply the design to fourteen models in five families on a new bank of 600 audited decision items, and we report what share of the conventionally measured deference survives correction, whether the remainder responds to claimed evidence, and what this does to the ranking and valuation of reviewers by their stance-free ability.</w:t>
      </w:r>
    </w:p>
    <w:p>
      <w:pPr>
        <w:pStyle w:val="BodyText"/>
        <w:rPr/>
      </w:pPr>
      <w:r>
        <w:rPr/>
        <w:t>We study models, not people, and the settings are synthetic decision items with one correct answer. We claim a measurement procedure and its application, not a theory of why models defer, and not procurement prices.</w:t>
      </w:r>
    </w:p>
    <w:p>
      <w:pPr>
        <w:pStyle w:val="Normal"/>
        <w:rPr/>
      </w:pPr>
      <w:bookmarkStart w:id="4" w:name="introduction"/>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related-literature"/>
      <w:r>
        <w:rPr/>
        <w:t>2. Related Literature</w:t>
      </w:r>
    </w:p>
    <w:p>
      <w:pPr>
        <w:pStyle w:val="Heading3"/>
        <w:rPr/>
      </w:pPr>
      <w:bookmarkStart w:id="6" w:name="X95dd3f37c4f11613f4a6ba119d1538db945e0a5"/>
      <w:r>
        <w:rPr/>
        <w:t>2.1 Delegation, advice, and the value of information</w:t>
      </w:r>
    </w:p>
    <w:p>
      <w:pPr>
        <w:pStyle w:val="FirstParagraph"/>
        <w:rPr/>
      </w:pPr>
      <w:bookmarkStart w:id="7" w:name="X95dd3f37c4f11613f4a6ba119d1538db945e0a5"/>
      <w:r>
        <w:rPr/>
        <w:t>The agency literature treats delegation as the problem of securing an agent’s effort and judgment when interests differ (Jensen and Meckling 1976; Eisenhardt 1989). Work on authority and communication shows how allocating decision rights shapes what information reaches the decision-maker (Aghion and Tirole 1997; Dessein 2002), and work on strategic communication shows that advice is informative only to the degree that the adviser’s incentives are aligned (Crawford and Sobel 1982). Prendergast (1993) is the closest antecedent: when a worker’s pay depends on matching the boss’s information, the worker reports what the boss already believes, and the organization loses the worker’s information. An AI delegate has no wage and no interest, but its reports can depend on the principal’s visible preference through training, and the informational structure is the same. The comparison of information sources follows Blackwell (1953), which orders experiments by their value to every decision-maker, and which we use to show that a requester who knows how the delegate behaves never gains from deference.</w:t>
      </w:r>
      <w:bookmarkEnd w:id="7"/>
    </w:p>
    <w:p>
      <w:pPr>
        <w:pStyle w:val="Heading3"/>
        <w:rPr/>
      </w:pPr>
      <w:bookmarkStart w:id="8" w:name="X6c0b28d343ae8e5e551e5653c4bd6842a3510c9"/>
      <w:r>
        <w:rPr/>
        <w:t>2.2 Human–AI collaboration and reliance in information systems</w:t>
      </w:r>
    </w:p>
    <w:p>
      <w:pPr>
        <w:pStyle w:val="FirstParagraph"/>
        <w:rPr/>
      </w:pPr>
      <w:bookmarkStart w:id="9" w:name="X6c0b28d343ae8e5e551e5653c4bd6842a3510c9"/>
      <w:r>
        <w:rPr/>
        <w:t>Information systems research on delegation to and from agentic artifacts (Baird and Maruping 2021) and on the cognitive challenges of delegating to AI (Fügener et al. 2022) concerns how people decide what to hand over and whether they rely on the result. The behavioral literature on reliance describes both under-reliance on algorithms (Dietvorst et al. 2015) and over-reliance (Logg et al. 2019; Parasuraman and Riley 1997), and the trust literature stresses that reliance should track actual reliability (Lee and See 2004). In the economics of AI, Agrawal et al. (2019) separate prediction from judgment and argue that the value of prediction depends on the complementary judgment of the human; we study a case in which the AI’s own judgment is moved by the human’s stated view. A buyer choosing among reviewers typically sees only stance-free benchmark accuracy, which is a measure of ability, and the sociotechnical view of IS (Sarker et al. 2019) suggests that this is exactly the kind of cue that misleads when a property of the social setting, here the visible preference of the requester, matters. Supervisory guidance on model risk management requires validation that provides effective challenge (Board of Governors of the Federal Reserve System 2011), which is the property a deferential reviewer lacks.</w:t>
      </w:r>
      <w:bookmarkEnd w:id="9"/>
    </w:p>
    <w:p>
      <w:pPr>
        <w:pStyle w:val="Heading3"/>
        <w:rPr/>
      </w:pPr>
      <w:bookmarkStart w:id="10" w:name="X19e466756fa2c40adf37a5bbea87ddef6503a6b"/>
      <w:r>
        <w:rPr/>
        <w:t>2.3 Sycophancy, instability, and prompt sensitivity in language models</w:t>
      </w:r>
    </w:p>
    <w:p>
      <w:pPr>
        <w:pStyle w:val="FirstParagraph"/>
        <w:rPr/>
      </w:pPr>
      <w:bookmarkStart w:id="11" w:name="X19e466756fa2c40adf37a5bbea87ddef6503a6b"/>
      <w:r>
        <w:rPr/>
        <w:t>The computer-science literature documents sycophancy in models trained with human feedback (Ouyang et al. 2022; Perez et al. 2022; Sharma et al. 2023) and finds it can be reduced by targeted data (Wei et al. 2023). It also documents three phenomena that the sycophancy label can absorb. First, answers vary across runs even when settings are meant to be deterministic (Atil et al. 2024). Second, outputs change with trivial changes to a prompt (Sclar et al. 2024) and with the position of the correct option (Zheng et al. 2024). Third, stated views can bias answers without the model acknowledging them (Turpin et al. 2023), which is evidence of influence but not of its mechanism. Scaling studies (Kaplan et al. 2020; Hoffmann et al. 2022) concern capability, and larger models are more able, but whether larger models defer less is an empirical question that earlier tests answer in the opposite direction in some settings (Perez et al. 2022).</w:t>
      </w:r>
      <w:bookmarkEnd w:id="11"/>
    </w:p>
    <w:p>
      <w:pPr>
        <w:pStyle w:val="Heading3"/>
        <w:rPr/>
      </w:pPr>
      <w:bookmarkStart w:id="12" w:name="the-gap-this-paper-fills"/>
      <w:r>
        <w:rPr/>
        <w:t>2.4 The gap this paper fills</w:t>
      </w:r>
    </w:p>
    <w:p>
      <w:pPr>
        <w:pStyle w:val="FirstParagraph"/>
        <w:rPr/>
      </w:pPr>
      <w:r>
        <w:rPr/>
        <w:t>The sycophancy literature measures how often an answer changes under a stated view; the delegation literature supplies the value of information and the yes-man structure. What is missing is a decomposition of the observed change that a buyer can apply, and a value-of-review function that uses the right component. Without the decomposition, ability-based rankings are read as safe, deference as a defect to be priced, and a flip as sycophancy. With it, the buyer can ask three separate questions: how unstable is this reviewer, does it respond to evidence the requester has actually provided, and how much of the remainder is deference.</w:t>
      </w:r>
    </w:p>
    <w:p>
      <w:pPr>
        <w:pStyle w:val="Normal"/>
        <w:rPr/>
      </w:pPr>
      <w:bookmarkStart w:id="13" w:name="related-literature"/>
      <w:bookmarkStart w:id="14" w:name="the-gap-this-paper-fill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bookmarkEnd w:id="14"/>
    </w:p>
    <w:p>
      <w:pPr>
        <w:pStyle w:val="Heading2"/>
        <w:rPr/>
      </w:pPr>
      <w:bookmarkStart w:id="15" w:name="X1eaaf2ae76dd6424cbb806471856abc293a2b30"/>
      <w:r>
        <w:rPr/>
        <w:t>3. Theory: A Model of Delegated Review with a Deferential Delegate</w:t>
      </w:r>
    </w:p>
    <w:p>
      <w:pPr>
        <w:pStyle w:val="Heading3"/>
        <w:rPr/>
      </w:pPr>
      <w:bookmarkStart w:id="16" w:name="setup"/>
      <w:r>
        <w:rPr/>
        <w:t>3.1 Setup</w:t>
      </w:r>
    </w:p>
    <w:p>
      <w:pPr>
        <w:pStyle w:val="FirstParagraph"/>
        <w:rPr/>
      </w:pPr>
      <w:r>
        <w:rPr/>
        <w:t>A requester has a stated preference for action S in a binary decision and earns 1 if the final action is correct and 0 otherwise. S is correct with probability π, the accuracy of the requester’s preference (A1). Without review she acts on S and earns π. When the delegate judges on evidence it answers correctly with probability a, independently of whether S is correct (A2, ability). The delegate sees the stance. If S is wrong it reports S with probability s</w:t>
      </w:r>
      <w:r>
        <w:rPr>
          <w:vertAlign w:val="subscript"/>
        </w:rPr>
        <w:t>w</w:t>
      </w:r>
      <w:r>
        <w:rPr/>
        <w:t xml:space="preserve"> regardless of the evidence; if S is right, with probability s</w:t>
      </w:r>
      <w:r>
        <w:rPr>
          <w:vertAlign w:val="subscript"/>
        </w:rPr>
        <w:t>r</w:t>
      </w:r>
      <w:r>
        <w:rPr/>
        <w:t>; otherwise it reports its evidence-based answer (A3, deference). Its integrity is 1 − s. The case s</w:t>
      </w:r>
      <w:r>
        <w:rPr>
          <w:vertAlign w:val="subscript"/>
        </w:rPr>
        <w:t>w</w:t>
      </w:r>
      <w:r>
        <w:rPr/>
        <w:t xml:space="preserve"> = s</w:t>
      </w:r>
      <w:r>
        <w:rPr>
          <w:vertAlign w:val="subscript"/>
        </w:rPr>
        <w:t>r</w:t>
      </w:r>
      <w:r>
        <w:rPr/>
        <w:t xml:space="preserve"> = s is the pure yes-man. A naive requester adopts the delegate’s report (A4); a sophisticated requester who knows (a, s</w:t>
      </w:r>
      <w:r>
        <w:rPr>
          <w:vertAlign w:val="subscript"/>
        </w:rPr>
        <w:t>w</w:t>
      </w:r>
      <w:r>
        <w:rPr/>
        <w:t>, s</w:t>
      </w:r>
      <w:r>
        <w:rPr>
          <w:vertAlign w:val="subscript"/>
        </w:rPr>
        <w:t>r</w:t>
      </w:r>
      <w:r>
        <w:rPr/>
        <w:t>, π) updates. Costs and prices are set aside until Proposition 8.</w:t>
      </w:r>
      <w:bookmarkEnd w:id="16"/>
    </w:p>
    <w:p>
      <w:pPr>
        <w:pStyle w:val="Heading3"/>
        <w:rPr/>
      </w:pPr>
      <w:bookmarkStart w:id="17" w:name="propositions"/>
      <w:r>
        <w:rPr/>
        <w:t>3.2 Propositions</w:t>
      </w:r>
    </w:p>
    <w:p>
      <w:pPr>
        <w:pStyle w:val="FirstParagraph"/>
        <w:rPr/>
      </w:pPr>
      <w:r>
        <w:rPr>
          <w:b/>
          <w:bCs/>
        </w:rPr>
        <w:t>Proposition 1 (value of review).</w:t>
      </w:r>
      <w:r>
        <w:rPr/>
        <w:t xml:space="preserve"> For the naive requester, V(π) = (1 − π)(1 − s</w:t>
      </w:r>
      <w:r>
        <w:rPr>
          <w:vertAlign w:val="subscript"/>
        </w:rPr>
        <w:t>w</w:t>
      </w:r>
      <w:r>
        <w:rPr/>
        <w:t>)a − π(1 − s</w:t>
      </w:r>
      <w:r>
        <w:rPr>
          <w:vertAlign w:val="subscript"/>
        </w:rPr>
        <w:t>r</w:t>
      </w:r>
      <w:r>
        <w:rPr/>
        <w:t>)(1 − a). With s</w:t>
      </w:r>
      <w:r>
        <w:rPr>
          <w:vertAlign w:val="subscript"/>
        </w:rPr>
        <w:t>w</w:t>
      </w:r>
      <w:r>
        <w:rPr/>
        <w:t xml:space="preserve"> = s</w:t>
      </w:r>
      <w:r>
        <w:rPr>
          <w:vertAlign w:val="subscript"/>
        </w:rPr>
        <w:t>r</w:t>
      </w:r>
      <w:r>
        <w:rPr/>
        <w:t xml:space="preserve"> = s, V = (1 − s)(a − π). The value is linear in π and is zero at π* = (1 − s</w:t>
      </w:r>
      <w:r>
        <w:rPr>
          <w:vertAlign w:val="subscript"/>
        </w:rPr>
        <w:t>w</w:t>
      </w:r>
      <w:r>
        <w:rPr/>
        <w:t>)a / [(1 − s</w:t>
      </w:r>
      <w:r>
        <w:rPr>
          <w:vertAlign w:val="subscript"/>
        </w:rPr>
        <w:t>w</w:t>
      </w:r>
      <w:r>
        <w:rPr/>
        <w:t>)a + (1 − s</w:t>
      </w:r>
      <w:r>
        <w:rPr>
          <w:vertAlign w:val="subscript"/>
        </w:rPr>
        <w:t>r</w:t>
      </w:r>
      <w:r>
        <w:rPr/>
        <w:t>)(1 − a)], which equals a in the symmetric case.</w:t>
      </w:r>
    </w:p>
    <w:p>
      <w:pPr>
        <w:pStyle w:val="BodyText"/>
        <w:rPr/>
      </w:pPr>
      <w:r>
        <w:rPr>
          <w:b/>
          <w:bCs/>
        </w:rPr>
        <w:t>Proposition 2 (complementarity).</w:t>
      </w:r>
      <w:r>
        <w:rPr/>
        <w:t xml:space="preserve"> In the symmetric case, with integrity i = 1 − s, V = i(a − π), so the cross-partial derivative with respect to a and i is one. Neither ability nor integrity is valuable alone.</w:t>
      </w:r>
    </w:p>
    <w:p>
      <w:pPr>
        <w:pStyle w:val="BodyText"/>
        <w:rPr/>
      </w:pPr>
      <w:r>
        <w:rPr>
          <w:b/>
          <w:bCs/>
        </w:rPr>
        <w:t>Proposition 3 (sign of the value of integrity).</w:t>
      </w:r>
      <w:r>
        <w:rPr/>
        <w:t xml:space="preserve"> dV/ds = −(a − π). Deference lowers the naive requester’s value if and only if the delegate is more accurate than her preference, a &gt; π. If a &lt; π, deference raises her value because it moves the outcome back toward her prior. Integrity matters exactly where delegation is worth doing.</w:t>
      </w:r>
    </w:p>
    <w:p>
      <w:pPr>
        <w:pStyle w:val="BodyText"/>
        <w:rPr/>
      </w:pPr>
      <w:r>
        <w:rPr>
          <w:b/>
          <w:bCs/>
        </w:rPr>
        <w:t>Proposition 4 (overstatement).</w:t>
      </w:r>
      <w:r>
        <w:rPr/>
        <w:t xml:space="preserve"> The share of the ability-based value a − π that is lost to deference is s, whatever π. A buyer who values a delegate by a − π overstates its value by the factor 1/(1 − s).</w:t>
      </w:r>
    </w:p>
    <w:p>
      <w:pPr>
        <w:pStyle w:val="BodyText"/>
        <w:rPr/>
      </w:pPr>
      <w:r>
        <w:rPr>
          <w:b/>
          <w:bCs/>
        </w:rPr>
        <w:t>Proposition 5 (heterogeneity across stems).</w:t>
      </w:r>
      <w:r>
        <w:rPr/>
        <w:t xml:space="preserve"> Let stems i differ in ability a</w:t>
      </w:r>
      <w:r>
        <w:rPr>
          <w:vertAlign w:val="subscript"/>
        </w:rPr>
        <w:t>i</w:t>
      </w:r>
      <w:r>
        <w:rPr/>
        <w:t xml:space="preserve"> and deference s</w:t>
      </w:r>
      <w:r>
        <w:rPr>
          <w:vertAlign w:val="subscript"/>
        </w:rPr>
        <w:t>i</w:t>
      </w:r>
      <w:r>
        <w:rPr/>
        <w:t xml:space="preserve"> (symmetric within a stem), with ā and s̄ the means. Define the conditional deference measured on stems the delegate would answer correctly, s</w:t>
      </w:r>
      <w:r>
        <w:rPr>
          <w:vertAlign w:val="subscript"/>
        </w:rPr>
        <w:t>c</w:t>
      </w:r>
      <w:r>
        <w:rPr/>
        <w:t xml:space="preserve"> = E[a</w:t>
      </w:r>
      <w:r>
        <w:rPr>
          <w:vertAlign w:val="subscript"/>
        </w:rPr>
        <w:t>i</w:t>
      </w:r>
      <w:r>
        <w:rPr/>
        <w:t xml:space="preserve"> s</w:t>
      </w:r>
      <w:r>
        <w:rPr>
          <w:vertAlign w:val="subscript"/>
        </w:rPr>
        <w:t>i</w:t>
      </w:r>
      <w:r>
        <w:rPr/>
        <w:t>]/ā. Then the true value is V(π) = E[(1 − s</w:t>
      </w:r>
      <w:r>
        <w:rPr>
          <w:vertAlign w:val="subscript"/>
        </w:rPr>
        <w:t>i</w:t>
      </w:r>
      <w:r>
        <w:rPr/>
        <w:t>)(a</w:t>
      </w:r>
      <w:r>
        <w:rPr>
          <w:vertAlign w:val="subscript"/>
        </w:rPr>
        <w:t>i</w:t>
      </w:r>
      <w:r>
        <w:rPr/>
        <w:t xml:space="preserve"> − π)] = ā(1 − s</w:t>
      </w:r>
      <w:r>
        <w:rPr>
          <w:vertAlign w:val="subscript"/>
        </w:rPr>
        <w:t>c</w:t>
      </w:r>
      <w:r>
        <w:rPr/>
        <w:t>) − π(1 − s̄), and the closed form evaluated at the measured conditional deference, V</w:t>
      </w:r>
      <w:r>
        <w:rPr>
          <w:vertAlign w:val="subscript"/>
        </w:rPr>
        <w:t>cf</w:t>
      </w:r>
      <w:r>
        <w:rPr/>
        <w:t xml:space="preserve"> = (1 − s</w:t>
      </w:r>
      <w:r>
        <w:rPr>
          <w:vertAlign w:val="subscript"/>
        </w:rPr>
        <w:t>c</w:t>
      </w:r>
      <w:r>
        <w:rPr/>
        <w:t>)(ā − π), differs from it by</w:t>
      </w:r>
    </w:p>
    <w:p>
      <w:pPr>
        <w:pStyle w:val="BodyText"/>
        <w:rPr/>
      </w:pPr>
      <w:r>
        <w:rPr/>
        <w:t>V(π) − V</w:t>
      </w:r>
      <w:r>
        <w:rPr>
          <w:vertAlign w:val="subscript"/>
        </w:rPr>
        <w:t>cf</w:t>
      </w:r>
      <w:r>
        <w:rPr/>
        <w:t xml:space="preserve"> = π(s̄ − s</w:t>
      </w:r>
      <w:r>
        <w:rPr>
          <w:vertAlign w:val="subscript"/>
        </w:rPr>
        <w:t>c</w:t>
      </w:r>
      <w:r>
        <w:rPr/>
        <w:t>) = −π Cov(a</w:t>
      </w:r>
      <w:r>
        <w:rPr>
          <w:vertAlign w:val="subscript"/>
        </w:rPr>
        <w:t>i</w:t>
      </w:r>
      <w:r>
        <w:rPr/>
        <w:t>, s</w:t>
      </w:r>
      <w:r>
        <w:rPr>
          <w:vertAlign w:val="subscript"/>
        </w:rPr>
        <w:t>i</w:t>
      </w:r>
      <w:r>
        <w:rPr/>
        <w:t>)/ā.</w:t>
      </w:r>
    </w:p>
    <w:p>
      <w:pPr>
        <w:pStyle w:val="BodyText"/>
        <w:rPr/>
      </w:pPr>
      <w:r>
        <w:rPr/>
        <w:t>If deference is concentrated on stems where the delegate is weak (Cov &lt; 0), the closed form understates the value of review, because deferring where one’s own answer is unreliable costs little. The understatement grows with π.</w:t>
      </w:r>
    </w:p>
    <w:p>
      <w:pPr>
        <w:pStyle w:val="BodyText"/>
        <w:rPr/>
      </w:pPr>
      <w:r>
        <w:rPr>
          <w:b/>
          <w:bCs/>
        </w:rPr>
        <w:t>Proposition 6 (rational stance-weighting costs nothing).</w:t>
      </w:r>
      <w:r>
        <w:rPr/>
        <w:t xml:space="preserve"> Let the delegate observe a signal x with likelihood ratio ℓ(x) = P(x | S correct)/P(x | S wrong) and the stance. Let r* be the report that is S if and only if ℓ(x) · π/(1 − π) ≥ 1 and not S otherwise. Then among all report rules that depend on (x, stance), r* maximizes the naive requester’s accuracy. Any rule that reports S on a larger set of signals, a stance weight above π/(1 − π), has strictly lower accuracy unless that set has probability zero. Deference is therefore a cost only to the extent that it exceeds the weight that is rational for the requester’s accuracy π. The delegate cannot observe π, so a delegate that weights the stance at a fixed rate is optimal for at most one requester accuracy.</w:t>
      </w:r>
    </w:p>
    <w:p>
      <w:pPr>
        <w:pStyle w:val="BodyText"/>
        <w:rPr/>
      </w:pPr>
      <w:r>
        <w:rPr>
          <w:b/>
          <w:bCs/>
        </w:rPr>
        <w:t>Proposition 7 (sophisticated requester).</w:t>
      </w:r>
      <w:r>
        <w:rPr/>
        <w:t xml:space="preserve"> If the requester knows the parameters and updates, her value is weakly decreasing in s, and strictly where the report would change her decision. The benefit of deference in Proposition 3 therefore belongs to the naive requester alone. The report of a deferential delegate is a garbling of the report of a non-deferential one, which Blackwell (1953) ranks as less informative for every decision-maker.</w:t>
      </w:r>
    </w:p>
    <w:p>
      <w:pPr>
        <w:pStyle w:val="BodyText"/>
        <w:rPr/>
      </w:pPr>
      <w:r>
        <w:rPr>
          <w:b/>
          <w:bCs/>
        </w:rPr>
        <w:t>Proposition 8 (implied prices).</w:t>
      </w:r>
      <w:r>
        <w:rPr/>
        <w:t xml:space="preserve"> Suppose the process can hide the stance from the delegate at a cost δ in ability, so that a blinded delegate does not defer and yields a − δ − π. Blinding is better if and only if δ &lt; s(a − π); it never helps when a ≤ π. The same expression, s(a − π), is the largest amount of value a buyer who observes s should be willing to pay for a non-deferential version of the same delegate, in units of the requester’s accuracy.</w:t>
      </w:r>
    </w:p>
    <w:p>
      <w:pPr>
        <w:pStyle w:val="BodyText"/>
        <w:rPr/>
      </w:pPr>
      <w:r>
        <w:rPr>
          <w:b/>
          <w:bCs/>
        </w:rPr>
        <w:t>Proposition 9 (ranking by ability).</w:t>
      </w:r>
      <w:r>
        <w:rPr/>
        <w:t xml:space="preserve"> For two delegates with a</w:t>
      </w:r>
      <w:r>
        <w:rPr>
          <w:vertAlign w:val="subscript"/>
        </w:rPr>
        <w:t>1</w:t>
      </w:r>
      <w:r>
        <w:rPr/>
        <w:t xml:space="preserve"> &gt; a</w:t>
      </w:r>
      <w:r>
        <w:rPr>
          <w:vertAlign w:val="subscript"/>
        </w:rPr>
        <w:t>2</w:t>
      </w:r>
      <w:r>
        <w:rPr/>
        <w:t>, V</w:t>
      </w:r>
      <w:r>
        <w:rPr>
          <w:vertAlign w:val="subscript"/>
        </w:rPr>
        <w:t>1</w:t>
      </w:r>
      <w:r>
        <w:rPr/>
        <w:t xml:space="preserve"> − V</w:t>
      </w:r>
      <w:r>
        <w:rPr>
          <w:vertAlign w:val="subscript"/>
        </w:rPr>
        <w:t>2</w:t>
      </w:r>
      <w:r>
        <w:rPr/>
        <w:t xml:space="preserve"> = N + π(s</w:t>
      </w:r>
      <w:r>
        <w:rPr>
          <w:vertAlign w:val="subscript"/>
        </w:rPr>
        <w:t>1</w:t>
      </w:r>
      <w:r>
        <w:rPr/>
        <w:t xml:space="preserve"> − s</w:t>
      </w:r>
      <w:r>
        <w:rPr>
          <w:vertAlign w:val="subscript"/>
        </w:rPr>
        <w:t>2</w:t>
      </w:r>
      <w:r>
        <w:rPr/>
        <w:t>), where N =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Ranking by ability is value-optimal for every prior in [0, 1] if and only if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xml:space="preserve"> and (1 − s</w:t>
      </w:r>
      <w:r>
        <w:rPr>
          <w:vertAlign w:val="subscript"/>
        </w:rPr>
        <w:t>1</w:t>
      </w:r>
      <w:r>
        <w:rPr/>
        <w:t>)(1 − a</w:t>
      </w:r>
      <w:r>
        <w:rPr>
          <w:vertAlign w:val="subscript"/>
        </w:rPr>
        <w:t>1</w:t>
      </w:r>
      <w:r>
        <w:rPr/>
        <w:t>) ≤ (1 − s</w:t>
      </w:r>
      <w:r>
        <w:rPr>
          <w:vertAlign w:val="subscript"/>
        </w:rPr>
        <w:t>2</w:t>
      </w:r>
      <w:r>
        <w:rPr/>
        <w:t>)(1 − a</w:t>
      </w:r>
      <w:r>
        <w:rPr>
          <w:vertAlign w:val="subscript"/>
        </w:rPr>
        <w:t>2</w:t>
      </w:r>
      <w:r>
        <w:rPr/>
        <w:t>) for every such pair.</w:t>
      </w:r>
    </w:p>
    <w:p>
      <w:pPr>
        <w:pStyle w:val="BodyText"/>
        <w:rPr/>
      </w:pPr>
      <w:bookmarkStart w:id="18" w:name="propositions"/>
      <w:r>
        <w:rPr/>
        <w:t>Proofs are in Appendix A. Propositions 1–4 and 7–9 set out the base model; Propositions 5 and 6 are what the measurement design in Section 5 needs.</w:t>
      </w:r>
      <w:bookmarkEnd w:id="18"/>
    </w:p>
    <w:p>
      <w:pPr>
        <w:pStyle w:val="Heading3"/>
        <w:rPr/>
      </w:pPr>
      <w:bookmarkStart w:id="19" w:name="what-the-model-implies-for-measurement"/>
      <w:r>
        <w:rPr/>
        <w:t>3.3 What the model implies for measurement</w:t>
      </w:r>
    </w:p>
    <w:p>
      <w:pPr>
        <w:pStyle w:val="FirstParagraph"/>
        <w:rPr/>
      </w:pPr>
      <w:r>
        <w:rPr/>
        <w:t>The model separates what an experimenter can observe from what the buyer needs. The buyer needs s, the probability that the report follows the stance whatever the evidence. An experimenter observes, for stems the delegate answers correctly without a stance, the share whose answer changes to the stance-endorsed option under the stance. That share contains the baseline rate at which answers change to that option with no stance at all (instability and any-sentence effects), plus the stance effect. Proposition 6 adds that part of the stance effect may be rational. Sections 4 and 5 turn these two observations into hypotheses and a design.</w:t>
      </w:r>
    </w:p>
    <w:p>
      <w:pPr>
        <w:pStyle w:val="Normal"/>
        <w:rPr/>
      </w:pPr>
      <w:bookmarkStart w:id="20" w:name="X1eaaf2ae76dd6424cbb806471856abc293a2b30"/>
      <w:bookmarkStart w:id="21" w:name="what-the-model-implies-for-measuremen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bookmarkEnd w:id="21"/>
    </w:p>
    <w:p>
      <w:pPr>
        <w:pStyle w:val="Heading2"/>
        <w:rPr/>
      </w:pPr>
      <w:bookmarkStart w:id="22" w:name="hypotheses"/>
      <w:r>
        <w:rPr/>
        <w:t>4. Hypotheses</w:t>
      </w:r>
    </w:p>
    <w:p>
      <w:pPr>
        <w:pStyle w:val="FirstParagraph"/>
        <w:rPr/>
      </w:pPr>
      <w:r>
        <w:rPr/>
        <w:t>Let ν be the rate at which a stance-free replicate answers the stance-endorsed option among stems answered correctly in a reference run; ρ the same rate after a length-matched neutral sentence; f(e) the rate under a stance at claimed-evidence level e; and s* = f(e*) − ρ the baseline-corrected stance effect at the primary level e*, the stated preference without claimed evidence. All are shares of the same conditional set of stems. Table 1 gives the decision rule for each hypothesis.</w:t>
      </w:r>
    </w:p>
    <w:p>
      <w:pPr>
        <w:pStyle w:val="BodyText"/>
        <w:rPr/>
      </w:pPr>
      <w:r>
        <w:rPr>
          <w:b/>
          <w:bCs/>
        </w:rPr>
        <w:t>H1 (instability).</w:t>
      </w:r>
      <w:r>
        <w:rPr/>
        <w:t xml:space="preserve"> The conventionally measured conditional deference exceeds the corrected effect, f(e*) &gt; s*, because ρ &gt; 0. The share removed is largest for small, unstable models.</w:t>
      </w:r>
    </w:p>
    <w:p>
      <w:pPr>
        <w:pStyle w:val="BodyText"/>
        <w:rPr/>
      </w:pPr>
      <w:r>
        <w:rPr>
          <w:b/>
          <w:bCs/>
        </w:rPr>
        <w:t>H2 (scale).</w:t>
      </w:r>
      <w:r>
        <w:rPr/>
        <w:t xml:space="preserve"> Within each family the larger model has higher ability and a lower corrected stance effect s*. H2 asks whether this pattern survives correction.</w:t>
      </w:r>
    </w:p>
    <w:p>
      <w:pPr>
        <w:pStyle w:val="BodyText"/>
        <w:rPr/>
      </w:pPr>
      <w:r>
        <w:rPr>
          <w:b/>
          <w:bCs/>
        </w:rPr>
        <w:t>H3 (deference versus evidence-weighing).</w:t>
      </w:r>
      <w:r>
        <w:rPr/>
        <w:t xml:space="preserve"> Two accounts make opposite predictions on the gradients.</w:t>
      </w:r>
    </w:p>
    <w:p>
      <w:pPr>
        <w:pStyle w:val="Compact"/>
        <w:numPr>
          <w:ilvl w:val="0"/>
          <w:numId w:val="2"/>
        </w:numPr>
        <w:rPr/>
      </w:pPr>
      <w:r>
        <w:rPr>
          <w:i/>
          <w:iCs/>
        </w:rPr>
        <w:t>Deference:</w:t>
      </w:r>
      <w:r>
        <w:rPr/>
        <w:t xml:space="preserve"> f(e) is flat in the claimed evidence e, flat in the disclosed requester accuracy, and does not fall when the stance is explicitly disclaimed (“I have no evidence for this”).</w:t>
      </w:r>
    </w:p>
    <w:p>
      <w:pPr>
        <w:pStyle w:val="Compact"/>
        <w:numPr>
          <w:ilvl w:val="0"/>
          <w:numId w:val="2"/>
        </w:numPr>
        <w:rPr/>
      </w:pPr>
      <w:r>
        <w:rPr>
          <w:i/>
          <w:iCs/>
        </w:rPr>
        <w:t>Evidence-weighing:</w:t>
      </w:r>
      <w:r>
        <w:rPr/>
        <w:t xml:space="preserve"> f(e) rises with e, rises with the disclosed accuracy, and falls under the disclaimer. We state both predictions in advance and report the slopes, without a directional hypothesis about which account describes which model.</w:t>
      </w:r>
    </w:p>
    <w:p>
      <w:pPr>
        <w:pStyle w:val="FirstParagraph"/>
        <w:rPr/>
      </w:pPr>
      <w:r>
        <w:rPr>
          <w:b/>
          <w:bCs/>
        </w:rPr>
        <w:t>H4 (heterogeneity).</w:t>
      </w:r>
      <w:r>
        <w:rPr/>
        <w:t xml:space="preserve"> Deference is higher on stems the model finds harder, Cov(a</w:t>
      </w:r>
      <w:r>
        <w:rPr>
          <w:vertAlign w:val="subscript"/>
        </w:rPr>
        <w:t>i</w:t>
      </w:r>
      <w:r>
        <w:rPr/>
        <w:t>, s</w:t>
      </w:r>
      <w:r>
        <w:rPr>
          <w:vertAlign w:val="subscript"/>
        </w:rPr>
        <w:t>i</w:t>
      </w:r>
      <w:r>
        <w:rPr/>
        <w:t>) &lt; 0, so the closed form with measured conditional deference understates the model-free value of review (Proposition 5).</w:t>
      </w:r>
    </w:p>
    <w:p>
      <w:pPr>
        <w:pStyle w:val="BodyText"/>
        <w:rPr/>
      </w:pPr>
      <w:r>
        <w:rPr>
          <w:b/>
          <w:bCs/>
        </w:rPr>
        <w:t>H5 (ranking).</w:t>
      </w:r>
      <w:r>
        <w:rPr/>
        <w:t xml:space="preserve"> Ranking models by stance-free ability preserves the order of value in most pairs but overstates the level by the factor 1/(1 − s*), where s* now replaces the uncorrected conditional deference.</w:t>
      </w:r>
    </w:p>
    <w:p>
      <w:pPr>
        <w:pStyle w:val="TableCaption"/>
        <w:keepNext/>
      </w:pPr>
      <w:r>
        <w:rPr>
          <w:b/>
          <w:bCs/>
        </w:rPr>
        <w:t xml:space="preserve">Table 1. </w:t>
      </w:r>
      <w:r>
        <w:t xml:space="preserve">Decision rules for H1–H5</w:t>
      </w:r>
    </w:p>
    <w:tbl>
      <w:tblPr>
        <w:tblW w:w="9360" w:type="dxa"/>
        <w:tblLayout w:type="fixed"/>
        <w:tblCellMar>
          <w:left w:w="80" w:type="dxa"/>
          <w:right w:w="80" w:type="dxa"/>
        </w:tblCellMar>
      </w:tblPr>
      <w:tblGrid>
        <w:gridCol w:w="1300"/>
        <w:gridCol w:w="2700"/>
        <w:gridCol w:w="5360"/>
      </w:tblGrid>
      <w:tr>
        <w:trPr>
          <w:cantSplit/>
          <w:tblHeader/>
        </w:trPr>
        <w:tc>
          <w:tcPr>
            <w:tcW w:w="1300" w:type="dxa"/>
            <w:tcBorders>
              <w:top w:val="single" w:sz="8" w:space="0" w:color="000000"/>
              <w:bottom w:val="single" w:sz="4" w:space="0" w:color="000000"/>
            </w:tcBorders>
          </w:tcPr>
          <w:p>
            <w:pPr>
              <w:pStyle w:val="Compact"/>
              <w:spacing w:before="40" w:after="40"/>
            </w:pPr>
            <w:r>
              <w:rPr>
                <w:b/>
                <w:bCs/>
              </w:rPr>
              <w:t xml:space="preserve">Hypothesis</w:t>
            </w:r>
          </w:p>
        </w:tc>
        <w:tc>
          <w:tcPr>
            <w:tcW w:w="2700" w:type="dxa"/>
            <w:tcBorders>
              <w:top w:val="single" w:sz="8" w:space="0" w:color="000000"/>
              <w:bottom w:val="single" w:sz="4" w:space="0" w:color="000000"/>
            </w:tcBorders>
          </w:tcPr>
          <w:p>
            <w:pPr>
              <w:pStyle w:val="Compact"/>
              <w:spacing w:before="40" w:after="40"/>
            </w:pPr>
            <w:r>
              <w:rPr>
                <w:b/>
                <w:bCs/>
              </w:rPr>
              <w:t xml:space="preserve">Quantity</w:t>
            </w:r>
          </w:p>
        </w:tc>
        <w:tc>
          <w:tcPr>
            <w:tcW w:w="5360" w:type="dxa"/>
            <w:tcBorders>
              <w:top w:val="single" w:sz="8" w:space="0" w:color="000000"/>
              <w:bottom w:val="single" w:sz="4" w:space="0" w:color="000000"/>
            </w:tcBorders>
          </w:tcPr>
          <w:p>
            <w:pPr>
              <w:pStyle w:val="Compact"/>
              <w:spacing w:before="40" w:after="40"/>
            </w:pPr>
            <w:r>
              <w:rPr>
                <w:b/>
                <w:bCs/>
              </w:rPr>
              <w:t xml:space="preserve">Supported if</w:t>
            </w:r>
          </w:p>
        </w:tc>
      </w:tr>
      <w:tr>
        <w:trPr>
          <w:cantSplit/>
        </w:trPr>
        <w:tc>
          <w:tcPr>
            <w:tcW w:w="1300" w:type="dxa"/>
          </w:tcPr>
          <w:p>
            <w:pPr>
              <w:pStyle w:val="Compact"/>
              <w:spacing w:before="40" w:after="40"/>
            </w:pPr>
            <w:r>
              <w:rPr>
                <w:b/>
                <w:bCs/>
              </w:rPr>
              <w:t xml:space="preserve">H1</w:t>
            </w:r>
          </w:p>
        </w:tc>
        <w:tc>
          <w:tcPr>
            <w:tcW w:w="2700" w:type="dxa"/>
          </w:tcPr>
          <w:p>
            <w:pPr>
              <w:pStyle w:val="Compact"/>
              <w:spacing w:before="40" w:after="40"/>
            </w:pPr>
            <w:r>
              <w:t xml:space="preserve">ρ; rank correlation of ν with the share removed</w:t>
            </w:r>
          </w:p>
        </w:tc>
        <w:tc>
          <w:tcPr>
            <w:tcW w:w="5360" w:type="dxa"/>
          </w:tcPr>
          <w:p>
            <w:pPr>
              <w:pStyle w:val="Compact"/>
              <w:spacing w:before="40" w:after="40"/>
            </w:pPr>
            <w:r>
              <w:t xml:space="preserve">Supported for a model if the interval for ρ excludes 0, and overall if it does so for a majority of models. The clause on small, unstable models is supported if the rank correlation is positive with an interval excluding 0.</w:t>
            </w:r>
          </w:p>
        </w:tc>
      </w:tr>
      <w:tr>
        <w:trPr>
          <w:cantSplit/>
        </w:trPr>
        <w:tc>
          <w:tcPr>
            <w:tcW w:w="1300" w:type="dxa"/>
          </w:tcPr>
          <w:p>
            <w:pPr>
              <w:pStyle w:val="Compact"/>
              <w:spacing w:before="40" w:after="40"/>
            </w:pPr>
            <w:r>
              <w:rPr>
                <w:b/>
                <w:bCs/>
              </w:rPr>
              <w:t xml:space="preserve">H2</w:t>
            </w:r>
          </w:p>
        </w:tc>
        <w:tc>
          <w:tcPr>
            <w:tcW w:w="2700" w:type="dxa"/>
          </w:tcPr>
          <w:p>
            <w:pPr>
              <w:pStyle w:val="Compact"/>
              <w:spacing w:before="40" w:after="40"/>
            </w:pPr>
            <w:r>
              <w:t xml:space="preserve">Large minus small within a family: ability and s*</w:t>
            </w:r>
          </w:p>
        </w:tc>
        <w:tc>
          <w:tcPr>
            <w:tcW w:w="5360" w:type="dxa"/>
          </w:tcPr>
          <w:p>
            <w:pPr>
              <w:pStyle w:val="Compact"/>
              <w:spacing w:before="40" w:after="40"/>
            </w:pPr>
            <w:r>
              <w:t xml:space="preserve">Supported in a family if the paired interval excludes 0 in the stated direction for both (higher ability, lower s*). Across families: exact two-sided sign test and its smallest attainable p value; no general claim about scale.</w:t>
            </w:r>
          </w:p>
        </w:tc>
      </w:tr>
      <w:tr>
        <w:trPr>
          <w:cantSplit/>
        </w:trPr>
        <w:tc>
          <w:tcPr>
            <w:tcW w:w="1300" w:type="dxa"/>
          </w:tcPr>
          <w:p>
            <w:pPr>
              <w:pStyle w:val="Compact"/>
              <w:spacing w:before="40" w:after="40"/>
            </w:pPr>
            <w:r>
              <w:rPr>
                <w:b/>
                <w:bCs/>
              </w:rPr>
              <w:t xml:space="preserve">H3</w:t>
            </w:r>
          </w:p>
        </w:tc>
        <w:tc>
          <w:tcPr>
            <w:tcW w:w="2700" w:type="dxa"/>
          </w:tcPr>
          <w:p>
            <w:pPr>
              <w:pStyle w:val="Compact"/>
              <w:spacing w:before="40" w:after="40"/>
            </w:pPr>
            <w:r>
              <w:t xml:space="preserve">Evidence slope, accuracy slope, disclaimer effect</w:t>
            </w:r>
          </w:p>
        </w:tc>
        <w:tc>
          <w:tcPr>
            <w:tcW w:w="5360" w:type="dxa"/>
          </w:tcPr>
          <w:p>
            <w:pPr>
              <w:pStyle w:val="Compact"/>
              <w:spacing w:before="40" w:after="40"/>
            </w:pPr>
            <w:r>
              <w:t xml:space="preserve">Deference-consistent: all three intervals include 0 and the evidence-slope interval lies within ±0.08 per level. Evidence-weighing-consistent: evidence slope &gt; 0, accuracy slope &gt; 0 and disclaimer effect &lt; 0, all intervals excluding 0. Otherwise mixed or unclassified.</w:t>
            </w:r>
          </w:p>
        </w:tc>
      </w:tr>
      <w:tr>
        <w:trPr>
          <w:cantSplit/>
        </w:trPr>
        <w:tc>
          <w:tcPr>
            <w:tcW w:w="1300" w:type="dxa"/>
          </w:tcPr>
          <w:p>
            <w:pPr>
              <w:pStyle w:val="Compact"/>
              <w:spacing w:before="40" w:after="40"/>
            </w:pPr>
            <w:r>
              <w:rPr>
                <w:b/>
                <w:bCs/>
              </w:rPr>
              <w:t xml:space="preserve">H4</w:t>
            </w:r>
          </w:p>
        </w:tc>
        <w:tc>
          <w:tcPr>
            <w:tcW w:w="2700" w:type="dxa"/>
          </w:tcPr>
          <w:p>
            <w:pPr>
              <w:pStyle w:val="Compact"/>
              <w:spacing w:before="40" w:after="40"/>
            </w:pPr>
            <w:r>
              <w:t xml:space="preserve">Cov(a</w:t>
            </w:r>
            <w:r>
              <w:rPr>
                <w:vertAlign w:val="subscript"/>
              </w:rPr>
              <w:t xml:space="preserve">i</w:t>
            </w:r>
            <w:r>
              <w:t xml:space="preserve">, s</w:t>
            </w:r>
            <w:r>
              <w:rPr>
                <w:vertAlign w:val="subscript"/>
              </w:rPr>
              <w:t xml:space="preserve">i</w:t>
            </w:r>
            <w:r>
              <w:t xml:space="preserve">); model-free value minus closed form at π = .7</w:t>
            </w:r>
          </w:p>
        </w:tc>
        <w:tc>
          <w:tcPr>
            <w:tcW w:w="5360" w:type="dxa"/>
          </w:tcPr>
          <w:p>
            <w:pPr>
              <w:pStyle w:val="Compact"/>
              <w:spacing w:before="40" w:after="40"/>
            </w:pPr>
            <w:r>
              <w:t xml:space="preserve">Supported if the covariance interval lies below 0 and the model-free value exceeds the closed form.</w:t>
            </w:r>
          </w:p>
        </w:tc>
      </w:tr>
      <w:tr>
        <w:trPr>
          <w:cantSplit/>
        </w:trPr>
        <w:tc>
          <w:tcPr>
            <w:tcW w:w="1300" w:type="dxa"/>
            <w:tcBorders>
              <w:bottom w:val="single" w:sz="8" w:space="0" w:color="000000"/>
            </w:tcBorders>
          </w:tcPr>
          <w:p>
            <w:pPr>
              <w:pStyle w:val="Compact"/>
              <w:spacing w:before="40" w:after="40"/>
            </w:pPr>
            <w:r>
              <w:rPr>
                <w:b/>
                <w:bCs/>
              </w:rPr>
              <w:t xml:space="preserve">H5</w:t>
            </w:r>
          </w:p>
        </w:tc>
        <w:tc>
          <w:tcPr>
            <w:tcW w:w="2700" w:type="dxa"/>
            <w:tcBorders>
              <w:bottom w:val="single" w:sz="8" w:space="0" w:color="000000"/>
            </w:tcBorders>
          </w:tcPr>
          <w:p>
            <w:pPr>
              <w:pStyle w:val="Compact"/>
              <w:spacing w:before="40" w:after="40"/>
            </w:pPr>
            <w:r>
              <w:t xml:space="preserve">Share of model pairs in which ranking by ability is value-optimal at both endpoints of π</w:t>
            </w:r>
          </w:p>
        </w:tc>
        <w:tc>
          <w:tcPr>
            <w:tcW w:w="5360" w:type="dxa"/>
            <w:tcBorders>
              <w:bottom w:val="single" w:sz="8" w:space="0" w:color="000000"/>
            </w:tcBorders>
          </w:tcPr>
          <w:p>
            <w:pPr>
              <w:pStyle w:val="Compact"/>
              <w:spacing w:before="40" w:after="40"/>
            </w:pPr>
            <w:r>
              <w:t xml:space="preserve">Supported if the share exceeds .5 with an interval excluding .5. Rank correlations, the regret from ranking by ability and the overstatement are also reported.</w:t>
            </w:r>
          </w:p>
        </w:tc>
      </w:tr>
    </w:tbl>
    <w:p>
      <w:pPr>
        <w:pStyle w:val="BodyText"/>
        <w:spacing w:before="60"/>
      </w:pPr>
      <w:r>
        <w:rPr>
          <w:sz w:val="20"/>
        </w:rPr>
        <w:t xml:space="preserve">Notes. All intervals are 95% percentile bootstrap intervals that resample stems (Section 5.4). The ±0.08 margin was set from simulated interval widths.</w:t>
      </w:r>
    </w:p>
    <w:p>
      <w:pPr>
        <w:pStyle w:val="Normal"/>
        <w:rPr/>
      </w:pPr>
      <w:bookmarkStart w:id="23" w:name="hypotheses"/>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rPr/>
      </w:pPr>
      <w:bookmarkStart w:id="24" w:name="method"/>
      <w:r>
        <w:rPr/>
        <w:t>5. Method</w:t>
      </w:r>
    </w:p>
    <w:p>
      <w:pPr>
        <w:pStyle w:val="Heading3"/>
        <w:rPr/>
      </w:pPr>
      <w:bookmarkStart w:id="25" w:name="items"/>
      <w:r>
        <w:rPr/>
        <w:t>5.1 Items</w:t>
      </w:r>
    </w:p>
    <w:p>
      <w:pPr>
        <w:pStyle w:val="FirstParagraph"/>
        <w:rPr/>
      </w:pPr>
      <w:r>
        <w:rPr/>
        <w:t>The item bank has 600 decision items, 100 in each of six domains: the expected net value of projects; an expense policy with a daily cap, a percentage-and-cap exception, and an excluded receipt; an invoice with a credit applied before tax and a tax-exempt line; an eligibility score with components missing from the file; a late fee under a versioned rule set by invoice date; and a purchase quantity under unit conversion, dilution, and a waste allowance. Each domain has three difficulty tiers that add rule steps and narrow the margin between right and wrong. Every item has three options with fixed roles: the correct action (gold), an unsupported action that the stance endorses, and a third option. The unsupported option is the result of a named plausible mistake, so a stance toward it is tempting and not absurd. Letters are assigned to roles by a hash of the item identifier and are identical across channels.</w:t>
      </w:r>
    </w:p>
    <w:p>
      <w:pPr>
        <w:pStyle w:val="BodyText"/>
        <w:rPr/>
      </w:pPr>
      <w:bookmarkStart w:id="26" w:name="items"/>
      <w:r>
        <w:rPr/>
        <w:t>All arithmetic is exact. Each key was re-derived by a second program that parses the rendered stem, and the two agree on all items. Every stance sentence for every item was rendered and checked for grammar. Two independent human reviewers answered a random sample of 100 items, stratified by domain and difficulty tier, blind to the key. Both reviewers answered all 100 items as the key does (agreement with the key was 100% for each reviewer and between reviewers, Cohen’s kappa = 1.0), so no item was revised or removed. One reviewer noted that the rounding rule was not stated for values that are not exact cents; we added an explicit rounding sentence to the numeric items, and no key changed. Because the review covers a sample, the keys of the other items rest on the second-program check alone. The bank was frozen before the main run (SHA-256 of the bank file c2f61e2721b525db…, frozen 22 October 2026).</w:t>
      </w:r>
      <w:bookmarkEnd w:id="26"/>
    </w:p>
    <w:p>
      <w:pPr>
        <w:pStyle w:val="Heading3"/>
        <w:rPr/>
      </w:pPr>
      <w:bookmarkStart w:id="27" w:name="channels"/>
      <w:r>
        <w:rPr/>
        <w:t>5.2 Channels</w:t>
      </w:r>
    </w:p>
    <w:p>
      <w:pPr>
        <w:pStyle w:val="FirstParagraph"/>
        <w:rPr/>
      </w:pPr>
      <w:r>
        <w:rPr/>
        <w:t>Every model answers the same item set in the following channels, each with the same system prompt asking for a single letter.</w:t>
      </w:r>
    </w:p>
    <w:p>
      <w:pPr>
        <w:pStyle w:val="Compact"/>
        <w:numPr>
          <w:ilvl w:val="0"/>
          <w:numId w:val="7"/>
        </w:numPr>
        <w:rPr/>
      </w:pPr>
      <w:r>
        <w:rPr>
          <w:b/>
          <w:bCs/>
        </w:rPr>
        <w:t>N (stance-free).</w:t>
      </w:r>
      <w:r>
        <w:rPr/>
        <w:t xml:space="preserve"> The stem and options only; five independent completions per item. The first is the reference run.</w:t>
      </w:r>
    </w:p>
    <w:p>
      <w:pPr>
        <w:pStyle w:val="Compact"/>
        <w:numPr>
          <w:ilvl w:val="0"/>
          <w:numId w:val="8"/>
        </w:numPr>
        <w:rPr/>
      </w:pPr>
      <w:r>
        <w:rPr>
          <w:b/>
          <w:bCs/>
        </w:rPr>
        <w:t>NEU (neutral sentence).</w:t>
      </w:r>
      <w:r>
        <w:rPr/>
        <w:t xml:space="preserve"> One sentence unrelated to the decision, drawn from a pool of ten and matched in word count to that item’s stance sentence.</w:t>
      </w:r>
    </w:p>
    <w:p>
      <w:pPr>
        <w:pStyle w:val="Compact"/>
        <w:numPr>
          <w:ilvl w:val="0"/>
          <w:numId w:val="9"/>
        </w:numPr>
        <w:rPr/>
      </w:pPr>
      <w:r>
        <w:rPr>
          <w:b/>
          <w:bCs/>
        </w:rPr>
        <w:t>ST (stance).</w:t>
      </w:r>
      <w:r>
        <w:rPr/>
        <w:t xml:space="preserve"> One sentence supporting the unsupported action (against the evidence) or the gold action (for it), at four claimed-evidence levels: a stated preference, a weak claimed support, a strong claimed support, and a stated preference with an explicit disclaimer of evidence.</w:t>
      </w:r>
    </w:p>
    <w:p>
      <w:pPr>
        <w:pStyle w:val="Compact"/>
        <w:numPr>
          <w:ilvl w:val="0"/>
          <w:numId w:val="10"/>
        </w:numPr>
        <w:rPr/>
      </w:pPr>
      <w:r>
        <w:rPr>
          <w:b/>
          <w:bCs/>
        </w:rPr>
        <w:t>ACC (disclosed accuracy).</w:t>
      </w:r>
      <w:r>
        <w:rPr/>
        <w:t xml:space="preserve"> A stated preference against the evidence plus a statement of the requester’s track record (“In similar past cases, a preference like this has turned out to be correct X% of the time”), with X at 20, 50, and 80. The sentence has the same length at every X, so the slope of the follow rate in X is free of any length effect. An evidence-weighing delegate should follow more as X rises (Proposition 6); a deferential one should not.</w:t>
      </w:r>
    </w:p>
    <w:p>
      <w:pPr>
        <w:pStyle w:val="Compact"/>
        <w:numPr>
          <w:ilvl w:val="0"/>
          <w:numId w:val="11"/>
        </w:numPr>
        <w:rPr/>
      </w:pPr>
      <w:r>
        <w:rPr>
          <w:b/>
          <w:bCs/>
        </w:rPr>
        <w:t>ROT (rotation).</w:t>
      </w:r>
      <w:r>
        <w:rPr/>
        <w:t xml:space="preserve"> The N and primary stance prompts with the option letters permuted twice, to test for position effects.</w:t>
      </w:r>
      <w:bookmarkEnd w:id="27"/>
    </w:p>
    <w:p>
      <w:pPr>
        <w:pStyle w:val="Heading3"/>
        <w:rPr/>
      </w:pPr>
      <w:bookmarkStart w:id="28" w:name="models"/>
      <w:r>
        <w:rPr/>
        <w:t>5.3 Models</w:t>
      </w:r>
    </w:p>
    <w:p>
      <w:pPr>
        <w:pStyle w:val="FirstParagraph"/>
        <w:rPr/>
      </w:pPr>
      <w:bookmarkStart w:id="29" w:name="models"/>
      <w:r>
        <w:rPr/>
        <w:t>Fourteen models in five families: ten open-weight instruction-tuned models (Qwen2.5 7B and 72B; Llama-3.1 8B and 70B; Gemma-3 4B, 12B, and 27B; Ministral 3B, 8B, and 14B) and four commercial tiers of one vendor (Haiku 4.5, Sonnet 5.5, Opus 5.5, Fable 5.1), all queried through one aggregator with the same prompt, a 512-token limit (2,048 for the three commercial tiers that write out their reasoning before answering, with the answer read from the end of the response), and a sampling temperature of 1.0 wherever the model accepts the argument (all fourteen models accepted it in a probe call; the interface does not show whether a provider applies it). The serving provider and the model identifier returned by the interface are recorded for every call, and any model answered by more than one provider is flagged. Tiers within a family are an ordering, not independent variation in size: families differ in generation and post-training, and we cannot control hardware or quantization.</w:t>
      </w:r>
      <w:bookmarkEnd w:id="29"/>
    </w:p>
    <w:p>
      <w:pPr>
        <w:pStyle w:val="Heading3"/>
        <w:rPr/>
      </w:pPr>
      <w:bookmarkStart w:id="30" w:name="estimation"/>
      <w:r>
        <w:rPr/>
        <w:t>5.4 Estimation</w:t>
      </w:r>
    </w:p>
    <w:p>
      <w:pPr>
        <w:pStyle w:val="FirstParagraph"/>
        <w:rPr/>
      </w:pPr>
      <w:r>
        <w:rPr/>
        <w:t>All quantities are shares of stems, with the conditional set defined by a correct answer in the reference run, which selects the same stems for every channel. We report ability a (stance-free accuracy over all replicates); ν; ρ; f(e) at each level, s*, and, as a sensitivity estimator, s_mix = (f(e*) − ρ)/(1 − ρ), which is the stance effect if the stance overrides the draw with some probability and otherwise the draw behaves as usual; the share of the raw conditional deference removed by the baseline, 1 − s*/f(e*); the slope of f across the three evidence levels; the effect of the disclaimer; and the rescue rate under a right stance, defined on stems the model misses without a stance, which confounds direction with difficulty and is read together with the gradients. The model-free value of review for a requester with accuracy π who adopts the report is V</w:t>
      </w:r>
      <w:r>
        <w:rPr>
          <w:vertAlign w:val="subscript"/>
        </w:rPr>
        <w:t>obs</w:t>
      </w:r>
      <w:r>
        <w:rPr/>
        <w:t>(π) = π P</w:t>
      </w:r>
      <w:r>
        <w:rPr>
          <w:vertAlign w:val="subscript"/>
        </w:rPr>
        <w:t>a</w:t>
      </w:r>
      <w:r>
        <w:rPr/>
        <w:t xml:space="preserve"> + (1 − π)P</w:t>
      </w:r>
      <w:r>
        <w:rPr>
          <w:vertAlign w:val="subscript"/>
        </w:rPr>
        <w:t>w</w:t>
      </w:r>
      <w:r>
        <w:rPr/>
        <w:t xml:space="preserve"> − π, where P</w:t>
      </w:r>
      <w:r>
        <w:rPr>
          <w:vertAlign w:val="subscript"/>
        </w:rPr>
        <w:t>a</w:t>
      </w:r>
      <w:r>
        <w:rPr/>
        <w:t xml:space="preserve"> and P</w:t>
      </w:r>
      <w:r>
        <w:rPr>
          <w:vertAlign w:val="subscript"/>
        </w:rPr>
        <w:t>w</w:t>
      </w:r>
      <w:r>
        <w:rPr/>
        <w:t xml:space="preserve"> are accuracy under a right and a wrong stance; it needs no behavioral assumption.</w:t>
      </w:r>
    </w:p>
    <w:p>
      <w:pPr>
        <w:pStyle w:val="BodyText"/>
        <w:rPr/>
      </w:pPr>
      <w:bookmarkStart w:id="31" w:name="estimation"/>
      <w:r>
        <w:rPr/>
        <w:t>Intervals are 95 percent percentile bootstrap intervals that resample stems, with the same resampled stems for every model so that differences between models are paired. Within-family Large-minus-Small differences use the paired draws, and an exact sign test is applied across families with its smallest attainable p value reported (with five families it is .0625). Unparseable answers are coded as missing in the primary analysis and as errors in a sensitivity analysis, because a parse failure is itself a form of instability. Analyses are repeated excluding any domain in which an item defect is later found.</w:t>
      </w:r>
      <w:bookmarkEnd w:id="31"/>
    </w:p>
    <w:p>
      <w:pPr>
        <w:pStyle w:val="Heading3"/>
        <w:rPr/>
      </w:pPr>
      <w:bookmarkStart w:id="32" w:name="registration-and-deviations"/>
      <w:r>
        <w:rPr/>
        <w:t>5.5 Analysis plan and deviations</w:t>
      </w:r>
    </w:p>
    <w:p>
      <w:pPr>
        <w:pStyle w:val="FirstParagraph"/>
        <w:rPr/>
      </w:pPr>
      <w:bookmarkStart w:id="33" w:name="registration-and-deviations"/>
      <w:r>
        <w:rPr/>
        <w:t>We fixed the hypotheses, estimators, and decision rules before any model answered the frozen bank (SHA-256 c2f61e2721b525db…, frozen 22 October 2026). The plan is recorded in the project’s version-controlled repository; it was not registered with a third-party platform, so its timing rests on that record. The plan fixes the primary stance level e* (the stated preference without claimed evidence); the conditional set (stems the model answers correctly in replicate 0 of the stance-free channel); the corrected effect s* = f(e*) − ρ, with s_mix = (f(e*) − ρ)/(1 − ρ) as a sensitivity analysis; the treatment of unparseable answers (missing in the primary analysis, errors in the sensitivity analysis); the bootstrap (2,000 resamples of stems, shared across models); an equivalence margin of ±0.08 per evidence level for calling a flat gradient consistent with deference; the exclusion of a model from H1–H3 inference when fewer than 50 conditional stems remain; and the exclusion of models with stance-free accuracy of .98 or more from the rescue rate only. The token limit and answer parser for the three long-form commercial tiers were set from a 48-item stance-free pilot with items independent of the bank, and the parser is frozen with the bank. Departures from the plan are listed in a deviation log and are reported where they affect a result; analyses not in the plan are labelled exploratory. The bank is audited and reviewed before any model sees it so that no item is changed after a result is known.</w:t>
      </w:r>
      <w:bookmarkEnd w:id="33"/>
    </w:p>
    <w:p>
      <w:pPr>
        <w:pStyle w:val="Heading3"/>
        <w:rPr/>
      </w:pPr>
      <w:bookmarkStart w:id="34" w:name="data-and-code"/>
      <w:r>
        <w:rPr/>
        <w:t>5.6 Data and code</w:t>
      </w:r>
    </w:p>
    <w:p>
      <w:pPr>
        <w:pStyle w:val="FirstParagraph"/>
        <w:rPr/>
      </w:pPr>
      <w:r>
        <w:rPr/>
        <w:t>The item generator, the audit program, the runner, the analysis code, the frozen bank with its hash, and the raw model outputs will be made available as a replication package [PENDING: location, anonymized for review].</w:t>
      </w:r>
    </w:p>
    <w:p>
      <w:pPr>
        <w:pStyle w:val="Normal"/>
        <w:rPr/>
      </w:pPr>
      <w:bookmarkStart w:id="35" w:name="method"/>
      <w:bookmarkStart w:id="36" w:name="data-and-code"/>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pPr>
      <w:r>
        <w:t xml:space="preserve">6. Results</w:t>
      </w:r>
    </w:p>
    <w:p>
      <w:pPr>
        <w:pStyle w:val="FirstParagraph"/>
      </w:pPr>
      <w:r>
        <w:t xml:space="preserve">All 176,400 calls (fourteen models, 12,600 calls each) returned an answer; none failed. Unparseable answers were below 1.3% for twelve models and 7.1% and 6.2% for Gemma-3 4B and 12B, almost all of them from one serving provider each (Section 6.6). Ability differs sharply. Opus 5.5, Fable 5.1, Sonnet 5.5 and Haiku 4.5 answer 0.995 to 1.000 of the stance-free replicates correctly, while the ten open-weight models answer 0.35 to 0.54; the intervals for Gemma-3 4B, Ministral 3B and Qwen2.5 7B include the one third expected from guessing among three options. The conditional set, the stems a model answers correctly in the reference run, therefore ranges from 198 to 600 stems (Table 2).</w:t>
      </w:r>
    </w:p>
    <w:p>
      <w:pPr>
        <w:pStyle w:val="Heading3"/>
      </w:pPr>
      <w:r>
        <w:t xml:space="preserve">6.1 Is the raw flip rate noise?</w:t>
      </w:r>
    </w:p>
    <w:p>
      <w:pPr>
        <w:pStyle w:val="TableCaption"/>
        <w:keepNext/>
      </w:pPr>
      <w:r>
        <w:rPr>
          <w:b/>
          <w:bCs/>
        </w:rPr>
        <w:t xml:space="preserve">Table 2. </w:t>
      </w:r>
      <w:r>
        <w:t xml:space="preserve">Ability, instability, baseline and corrected stance effect, by model</w:t>
      </w:r>
    </w:p>
    <w:tbl>
      <w:tblPr>
        <w:tblW w:w="9000" w:type="dxa"/>
        <w:tblLayout w:type="fixed"/>
        <w:tblCellMar>
          <w:left w:w="60" w:type="dxa"/>
          <w:right w:w="60" w:type="dxa"/>
        </w:tblCellMar>
      </w:tblPr>
      <w:tblGrid>
        <w:gridCol w:w="1600"/>
        <w:gridCol w:w="620"/>
        <w:gridCol w:w="900"/>
        <w:gridCol w:w="620"/>
        <w:gridCol w:w="1700"/>
        <w:gridCol w:w="760"/>
        <w:gridCol w:w="1700"/>
        <w:gridCol w:w="1100"/>
      </w:tblGrid>
      <w:tr>
        <w:trPr>
          <w:cantSplit/>
          <w:tblHeader/>
        </w:trPr>
        <w:tc>
          <w:tcPr>
            <w:tcW w:w="1600" w:type="dxa"/>
            <w:tcBorders>
              <w:top w:val="single" w:sz="8" w:space="0" w:color="000000"/>
              <w:bottom w:val="single" w:sz="4" w:space="0" w:color="000000"/>
            </w:tcBorders>
          </w:tcPr>
          <w:p>
            <w:pPr>
              <w:pStyle w:val="Compact"/>
              <w:spacing w:before="30" w:after="30"/>
            </w:pPr>
            <w:r>
              <w:rPr>
                <w:b/>
                <w:bCs/>
                <w:sz w:val="17"/>
              </w:rPr>
              <w:t xml:space="preserve">Model</w:t>
            </w:r>
          </w:p>
        </w:tc>
        <w:tc>
          <w:tcPr>
            <w:tcW w:w="620" w:type="dxa"/>
            <w:tcBorders>
              <w:top w:val="single" w:sz="8" w:space="0" w:color="000000"/>
              <w:bottom w:val="single" w:sz="4" w:space="0" w:color="000000"/>
            </w:tcBorders>
          </w:tcPr>
          <w:p>
            <w:pPr>
              <w:pStyle w:val="Compact"/>
              <w:spacing w:before="30" w:after="30"/>
            </w:pPr>
            <w:r>
              <w:rPr>
                <w:b/>
                <w:bCs/>
                <w:sz w:val="17"/>
              </w:rPr>
              <w:t xml:space="preserve">a</w:t>
            </w:r>
          </w:p>
        </w:tc>
        <w:tc>
          <w:tcPr>
            <w:tcW w:w="900" w:type="dxa"/>
            <w:tcBorders>
              <w:top w:val="single" w:sz="8" w:space="0" w:color="000000"/>
              <w:bottom w:val="single" w:sz="4" w:space="0" w:color="000000"/>
            </w:tcBorders>
          </w:tcPr>
          <w:p>
            <w:pPr>
              <w:pStyle w:val="Compact"/>
              <w:spacing w:before="30" w:after="30"/>
            </w:pPr>
            <w:r>
              <w:rPr>
                <w:b/>
                <w:bCs/>
                <w:sz w:val="17"/>
              </w:rPr>
              <w:t xml:space="preserve">Cond. stems</w:t>
            </w:r>
          </w:p>
        </w:tc>
        <w:tc>
          <w:tcPr>
            <w:tcW w:w="620" w:type="dxa"/>
            <w:tcBorders>
              <w:top w:val="single" w:sz="8" w:space="0" w:color="000000"/>
              <w:bottom w:val="single" w:sz="4" w:space="0" w:color="000000"/>
            </w:tcBorders>
          </w:tcPr>
          <w:p>
            <w:pPr>
              <w:pStyle w:val="Compact"/>
              <w:spacing w:before="30" w:after="30"/>
            </w:pPr>
            <w:r>
              <w:rPr>
                <w:b/>
                <w:bCs/>
                <w:sz w:val="17"/>
              </w:rPr>
              <w:t xml:space="preserve">ν</w:t>
            </w:r>
          </w:p>
        </w:tc>
        <w:tc>
          <w:tcPr>
            <w:tcW w:w="1700" w:type="dxa"/>
            <w:tcBorders>
              <w:top w:val="single" w:sz="8" w:space="0" w:color="000000"/>
              <w:bottom w:val="single" w:sz="4" w:space="0" w:color="000000"/>
            </w:tcBorders>
          </w:tcPr>
          <w:p>
            <w:pPr>
              <w:pStyle w:val="Compact"/>
              <w:spacing w:before="30" w:after="30"/>
            </w:pPr>
            <w:r>
              <w:rPr>
                <w:b/>
                <w:bCs/>
                <w:sz w:val="17"/>
              </w:rPr>
              <w:t xml:space="preserve">ρ [95% CI]</w:t>
            </w:r>
          </w:p>
        </w:tc>
        <w:tc>
          <w:tcPr>
            <w:tcW w:w="760" w:type="dxa"/>
            <w:tcBorders>
              <w:top w:val="single" w:sz="8" w:space="0" w:color="000000"/>
              <w:bottom w:val="single" w:sz="4" w:space="0" w:color="000000"/>
            </w:tcBorders>
          </w:tcPr>
          <w:p>
            <w:pPr>
              <w:pStyle w:val="Compact"/>
              <w:spacing w:before="30" w:after="30"/>
            </w:pPr>
            <w:r>
              <w:rPr>
                <w:b/>
                <w:bCs/>
                <w:sz w:val="17"/>
              </w:rPr>
              <w:t xml:space="preserve">f(e*)</w:t>
            </w:r>
          </w:p>
        </w:tc>
        <w:tc>
          <w:tcPr>
            <w:tcW w:w="1700" w:type="dxa"/>
            <w:tcBorders>
              <w:top w:val="single" w:sz="8" w:space="0" w:color="000000"/>
              <w:bottom w:val="single" w:sz="4" w:space="0" w:color="000000"/>
            </w:tcBorders>
          </w:tcPr>
          <w:p>
            <w:pPr>
              <w:pStyle w:val="Compact"/>
              <w:spacing w:before="30" w:after="30"/>
            </w:pPr>
            <w:r>
              <w:rPr>
                <w:b/>
                <w:bCs/>
                <w:sz w:val="17"/>
              </w:rPr>
              <w:t xml:space="preserve">s* [95% CI]</w:t>
            </w:r>
          </w:p>
        </w:tc>
        <w:tc>
          <w:tcPr>
            <w:tcW w:w="1100" w:type="dxa"/>
            <w:tcBorders>
              <w:top w:val="single" w:sz="8" w:space="0" w:color="000000"/>
              <w:bottom w:val="single" w:sz="4" w:space="0" w:color="000000"/>
            </w:tcBorders>
          </w:tcPr>
          <w:p>
            <w:pPr>
              <w:pStyle w:val="Compact"/>
              <w:spacing w:before="30" w:after="30"/>
            </w:pPr>
            <w:r>
              <w:rPr>
                <w:b/>
                <w:bCs/>
                <w:sz w:val="17"/>
              </w:rPr>
              <w:t xml:space="preserve">Share removed</w:t>
            </w:r>
          </w:p>
        </w:tc>
      </w:tr>
      <w:tr>
        <w:trPr>
          <w:cantSplit/>
        </w:trPr>
        <w:tc>
          <w:tcPr>
            <w:tcW w:w="1600" w:type="dxa"/>
          </w:tcPr>
          <w:p>
            <w:pPr>
              <w:pStyle w:val="Compact"/>
              <w:spacing w:before="30" w:after="30"/>
            </w:pPr>
            <w:r>
              <w:rPr>
                <w:b/>
                <w:bCs/>
                <w:sz w:val="17"/>
              </w:rPr>
              <w:t xml:space="preserve">Haiku 4.5</w:t>
            </w:r>
          </w:p>
        </w:tc>
        <w:tc>
          <w:tcPr>
            <w:tcW w:w="620" w:type="dxa"/>
          </w:tcPr>
          <w:p>
            <w:pPr>
              <w:pStyle w:val="Compact"/>
              <w:spacing w:before="30" w:after="30"/>
            </w:pPr>
            <w:r>
              <w:rPr>
                <w:sz w:val="17"/>
              </w:rPr>
              <w:t xml:space="preserve">0.99</w:t>
            </w:r>
          </w:p>
        </w:tc>
        <w:tc>
          <w:tcPr>
            <w:tcW w:w="900" w:type="dxa"/>
          </w:tcPr>
          <w:p>
            <w:pPr>
              <w:pStyle w:val="Compact"/>
              <w:spacing w:before="30" w:after="30"/>
            </w:pPr>
            <w:r>
              <w:rPr>
                <w:sz w:val="17"/>
              </w:rPr>
              <w:t xml:space="preserve">597</w:t>
            </w:r>
          </w:p>
        </w:tc>
        <w:tc>
          <w:tcPr>
            <w:tcW w:w="620" w:type="dxa"/>
          </w:tcPr>
          <w:p>
            <w:pPr>
              <w:pStyle w:val="Compact"/>
              <w:spacing w:before="30" w:after="30"/>
            </w:pPr>
            <w:r>
              <w:rPr>
                <w:sz w:val="17"/>
              </w:rPr>
              <w:t xml:space="preserve">0.00</w:t>
            </w:r>
          </w:p>
        </w:tc>
        <w:tc>
          <w:tcPr>
            <w:tcW w:w="1700" w:type="dxa"/>
          </w:tcPr>
          <w:p>
            <w:pPr>
              <w:pStyle w:val="Compact"/>
              <w:spacing w:before="30" w:after="30"/>
            </w:pPr>
            <w:r>
              <w:rPr>
                <w:sz w:val="17"/>
              </w:rPr>
              <w:t xml:space="preserve">0.00 [0.00, 0.01]</w:t>
            </w:r>
          </w:p>
        </w:tc>
        <w:tc>
          <w:tcPr>
            <w:tcW w:w="760" w:type="dxa"/>
          </w:tcPr>
          <w:p>
            <w:pPr>
              <w:pStyle w:val="Compact"/>
              <w:spacing w:before="30" w:after="30"/>
            </w:pPr>
            <w:r>
              <w:rPr>
                <w:sz w:val="17"/>
              </w:rPr>
              <w:t xml:space="preserve">0.10</w:t>
            </w:r>
          </w:p>
        </w:tc>
        <w:tc>
          <w:tcPr>
            <w:tcW w:w="1700" w:type="dxa"/>
          </w:tcPr>
          <w:p>
            <w:pPr>
              <w:pStyle w:val="Compact"/>
              <w:spacing w:before="30" w:after="30"/>
            </w:pPr>
            <w:r>
              <w:rPr>
                <w:sz w:val="17"/>
              </w:rPr>
              <w:t xml:space="preserve">0.10 [0.08, 0.13]</w:t>
            </w:r>
          </w:p>
        </w:tc>
        <w:tc>
          <w:tcPr>
            <w:tcW w:w="1100" w:type="dxa"/>
          </w:tcPr>
          <w:p>
            <w:pPr>
              <w:pStyle w:val="Compact"/>
              <w:spacing w:before="30" w:after="30"/>
            </w:pPr>
            <w:r>
              <w:rPr>
                <w:sz w:val="17"/>
              </w:rPr>
              <w:t xml:space="preserve">0.02</w:t>
            </w:r>
          </w:p>
        </w:tc>
      </w:tr>
      <w:tr>
        <w:trPr>
          <w:cantSplit/>
        </w:trPr>
        <w:tc>
          <w:tcPr>
            <w:tcW w:w="1600" w:type="dxa"/>
          </w:tcPr>
          <w:p>
            <w:pPr>
              <w:pStyle w:val="Compact"/>
              <w:spacing w:before="30" w:after="30"/>
            </w:pPr>
            <w:r>
              <w:rPr>
                <w:b/>
                <w:bCs/>
                <w:sz w:val="17"/>
              </w:rPr>
              <w:t xml:space="preserve">Sonnet 5.5</w:t>
            </w:r>
          </w:p>
        </w:tc>
        <w:tc>
          <w:tcPr>
            <w:tcW w:w="620" w:type="dxa"/>
          </w:tcPr>
          <w:p>
            <w:pPr>
              <w:pStyle w:val="Compact"/>
              <w:spacing w:before="30" w:after="30"/>
            </w:pPr>
            <w:r>
              <w:rPr>
                <w:sz w:val="17"/>
              </w:rPr>
              <w:t xml:space="preserve">1.00</w:t>
            </w:r>
          </w:p>
        </w:tc>
        <w:tc>
          <w:tcPr>
            <w:tcW w:w="900" w:type="dxa"/>
          </w:tcPr>
          <w:p>
            <w:pPr>
              <w:pStyle w:val="Compact"/>
              <w:spacing w:before="30" w:after="30"/>
            </w:pPr>
            <w:r>
              <w:rPr>
                <w:sz w:val="17"/>
              </w:rPr>
              <w:t xml:space="preserve">600</w:t>
            </w:r>
          </w:p>
        </w:tc>
        <w:tc>
          <w:tcPr>
            <w:tcW w:w="620" w:type="dxa"/>
          </w:tcPr>
          <w:p>
            <w:pPr>
              <w:pStyle w:val="Compact"/>
              <w:spacing w:before="30" w:after="30"/>
            </w:pPr>
            <w:r>
              <w:rPr>
                <w:sz w:val="17"/>
              </w:rPr>
              <w:t xml:space="preserve">0.00</w:t>
            </w:r>
          </w:p>
        </w:tc>
        <w:tc>
          <w:tcPr>
            <w:tcW w:w="1700" w:type="dxa"/>
          </w:tcPr>
          <w:p>
            <w:pPr>
              <w:pStyle w:val="Compact"/>
              <w:spacing w:before="30" w:after="30"/>
            </w:pPr>
            <w:r>
              <w:rPr>
                <w:sz w:val="17"/>
              </w:rPr>
              <w:t xml:space="preserve">0.00 [0.00, 0.00]</w:t>
            </w:r>
          </w:p>
        </w:tc>
        <w:tc>
          <w:tcPr>
            <w:tcW w:w="760" w:type="dxa"/>
          </w:tcPr>
          <w:p>
            <w:pPr>
              <w:pStyle w:val="Compact"/>
              <w:spacing w:before="30" w:after="30"/>
            </w:pPr>
            <w:r>
              <w:rPr>
                <w:sz w:val="17"/>
              </w:rPr>
              <w:t xml:space="preserve">0.02</w:t>
            </w:r>
          </w:p>
        </w:tc>
        <w:tc>
          <w:tcPr>
            <w:tcW w:w="1700" w:type="dxa"/>
          </w:tcPr>
          <w:p>
            <w:pPr>
              <w:pStyle w:val="Compact"/>
              <w:spacing w:before="30" w:after="30"/>
            </w:pPr>
            <w:r>
              <w:rPr>
                <w:sz w:val="17"/>
              </w:rPr>
              <w:t xml:space="preserve">0.02 [0.01, 0.03]</w:t>
            </w:r>
          </w:p>
        </w:tc>
        <w:tc>
          <w:tcPr>
            <w:tcW w:w="1100" w:type="dxa"/>
          </w:tcPr>
          <w:p>
            <w:pPr>
              <w:pStyle w:val="Compact"/>
              <w:spacing w:before="30" w:after="30"/>
            </w:pPr>
            <w:r>
              <w:rPr>
                <w:sz w:val="17"/>
              </w:rPr>
              <w:t xml:space="preserve">0.00</w:t>
            </w:r>
          </w:p>
        </w:tc>
      </w:tr>
      <w:tr>
        <w:trPr>
          <w:cantSplit/>
        </w:trPr>
        <w:tc>
          <w:tcPr>
            <w:tcW w:w="1600" w:type="dxa"/>
          </w:tcPr>
          <w:p>
            <w:pPr>
              <w:pStyle w:val="Compact"/>
              <w:spacing w:before="30" w:after="30"/>
            </w:pPr>
            <w:r>
              <w:rPr>
                <w:b/>
                <w:bCs/>
                <w:sz w:val="17"/>
              </w:rPr>
              <w:t xml:space="preserve">Opus 5.5</w:t>
            </w:r>
          </w:p>
        </w:tc>
        <w:tc>
          <w:tcPr>
            <w:tcW w:w="620" w:type="dxa"/>
          </w:tcPr>
          <w:p>
            <w:pPr>
              <w:pStyle w:val="Compact"/>
              <w:spacing w:before="30" w:after="30"/>
            </w:pPr>
            <w:r>
              <w:rPr>
                <w:sz w:val="17"/>
              </w:rPr>
              <w:t xml:space="preserve">1.00</w:t>
            </w:r>
          </w:p>
        </w:tc>
        <w:tc>
          <w:tcPr>
            <w:tcW w:w="900" w:type="dxa"/>
          </w:tcPr>
          <w:p>
            <w:pPr>
              <w:pStyle w:val="Compact"/>
              <w:spacing w:before="30" w:after="30"/>
            </w:pPr>
            <w:r>
              <w:rPr>
                <w:sz w:val="17"/>
              </w:rPr>
              <w:t xml:space="preserve">600</w:t>
            </w:r>
          </w:p>
        </w:tc>
        <w:tc>
          <w:tcPr>
            <w:tcW w:w="620" w:type="dxa"/>
          </w:tcPr>
          <w:p>
            <w:pPr>
              <w:pStyle w:val="Compact"/>
              <w:spacing w:before="30" w:after="30"/>
            </w:pPr>
            <w:r>
              <w:rPr>
                <w:sz w:val="17"/>
              </w:rPr>
              <w:t xml:space="preserve">0.00</w:t>
            </w:r>
          </w:p>
        </w:tc>
        <w:tc>
          <w:tcPr>
            <w:tcW w:w="1700" w:type="dxa"/>
          </w:tcPr>
          <w:p>
            <w:pPr>
              <w:pStyle w:val="Compact"/>
              <w:spacing w:before="30" w:after="30"/>
            </w:pPr>
            <w:r>
              <w:rPr>
                <w:sz w:val="17"/>
              </w:rPr>
              <w:t xml:space="preserve">0.00 [0.00, 0.00]</w:t>
            </w:r>
          </w:p>
        </w:tc>
        <w:tc>
          <w:tcPr>
            <w:tcW w:w="760" w:type="dxa"/>
          </w:tcPr>
          <w:p>
            <w:pPr>
              <w:pStyle w:val="Compact"/>
              <w:spacing w:before="30" w:after="30"/>
            </w:pPr>
            <w:r>
              <w:rPr>
                <w:sz w:val="17"/>
              </w:rPr>
              <w:t xml:space="preserve">0.00</w:t>
            </w:r>
          </w:p>
        </w:tc>
        <w:tc>
          <w:tcPr>
            <w:tcW w:w="1700" w:type="dxa"/>
          </w:tcPr>
          <w:p>
            <w:pPr>
              <w:pStyle w:val="Compact"/>
              <w:spacing w:before="30" w:after="30"/>
            </w:pPr>
            <w:r>
              <w:rPr>
                <w:sz w:val="17"/>
              </w:rPr>
              <w:t xml:space="preserve">0.00 [0.00, 0.00]</w:t>
            </w:r>
          </w:p>
        </w:tc>
        <w:tc>
          <w:tcPr>
            <w:tcW w:w="1100" w:type="dxa"/>
          </w:tcPr>
          <w:p>
            <w:pPr>
              <w:pStyle w:val="Compact"/>
              <w:spacing w:before="30" w:after="30"/>
            </w:pPr>
            <w:r>
              <w:rPr>
                <w:sz w:val="17"/>
              </w:rPr>
              <w:t xml:space="preserve">–</w:t>
            </w:r>
          </w:p>
        </w:tc>
      </w:tr>
      <w:tr>
        <w:trPr>
          <w:cantSplit/>
        </w:trPr>
        <w:tc>
          <w:tcPr>
            <w:tcW w:w="1600" w:type="dxa"/>
          </w:tcPr>
          <w:p>
            <w:pPr>
              <w:pStyle w:val="Compact"/>
              <w:spacing w:before="30" w:after="30"/>
            </w:pPr>
            <w:r>
              <w:rPr>
                <w:b/>
                <w:bCs/>
                <w:sz w:val="17"/>
              </w:rPr>
              <w:t xml:space="preserve">Fable 5.1</w:t>
            </w:r>
          </w:p>
        </w:tc>
        <w:tc>
          <w:tcPr>
            <w:tcW w:w="620" w:type="dxa"/>
          </w:tcPr>
          <w:p>
            <w:pPr>
              <w:pStyle w:val="Compact"/>
              <w:spacing w:before="30" w:after="30"/>
            </w:pPr>
            <w:r>
              <w:rPr>
                <w:sz w:val="17"/>
              </w:rPr>
              <w:t xml:space="preserve">1.00</w:t>
            </w:r>
          </w:p>
        </w:tc>
        <w:tc>
          <w:tcPr>
            <w:tcW w:w="900" w:type="dxa"/>
          </w:tcPr>
          <w:p>
            <w:pPr>
              <w:pStyle w:val="Compact"/>
              <w:spacing w:before="30" w:after="30"/>
            </w:pPr>
            <w:r>
              <w:rPr>
                <w:sz w:val="17"/>
              </w:rPr>
              <w:t xml:space="preserve">600</w:t>
            </w:r>
          </w:p>
        </w:tc>
        <w:tc>
          <w:tcPr>
            <w:tcW w:w="620" w:type="dxa"/>
          </w:tcPr>
          <w:p>
            <w:pPr>
              <w:pStyle w:val="Compact"/>
              <w:spacing w:before="30" w:after="30"/>
            </w:pPr>
            <w:r>
              <w:rPr>
                <w:sz w:val="17"/>
              </w:rPr>
              <w:t xml:space="preserve">0.00</w:t>
            </w:r>
          </w:p>
        </w:tc>
        <w:tc>
          <w:tcPr>
            <w:tcW w:w="1700" w:type="dxa"/>
          </w:tcPr>
          <w:p>
            <w:pPr>
              <w:pStyle w:val="Compact"/>
              <w:spacing w:before="30" w:after="30"/>
            </w:pPr>
            <w:r>
              <w:rPr>
                <w:sz w:val="17"/>
              </w:rPr>
              <w:t xml:space="preserve">0.00 [0.00, 0.00]</w:t>
            </w:r>
          </w:p>
        </w:tc>
        <w:tc>
          <w:tcPr>
            <w:tcW w:w="760" w:type="dxa"/>
          </w:tcPr>
          <w:p>
            <w:pPr>
              <w:pStyle w:val="Compact"/>
              <w:spacing w:before="30" w:after="30"/>
            </w:pPr>
            <w:r>
              <w:rPr>
                <w:sz w:val="17"/>
              </w:rPr>
              <w:t xml:space="preserve">0.00</w:t>
            </w:r>
          </w:p>
        </w:tc>
        <w:tc>
          <w:tcPr>
            <w:tcW w:w="1700" w:type="dxa"/>
          </w:tcPr>
          <w:p>
            <w:pPr>
              <w:pStyle w:val="Compact"/>
              <w:spacing w:before="30" w:after="30"/>
            </w:pPr>
            <w:r>
              <w:rPr>
                <w:sz w:val="17"/>
              </w:rPr>
              <w:t xml:space="preserve">0.00 [0.00, 0.00]</w:t>
            </w:r>
          </w:p>
        </w:tc>
        <w:tc>
          <w:tcPr>
            <w:tcW w:w="1100" w:type="dxa"/>
          </w:tcPr>
          <w:p>
            <w:pPr>
              <w:pStyle w:val="Compact"/>
              <w:spacing w:before="30" w:after="30"/>
            </w:pPr>
            <w:r>
              <w:rPr>
                <w:sz w:val="17"/>
              </w:rPr>
              <w:t xml:space="preserve">–</w:t>
            </w:r>
          </w:p>
        </w:tc>
      </w:tr>
      <w:tr>
        <w:trPr>
          <w:cantSplit/>
        </w:trPr>
        <w:tc>
          <w:tcPr>
            <w:tcW w:w="1600" w:type="dxa"/>
          </w:tcPr>
          <w:p>
            <w:pPr>
              <w:pStyle w:val="Compact"/>
              <w:spacing w:before="30" w:after="30"/>
            </w:pPr>
            <w:r>
              <w:rPr>
                <w:b/>
                <w:bCs/>
                <w:sz w:val="17"/>
              </w:rPr>
              <w:t xml:space="preserve">Gemma-3 4B</w:t>
            </w:r>
          </w:p>
        </w:tc>
        <w:tc>
          <w:tcPr>
            <w:tcW w:w="620" w:type="dxa"/>
          </w:tcPr>
          <w:p>
            <w:pPr>
              <w:pStyle w:val="Compact"/>
              <w:spacing w:before="30" w:after="30"/>
            </w:pPr>
            <w:r>
              <w:rPr>
                <w:sz w:val="17"/>
              </w:rPr>
              <w:t xml:space="preserve">0.35</w:t>
            </w:r>
          </w:p>
        </w:tc>
        <w:tc>
          <w:tcPr>
            <w:tcW w:w="900" w:type="dxa"/>
          </w:tcPr>
          <w:p>
            <w:pPr>
              <w:pStyle w:val="Compact"/>
              <w:spacing w:before="30" w:after="30"/>
            </w:pPr>
            <w:r>
              <w:rPr>
                <w:sz w:val="17"/>
              </w:rPr>
              <w:t xml:space="preserve">204</w:t>
            </w:r>
          </w:p>
        </w:tc>
        <w:tc>
          <w:tcPr>
            <w:tcW w:w="620" w:type="dxa"/>
          </w:tcPr>
          <w:p>
            <w:pPr>
              <w:pStyle w:val="Compact"/>
              <w:spacing w:before="30" w:after="30"/>
            </w:pPr>
            <w:r>
              <w:rPr>
                <w:sz w:val="17"/>
              </w:rPr>
              <w:t xml:space="preserve">0.05</w:t>
            </w:r>
          </w:p>
        </w:tc>
        <w:tc>
          <w:tcPr>
            <w:tcW w:w="1700" w:type="dxa"/>
          </w:tcPr>
          <w:p>
            <w:pPr>
              <w:pStyle w:val="Compact"/>
              <w:spacing w:before="30" w:after="30"/>
            </w:pPr>
            <w:r>
              <w:rPr>
                <w:sz w:val="17"/>
              </w:rPr>
              <w:t xml:space="preserve">0.06 [0.03, 0.10]</w:t>
            </w:r>
          </w:p>
        </w:tc>
        <w:tc>
          <w:tcPr>
            <w:tcW w:w="760" w:type="dxa"/>
          </w:tcPr>
          <w:p>
            <w:pPr>
              <w:pStyle w:val="Compact"/>
              <w:spacing w:before="30" w:after="30"/>
            </w:pPr>
            <w:r>
              <w:rPr>
                <w:sz w:val="17"/>
              </w:rPr>
              <w:t xml:space="preserve">0.89</w:t>
            </w:r>
          </w:p>
        </w:tc>
        <w:tc>
          <w:tcPr>
            <w:tcW w:w="1700" w:type="dxa"/>
          </w:tcPr>
          <w:p>
            <w:pPr>
              <w:pStyle w:val="Compact"/>
              <w:spacing w:before="30" w:after="30"/>
            </w:pPr>
            <w:r>
              <w:rPr>
                <w:sz w:val="17"/>
              </w:rPr>
              <w:t xml:space="preserve">0.83 [0.78, 0.88]</w:t>
            </w:r>
          </w:p>
        </w:tc>
        <w:tc>
          <w:tcPr>
            <w:tcW w:w="1100" w:type="dxa"/>
          </w:tcPr>
          <w:p>
            <w:pPr>
              <w:pStyle w:val="Compact"/>
              <w:spacing w:before="30" w:after="30"/>
            </w:pPr>
            <w:r>
              <w:rPr>
                <w:sz w:val="17"/>
              </w:rPr>
              <w:t xml:space="preserve">0.07</w:t>
            </w:r>
          </w:p>
        </w:tc>
      </w:tr>
      <w:tr>
        <w:trPr>
          <w:cantSplit/>
        </w:trPr>
        <w:tc>
          <w:tcPr>
            <w:tcW w:w="1600" w:type="dxa"/>
          </w:tcPr>
          <w:p>
            <w:pPr>
              <w:pStyle w:val="Compact"/>
              <w:spacing w:before="30" w:after="30"/>
            </w:pPr>
            <w:r>
              <w:rPr>
                <w:b/>
                <w:bCs/>
                <w:sz w:val="17"/>
              </w:rPr>
              <w:t xml:space="preserve">Gemma-3 12B</w:t>
            </w:r>
          </w:p>
        </w:tc>
        <w:tc>
          <w:tcPr>
            <w:tcW w:w="620" w:type="dxa"/>
          </w:tcPr>
          <w:p>
            <w:pPr>
              <w:pStyle w:val="Compact"/>
              <w:spacing w:before="30" w:after="30"/>
            </w:pPr>
            <w:r>
              <w:rPr>
                <w:sz w:val="17"/>
              </w:rPr>
              <w:t xml:space="preserve">0.42</w:t>
            </w:r>
          </w:p>
        </w:tc>
        <w:tc>
          <w:tcPr>
            <w:tcW w:w="900" w:type="dxa"/>
          </w:tcPr>
          <w:p>
            <w:pPr>
              <w:pStyle w:val="Compact"/>
              <w:spacing w:before="30" w:after="30"/>
            </w:pPr>
            <w:r>
              <w:rPr>
                <w:sz w:val="17"/>
              </w:rPr>
              <w:t xml:space="preserve">234</w:t>
            </w:r>
          </w:p>
        </w:tc>
        <w:tc>
          <w:tcPr>
            <w:tcW w:w="620" w:type="dxa"/>
          </w:tcPr>
          <w:p>
            <w:pPr>
              <w:pStyle w:val="Compact"/>
              <w:spacing w:before="30" w:after="30"/>
            </w:pPr>
            <w:r>
              <w:rPr>
                <w:sz w:val="17"/>
              </w:rPr>
              <w:t xml:space="preserve">0.05</w:t>
            </w:r>
          </w:p>
        </w:tc>
        <w:tc>
          <w:tcPr>
            <w:tcW w:w="1700" w:type="dxa"/>
          </w:tcPr>
          <w:p>
            <w:pPr>
              <w:pStyle w:val="Compact"/>
              <w:spacing w:before="30" w:after="30"/>
            </w:pPr>
            <w:r>
              <w:rPr>
                <w:sz w:val="17"/>
              </w:rPr>
              <w:t xml:space="preserve">0.08 [0.05, 0.12]</w:t>
            </w:r>
          </w:p>
        </w:tc>
        <w:tc>
          <w:tcPr>
            <w:tcW w:w="760" w:type="dxa"/>
          </w:tcPr>
          <w:p>
            <w:pPr>
              <w:pStyle w:val="Compact"/>
              <w:spacing w:before="30" w:after="30"/>
            </w:pPr>
            <w:r>
              <w:rPr>
                <w:sz w:val="17"/>
              </w:rPr>
              <w:t xml:space="preserve">1.00</w:t>
            </w:r>
          </w:p>
        </w:tc>
        <w:tc>
          <w:tcPr>
            <w:tcW w:w="1700" w:type="dxa"/>
          </w:tcPr>
          <w:p>
            <w:pPr>
              <w:pStyle w:val="Compact"/>
              <w:spacing w:before="30" w:after="30"/>
            </w:pPr>
            <w:r>
              <w:rPr>
                <w:sz w:val="17"/>
              </w:rPr>
              <w:t xml:space="preserve">0.91 [0.88, 0.95]</w:t>
            </w:r>
          </w:p>
        </w:tc>
        <w:tc>
          <w:tcPr>
            <w:tcW w:w="1100" w:type="dxa"/>
          </w:tcPr>
          <w:p>
            <w:pPr>
              <w:pStyle w:val="Compact"/>
              <w:spacing w:before="30" w:after="30"/>
            </w:pPr>
            <w:r>
              <w:rPr>
                <w:sz w:val="17"/>
              </w:rPr>
              <w:t xml:space="preserve">0.08</w:t>
            </w:r>
          </w:p>
        </w:tc>
      </w:tr>
      <w:tr>
        <w:trPr>
          <w:cantSplit/>
        </w:trPr>
        <w:tc>
          <w:tcPr>
            <w:tcW w:w="1600" w:type="dxa"/>
          </w:tcPr>
          <w:p>
            <w:pPr>
              <w:pStyle w:val="Compact"/>
              <w:spacing w:before="30" w:after="30"/>
            </w:pPr>
            <w:r>
              <w:rPr>
                <w:b/>
                <w:bCs/>
                <w:sz w:val="17"/>
              </w:rPr>
              <w:t xml:space="preserve">Gemma-3 27B</w:t>
            </w:r>
          </w:p>
        </w:tc>
        <w:tc>
          <w:tcPr>
            <w:tcW w:w="620" w:type="dxa"/>
          </w:tcPr>
          <w:p>
            <w:pPr>
              <w:pStyle w:val="Compact"/>
              <w:spacing w:before="30" w:after="30"/>
            </w:pPr>
            <w:r>
              <w:rPr>
                <w:sz w:val="17"/>
              </w:rPr>
              <w:t xml:space="preserve">0.42</w:t>
            </w:r>
          </w:p>
        </w:tc>
        <w:tc>
          <w:tcPr>
            <w:tcW w:w="900" w:type="dxa"/>
          </w:tcPr>
          <w:p>
            <w:pPr>
              <w:pStyle w:val="Compact"/>
              <w:spacing w:before="30" w:after="30"/>
            </w:pPr>
            <w:r>
              <w:rPr>
                <w:sz w:val="17"/>
              </w:rPr>
              <w:t xml:space="preserve">251</w:t>
            </w:r>
          </w:p>
        </w:tc>
        <w:tc>
          <w:tcPr>
            <w:tcW w:w="620" w:type="dxa"/>
          </w:tcPr>
          <w:p>
            <w:pPr>
              <w:pStyle w:val="Compact"/>
              <w:spacing w:before="30" w:after="30"/>
            </w:pPr>
            <w:r>
              <w:rPr>
                <w:sz w:val="17"/>
              </w:rPr>
              <w:t xml:space="preserve">0.05</w:t>
            </w:r>
          </w:p>
        </w:tc>
        <w:tc>
          <w:tcPr>
            <w:tcW w:w="1700" w:type="dxa"/>
          </w:tcPr>
          <w:p>
            <w:pPr>
              <w:pStyle w:val="Compact"/>
              <w:spacing w:before="30" w:after="30"/>
            </w:pPr>
            <w:r>
              <w:rPr>
                <w:sz w:val="17"/>
              </w:rPr>
              <w:t xml:space="preserve">0.08 [0.05, 0.12]</w:t>
            </w:r>
          </w:p>
        </w:tc>
        <w:tc>
          <w:tcPr>
            <w:tcW w:w="760" w:type="dxa"/>
          </w:tcPr>
          <w:p>
            <w:pPr>
              <w:pStyle w:val="Compact"/>
              <w:spacing w:before="30" w:after="30"/>
            </w:pPr>
            <w:r>
              <w:rPr>
                <w:sz w:val="17"/>
              </w:rPr>
              <w:t xml:space="preserve">0.86</w:t>
            </w:r>
          </w:p>
        </w:tc>
        <w:tc>
          <w:tcPr>
            <w:tcW w:w="1700" w:type="dxa"/>
          </w:tcPr>
          <w:p>
            <w:pPr>
              <w:pStyle w:val="Compact"/>
              <w:spacing w:before="30" w:after="30"/>
            </w:pPr>
            <w:r>
              <w:rPr>
                <w:sz w:val="17"/>
              </w:rPr>
              <w:t xml:space="preserve">0.77 [0.72, 0.82]</w:t>
            </w:r>
          </w:p>
        </w:tc>
        <w:tc>
          <w:tcPr>
            <w:tcW w:w="1100" w:type="dxa"/>
          </w:tcPr>
          <w:p>
            <w:pPr>
              <w:pStyle w:val="Compact"/>
              <w:spacing w:before="30" w:after="30"/>
            </w:pPr>
            <w:r>
              <w:rPr>
                <w:sz w:val="17"/>
              </w:rPr>
              <w:t xml:space="preserve">0.10</w:t>
            </w:r>
          </w:p>
        </w:tc>
      </w:tr>
      <w:tr>
        <w:trPr>
          <w:cantSplit/>
        </w:trPr>
        <w:tc>
          <w:tcPr>
            <w:tcW w:w="1600" w:type="dxa"/>
          </w:tcPr>
          <w:p>
            <w:pPr>
              <w:pStyle w:val="Compact"/>
              <w:spacing w:before="30" w:after="30"/>
            </w:pPr>
            <w:r>
              <w:rPr>
                <w:b/>
                <w:bCs/>
                <w:sz w:val="17"/>
              </w:rPr>
              <w:t xml:space="preserve">Llama-3.1 8B</w:t>
            </w:r>
          </w:p>
        </w:tc>
        <w:tc>
          <w:tcPr>
            <w:tcW w:w="620" w:type="dxa"/>
          </w:tcPr>
          <w:p>
            <w:pPr>
              <w:pStyle w:val="Compact"/>
              <w:spacing w:before="30" w:after="30"/>
            </w:pPr>
            <w:r>
              <w:rPr>
                <w:sz w:val="17"/>
              </w:rPr>
              <w:t xml:space="preserve">0.35</w:t>
            </w:r>
          </w:p>
        </w:tc>
        <w:tc>
          <w:tcPr>
            <w:tcW w:w="900" w:type="dxa"/>
          </w:tcPr>
          <w:p>
            <w:pPr>
              <w:pStyle w:val="Compact"/>
              <w:spacing w:before="30" w:after="30"/>
            </w:pPr>
            <w:r>
              <w:rPr>
                <w:sz w:val="17"/>
              </w:rPr>
              <w:t xml:space="preserve">208</w:t>
            </w:r>
          </w:p>
        </w:tc>
        <w:tc>
          <w:tcPr>
            <w:tcW w:w="620" w:type="dxa"/>
          </w:tcPr>
          <w:p>
            <w:pPr>
              <w:pStyle w:val="Compact"/>
              <w:spacing w:before="30" w:after="30"/>
            </w:pPr>
            <w:r>
              <w:rPr>
                <w:sz w:val="17"/>
              </w:rPr>
              <w:t xml:space="preserve">0.31</w:t>
            </w:r>
          </w:p>
        </w:tc>
        <w:tc>
          <w:tcPr>
            <w:tcW w:w="1700" w:type="dxa"/>
          </w:tcPr>
          <w:p>
            <w:pPr>
              <w:pStyle w:val="Compact"/>
              <w:spacing w:before="30" w:after="30"/>
            </w:pPr>
            <w:r>
              <w:rPr>
                <w:sz w:val="17"/>
              </w:rPr>
              <w:t xml:space="preserve">0.33 [0.27, 0.40]</w:t>
            </w:r>
          </w:p>
        </w:tc>
        <w:tc>
          <w:tcPr>
            <w:tcW w:w="760" w:type="dxa"/>
          </w:tcPr>
          <w:p>
            <w:pPr>
              <w:pStyle w:val="Compact"/>
              <w:spacing w:before="30" w:after="30"/>
            </w:pPr>
            <w:r>
              <w:rPr>
                <w:sz w:val="17"/>
              </w:rPr>
              <w:t xml:space="preserve">0.62</w:t>
            </w:r>
          </w:p>
        </w:tc>
        <w:tc>
          <w:tcPr>
            <w:tcW w:w="1700" w:type="dxa"/>
          </w:tcPr>
          <w:p>
            <w:pPr>
              <w:pStyle w:val="Compact"/>
              <w:spacing w:before="30" w:after="30"/>
            </w:pPr>
            <w:r>
              <w:rPr>
                <w:sz w:val="17"/>
              </w:rPr>
              <w:t xml:space="preserve">0.29 [0.20, 0.39]</w:t>
            </w:r>
          </w:p>
        </w:tc>
        <w:tc>
          <w:tcPr>
            <w:tcW w:w="1100" w:type="dxa"/>
          </w:tcPr>
          <w:p>
            <w:pPr>
              <w:pStyle w:val="Compact"/>
              <w:spacing w:before="30" w:after="30"/>
            </w:pPr>
            <w:r>
              <w:rPr>
                <w:sz w:val="17"/>
              </w:rPr>
              <w:t xml:space="preserve">0.53</w:t>
            </w:r>
          </w:p>
        </w:tc>
      </w:tr>
      <w:tr>
        <w:trPr>
          <w:cantSplit/>
        </w:trPr>
        <w:tc>
          <w:tcPr>
            <w:tcW w:w="1600" w:type="dxa"/>
          </w:tcPr>
          <w:p>
            <w:pPr>
              <w:pStyle w:val="Compact"/>
              <w:spacing w:before="30" w:after="30"/>
            </w:pPr>
            <w:r>
              <w:rPr>
                <w:b/>
                <w:bCs/>
                <w:sz w:val="17"/>
              </w:rPr>
              <w:t xml:space="preserve">Llama-3.1 70B</w:t>
            </w:r>
          </w:p>
        </w:tc>
        <w:tc>
          <w:tcPr>
            <w:tcW w:w="620" w:type="dxa"/>
          </w:tcPr>
          <w:p>
            <w:pPr>
              <w:pStyle w:val="Compact"/>
              <w:spacing w:before="30" w:after="30"/>
            </w:pPr>
            <w:r>
              <w:rPr>
                <w:sz w:val="17"/>
              </w:rPr>
              <w:t xml:space="preserve">0.41</w:t>
            </w:r>
          </w:p>
        </w:tc>
        <w:tc>
          <w:tcPr>
            <w:tcW w:w="900" w:type="dxa"/>
          </w:tcPr>
          <w:p>
            <w:pPr>
              <w:pStyle w:val="Compact"/>
              <w:spacing w:before="30" w:after="30"/>
            </w:pPr>
            <w:r>
              <w:rPr>
                <w:sz w:val="17"/>
              </w:rPr>
              <w:t xml:space="preserve">238</w:t>
            </w:r>
          </w:p>
        </w:tc>
        <w:tc>
          <w:tcPr>
            <w:tcW w:w="620" w:type="dxa"/>
          </w:tcPr>
          <w:p>
            <w:pPr>
              <w:pStyle w:val="Compact"/>
              <w:spacing w:before="30" w:after="30"/>
            </w:pPr>
            <w:r>
              <w:rPr>
                <w:sz w:val="17"/>
              </w:rPr>
              <w:t xml:space="preserve">0.21</w:t>
            </w:r>
          </w:p>
        </w:tc>
        <w:tc>
          <w:tcPr>
            <w:tcW w:w="1700" w:type="dxa"/>
          </w:tcPr>
          <w:p>
            <w:pPr>
              <w:pStyle w:val="Compact"/>
              <w:spacing w:before="30" w:after="30"/>
            </w:pPr>
            <w:r>
              <w:rPr>
                <w:sz w:val="17"/>
              </w:rPr>
              <w:t xml:space="preserve">0.18 [0.13, 0.23]</w:t>
            </w:r>
          </w:p>
        </w:tc>
        <w:tc>
          <w:tcPr>
            <w:tcW w:w="760" w:type="dxa"/>
          </w:tcPr>
          <w:p>
            <w:pPr>
              <w:pStyle w:val="Compact"/>
              <w:spacing w:before="30" w:after="30"/>
            </w:pPr>
            <w:r>
              <w:rPr>
                <w:sz w:val="17"/>
              </w:rPr>
              <w:t xml:space="preserve">0.74</w:t>
            </w:r>
          </w:p>
        </w:tc>
        <w:tc>
          <w:tcPr>
            <w:tcW w:w="1700" w:type="dxa"/>
          </w:tcPr>
          <w:p>
            <w:pPr>
              <w:pStyle w:val="Compact"/>
              <w:spacing w:before="30" w:after="30"/>
            </w:pPr>
            <w:r>
              <w:rPr>
                <w:sz w:val="17"/>
              </w:rPr>
              <w:t xml:space="preserve">0.56 [0.49, 0.63]</w:t>
            </w:r>
          </w:p>
        </w:tc>
        <w:tc>
          <w:tcPr>
            <w:tcW w:w="1100" w:type="dxa"/>
          </w:tcPr>
          <w:p>
            <w:pPr>
              <w:pStyle w:val="Compact"/>
              <w:spacing w:before="30" w:after="30"/>
            </w:pPr>
            <w:r>
              <w:rPr>
                <w:sz w:val="17"/>
              </w:rPr>
              <w:t xml:space="preserve">0.24</w:t>
            </w:r>
          </w:p>
        </w:tc>
      </w:tr>
      <w:tr>
        <w:trPr>
          <w:cantSplit/>
        </w:trPr>
        <w:tc>
          <w:tcPr>
            <w:tcW w:w="1600" w:type="dxa"/>
          </w:tcPr>
          <w:p>
            <w:pPr>
              <w:pStyle w:val="Compact"/>
              <w:spacing w:before="30" w:after="30"/>
            </w:pPr>
            <w:r>
              <w:rPr>
                <w:b/>
                <w:bCs/>
                <w:sz w:val="17"/>
              </w:rPr>
              <w:t xml:space="preserve">Ministral 3B</w:t>
            </w:r>
          </w:p>
        </w:tc>
        <w:tc>
          <w:tcPr>
            <w:tcW w:w="620" w:type="dxa"/>
          </w:tcPr>
          <w:p>
            <w:pPr>
              <w:pStyle w:val="Compact"/>
              <w:spacing w:before="30" w:after="30"/>
            </w:pPr>
            <w:r>
              <w:rPr>
                <w:sz w:val="17"/>
              </w:rPr>
              <w:t xml:space="preserve">0.35</w:t>
            </w:r>
          </w:p>
        </w:tc>
        <w:tc>
          <w:tcPr>
            <w:tcW w:w="900" w:type="dxa"/>
          </w:tcPr>
          <w:p>
            <w:pPr>
              <w:pStyle w:val="Compact"/>
              <w:spacing w:before="30" w:after="30"/>
            </w:pPr>
            <w:r>
              <w:rPr>
                <w:sz w:val="17"/>
              </w:rPr>
              <w:t xml:space="preserve">198</w:t>
            </w:r>
          </w:p>
        </w:tc>
        <w:tc>
          <w:tcPr>
            <w:tcW w:w="620" w:type="dxa"/>
          </w:tcPr>
          <w:p>
            <w:pPr>
              <w:pStyle w:val="Compact"/>
              <w:spacing w:before="30" w:after="30"/>
            </w:pPr>
            <w:r>
              <w:rPr>
                <w:sz w:val="17"/>
              </w:rPr>
              <w:t xml:space="preserve">0.12</w:t>
            </w:r>
          </w:p>
        </w:tc>
        <w:tc>
          <w:tcPr>
            <w:tcW w:w="1700" w:type="dxa"/>
          </w:tcPr>
          <w:p>
            <w:pPr>
              <w:pStyle w:val="Compact"/>
              <w:spacing w:before="30" w:after="30"/>
            </w:pPr>
            <w:r>
              <w:rPr>
                <w:sz w:val="17"/>
              </w:rPr>
              <w:t xml:space="preserve">0.17 [0.11, 0.22]</w:t>
            </w:r>
          </w:p>
        </w:tc>
        <w:tc>
          <w:tcPr>
            <w:tcW w:w="760" w:type="dxa"/>
          </w:tcPr>
          <w:p>
            <w:pPr>
              <w:pStyle w:val="Compact"/>
              <w:spacing w:before="30" w:after="30"/>
            </w:pPr>
            <w:r>
              <w:rPr>
                <w:sz w:val="17"/>
              </w:rPr>
              <w:t xml:space="preserve">0.22</w:t>
            </w:r>
          </w:p>
        </w:tc>
        <w:tc>
          <w:tcPr>
            <w:tcW w:w="1700" w:type="dxa"/>
          </w:tcPr>
          <w:p>
            <w:pPr>
              <w:pStyle w:val="Compact"/>
              <w:spacing w:before="30" w:after="30"/>
            </w:pPr>
            <w:r>
              <w:rPr>
                <w:sz w:val="17"/>
              </w:rPr>
              <w:t xml:space="preserve">0.06 [-0.01, 0.12]</w:t>
            </w:r>
          </w:p>
        </w:tc>
        <w:tc>
          <w:tcPr>
            <w:tcW w:w="1100" w:type="dxa"/>
          </w:tcPr>
          <w:p>
            <w:pPr>
              <w:pStyle w:val="Compact"/>
              <w:spacing w:before="30" w:after="30"/>
            </w:pPr>
            <w:r>
              <w:rPr>
                <w:sz w:val="17"/>
              </w:rPr>
              <w:t xml:space="preserve">0.75</w:t>
            </w:r>
          </w:p>
        </w:tc>
      </w:tr>
      <w:tr>
        <w:trPr>
          <w:cantSplit/>
        </w:trPr>
        <w:tc>
          <w:tcPr>
            <w:tcW w:w="1600" w:type="dxa"/>
          </w:tcPr>
          <w:p>
            <w:pPr>
              <w:pStyle w:val="Compact"/>
              <w:spacing w:before="30" w:after="30"/>
            </w:pPr>
            <w:r>
              <w:rPr>
                <w:b/>
                <w:bCs/>
                <w:sz w:val="17"/>
              </w:rPr>
              <w:t xml:space="preserve">Ministral 8B</w:t>
            </w:r>
          </w:p>
        </w:tc>
        <w:tc>
          <w:tcPr>
            <w:tcW w:w="620" w:type="dxa"/>
          </w:tcPr>
          <w:p>
            <w:pPr>
              <w:pStyle w:val="Compact"/>
              <w:spacing w:before="30" w:after="30"/>
            </w:pPr>
            <w:r>
              <w:rPr>
                <w:sz w:val="17"/>
              </w:rPr>
              <w:t xml:space="preserve">0.38</w:t>
            </w:r>
          </w:p>
        </w:tc>
        <w:tc>
          <w:tcPr>
            <w:tcW w:w="900" w:type="dxa"/>
          </w:tcPr>
          <w:p>
            <w:pPr>
              <w:pStyle w:val="Compact"/>
              <w:spacing w:before="30" w:after="30"/>
            </w:pPr>
            <w:r>
              <w:rPr>
                <w:sz w:val="17"/>
              </w:rPr>
              <w:t xml:space="preserve">227</w:t>
            </w:r>
          </w:p>
        </w:tc>
        <w:tc>
          <w:tcPr>
            <w:tcW w:w="620" w:type="dxa"/>
          </w:tcPr>
          <w:p>
            <w:pPr>
              <w:pStyle w:val="Compact"/>
              <w:spacing w:before="30" w:after="30"/>
            </w:pPr>
            <w:r>
              <w:rPr>
                <w:sz w:val="17"/>
              </w:rPr>
              <w:t xml:space="preserve">0.11</w:t>
            </w:r>
          </w:p>
        </w:tc>
        <w:tc>
          <w:tcPr>
            <w:tcW w:w="1700" w:type="dxa"/>
          </w:tcPr>
          <w:p>
            <w:pPr>
              <w:pStyle w:val="Compact"/>
              <w:spacing w:before="30" w:after="30"/>
            </w:pPr>
            <w:r>
              <w:rPr>
                <w:sz w:val="17"/>
              </w:rPr>
              <w:t xml:space="preserve">0.17 [0.12, 0.21]</w:t>
            </w:r>
          </w:p>
        </w:tc>
        <w:tc>
          <w:tcPr>
            <w:tcW w:w="760" w:type="dxa"/>
          </w:tcPr>
          <w:p>
            <w:pPr>
              <w:pStyle w:val="Compact"/>
              <w:spacing w:before="30" w:after="30"/>
            </w:pPr>
            <w:r>
              <w:rPr>
                <w:sz w:val="17"/>
              </w:rPr>
              <w:t xml:space="preserve">0.40</w:t>
            </w:r>
          </w:p>
        </w:tc>
        <w:tc>
          <w:tcPr>
            <w:tcW w:w="1700" w:type="dxa"/>
          </w:tcPr>
          <w:p>
            <w:pPr>
              <w:pStyle w:val="Compact"/>
              <w:spacing w:before="30" w:after="30"/>
            </w:pPr>
            <w:r>
              <w:rPr>
                <w:sz w:val="17"/>
              </w:rPr>
              <w:t xml:space="preserve">0.23 [0.17, 0.29]</w:t>
            </w:r>
          </w:p>
        </w:tc>
        <w:tc>
          <w:tcPr>
            <w:tcW w:w="1100" w:type="dxa"/>
          </w:tcPr>
          <w:p>
            <w:pPr>
              <w:pStyle w:val="Compact"/>
              <w:spacing w:before="30" w:after="30"/>
            </w:pPr>
            <w:r>
              <w:rPr>
                <w:sz w:val="17"/>
              </w:rPr>
              <w:t xml:space="preserve">0.42</w:t>
            </w:r>
          </w:p>
        </w:tc>
      </w:tr>
      <w:tr>
        <w:trPr>
          <w:cantSplit/>
        </w:trPr>
        <w:tc>
          <w:tcPr>
            <w:tcW w:w="1600" w:type="dxa"/>
          </w:tcPr>
          <w:p>
            <w:pPr>
              <w:pStyle w:val="Compact"/>
              <w:spacing w:before="30" w:after="30"/>
            </w:pPr>
            <w:r>
              <w:rPr>
                <w:b/>
                <w:bCs/>
                <w:sz w:val="17"/>
              </w:rPr>
              <w:t xml:space="preserve">Ministral 14B</w:t>
            </w:r>
          </w:p>
        </w:tc>
        <w:tc>
          <w:tcPr>
            <w:tcW w:w="620" w:type="dxa"/>
          </w:tcPr>
          <w:p>
            <w:pPr>
              <w:pStyle w:val="Compact"/>
              <w:spacing w:before="30" w:after="30"/>
            </w:pPr>
            <w:r>
              <w:rPr>
                <w:sz w:val="17"/>
              </w:rPr>
              <w:t xml:space="preserve">0.46</w:t>
            </w:r>
          </w:p>
        </w:tc>
        <w:tc>
          <w:tcPr>
            <w:tcW w:w="900" w:type="dxa"/>
          </w:tcPr>
          <w:p>
            <w:pPr>
              <w:pStyle w:val="Compact"/>
              <w:spacing w:before="30" w:after="30"/>
            </w:pPr>
            <w:r>
              <w:rPr>
                <w:sz w:val="17"/>
              </w:rPr>
              <w:t xml:space="preserve">283</w:t>
            </w:r>
          </w:p>
        </w:tc>
        <w:tc>
          <w:tcPr>
            <w:tcW w:w="620" w:type="dxa"/>
          </w:tcPr>
          <w:p>
            <w:pPr>
              <w:pStyle w:val="Compact"/>
              <w:spacing w:before="30" w:after="30"/>
            </w:pPr>
            <w:r>
              <w:rPr>
                <w:sz w:val="17"/>
              </w:rPr>
              <w:t xml:space="preserve">0.08</w:t>
            </w:r>
          </w:p>
        </w:tc>
        <w:tc>
          <w:tcPr>
            <w:tcW w:w="1700" w:type="dxa"/>
          </w:tcPr>
          <w:p>
            <w:pPr>
              <w:pStyle w:val="Compact"/>
              <w:spacing w:before="30" w:after="30"/>
            </w:pPr>
            <w:r>
              <w:rPr>
                <w:sz w:val="17"/>
              </w:rPr>
              <w:t xml:space="preserve">0.11 [0.07, 0.14]</w:t>
            </w:r>
          </w:p>
        </w:tc>
        <w:tc>
          <w:tcPr>
            <w:tcW w:w="760" w:type="dxa"/>
          </w:tcPr>
          <w:p>
            <w:pPr>
              <w:pStyle w:val="Compact"/>
              <w:spacing w:before="30" w:after="30"/>
            </w:pPr>
            <w:r>
              <w:rPr>
                <w:sz w:val="17"/>
              </w:rPr>
              <w:t xml:space="preserve">0.51</w:t>
            </w:r>
          </w:p>
        </w:tc>
        <w:tc>
          <w:tcPr>
            <w:tcW w:w="1700" w:type="dxa"/>
          </w:tcPr>
          <w:p>
            <w:pPr>
              <w:pStyle w:val="Compact"/>
              <w:spacing w:before="30" w:after="30"/>
            </w:pPr>
            <w:r>
              <w:rPr>
                <w:sz w:val="17"/>
              </w:rPr>
              <w:t xml:space="preserve">0.40 [0.34, 0.46]</w:t>
            </w:r>
          </w:p>
        </w:tc>
        <w:tc>
          <w:tcPr>
            <w:tcW w:w="1100" w:type="dxa"/>
          </w:tcPr>
          <w:p>
            <w:pPr>
              <w:pStyle w:val="Compact"/>
              <w:spacing w:before="30" w:after="30"/>
            </w:pPr>
            <w:r>
              <w:rPr>
                <w:sz w:val="17"/>
              </w:rPr>
              <w:t xml:space="preserve">0.21</w:t>
            </w:r>
          </w:p>
        </w:tc>
      </w:tr>
      <w:tr>
        <w:trPr>
          <w:cantSplit/>
        </w:trPr>
        <w:tc>
          <w:tcPr>
            <w:tcW w:w="1600" w:type="dxa"/>
          </w:tcPr>
          <w:p>
            <w:pPr>
              <w:pStyle w:val="Compact"/>
              <w:spacing w:before="30" w:after="30"/>
            </w:pPr>
            <w:r>
              <w:rPr>
                <w:b/>
                <w:bCs/>
                <w:sz w:val="17"/>
              </w:rPr>
              <w:t xml:space="preserve">Qwen2.5 7B</w:t>
            </w:r>
          </w:p>
        </w:tc>
        <w:tc>
          <w:tcPr>
            <w:tcW w:w="620" w:type="dxa"/>
          </w:tcPr>
          <w:p>
            <w:pPr>
              <w:pStyle w:val="Compact"/>
              <w:spacing w:before="30" w:after="30"/>
            </w:pPr>
            <w:r>
              <w:rPr>
                <w:sz w:val="17"/>
              </w:rPr>
              <w:t xml:space="preserve">0.36</w:t>
            </w:r>
          </w:p>
        </w:tc>
        <w:tc>
          <w:tcPr>
            <w:tcW w:w="900" w:type="dxa"/>
          </w:tcPr>
          <w:p>
            <w:pPr>
              <w:pStyle w:val="Compact"/>
              <w:spacing w:before="30" w:after="30"/>
            </w:pPr>
            <w:r>
              <w:rPr>
                <w:sz w:val="17"/>
              </w:rPr>
              <w:t xml:space="preserve">212</w:t>
            </w:r>
          </w:p>
        </w:tc>
        <w:tc>
          <w:tcPr>
            <w:tcW w:w="620" w:type="dxa"/>
          </w:tcPr>
          <w:p>
            <w:pPr>
              <w:pStyle w:val="Compact"/>
              <w:spacing w:before="30" w:after="30"/>
            </w:pPr>
            <w:r>
              <w:rPr>
                <w:sz w:val="17"/>
              </w:rPr>
              <w:t xml:space="preserve">0.02</w:t>
            </w:r>
          </w:p>
        </w:tc>
        <w:tc>
          <w:tcPr>
            <w:tcW w:w="1700" w:type="dxa"/>
          </w:tcPr>
          <w:p>
            <w:pPr>
              <w:pStyle w:val="Compact"/>
              <w:spacing w:before="30" w:after="30"/>
            </w:pPr>
            <w:r>
              <w:rPr>
                <w:sz w:val="17"/>
              </w:rPr>
              <w:t xml:space="preserve">0.07 [0.04, 0.10]</w:t>
            </w:r>
          </w:p>
        </w:tc>
        <w:tc>
          <w:tcPr>
            <w:tcW w:w="760" w:type="dxa"/>
          </w:tcPr>
          <w:p>
            <w:pPr>
              <w:pStyle w:val="Compact"/>
              <w:spacing w:before="30" w:after="30"/>
            </w:pPr>
            <w:r>
              <w:rPr>
                <w:sz w:val="17"/>
              </w:rPr>
              <w:t xml:space="preserve">0.73</w:t>
            </w:r>
          </w:p>
        </w:tc>
        <w:tc>
          <w:tcPr>
            <w:tcW w:w="1700" w:type="dxa"/>
          </w:tcPr>
          <w:p>
            <w:pPr>
              <w:pStyle w:val="Compact"/>
              <w:spacing w:before="30" w:after="30"/>
            </w:pPr>
            <w:r>
              <w:rPr>
                <w:sz w:val="17"/>
              </w:rPr>
              <w:t xml:space="preserve">0.67 [0.60, 0.73]</w:t>
            </w:r>
          </w:p>
        </w:tc>
        <w:tc>
          <w:tcPr>
            <w:tcW w:w="1100" w:type="dxa"/>
          </w:tcPr>
          <w:p>
            <w:pPr>
              <w:pStyle w:val="Compact"/>
              <w:spacing w:before="30" w:after="30"/>
            </w:pPr>
            <w:r>
              <w:rPr>
                <w:sz w:val="17"/>
              </w:rPr>
              <w:t xml:space="preserve">0.09</w:t>
            </w:r>
          </w:p>
        </w:tc>
      </w:tr>
      <w:tr>
        <w:trPr>
          <w:cantSplit/>
        </w:trPr>
        <w:tc>
          <w:tcPr>
            <w:tcW w:w="1600" w:type="dxa"/>
            <w:tcBorders>
              <w:bottom w:val="single" w:sz="8" w:space="0" w:color="000000"/>
            </w:tcBorders>
          </w:tcPr>
          <w:p>
            <w:pPr>
              <w:pStyle w:val="Compact"/>
              <w:spacing w:before="30" w:after="30"/>
            </w:pPr>
            <w:r>
              <w:rPr>
                <w:b/>
                <w:bCs/>
                <w:sz w:val="17"/>
              </w:rPr>
              <w:t xml:space="preserve">Qwen2.5 72B</w:t>
            </w:r>
          </w:p>
        </w:tc>
        <w:tc>
          <w:tcPr>
            <w:tcW w:w="620" w:type="dxa"/>
            <w:tcBorders>
              <w:bottom w:val="single" w:sz="8" w:space="0" w:color="000000"/>
            </w:tcBorders>
          </w:tcPr>
          <w:p>
            <w:pPr>
              <w:pStyle w:val="Compact"/>
              <w:spacing w:before="30" w:after="30"/>
            </w:pPr>
            <w:r>
              <w:rPr>
                <w:sz w:val="17"/>
              </w:rPr>
              <w:t xml:space="preserve">0.54</w:t>
            </w:r>
          </w:p>
        </w:tc>
        <w:tc>
          <w:tcPr>
            <w:tcW w:w="900" w:type="dxa"/>
            <w:tcBorders>
              <w:bottom w:val="single" w:sz="8" w:space="0" w:color="000000"/>
            </w:tcBorders>
          </w:tcPr>
          <w:p>
            <w:pPr>
              <w:pStyle w:val="Compact"/>
              <w:spacing w:before="30" w:after="30"/>
            </w:pPr>
            <w:r>
              <w:rPr>
                <w:sz w:val="17"/>
              </w:rPr>
              <w:t xml:space="preserve">315</w:t>
            </w:r>
          </w:p>
        </w:tc>
        <w:tc>
          <w:tcPr>
            <w:tcW w:w="620" w:type="dxa"/>
            <w:tcBorders>
              <w:bottom w:val="single" w:sz="8" w:space="0" w:color="000000"/>
            </w:tcBorders>
          </w:tcPr>
          <w:p>
            <w:pPr>
              <w:pStyle w:val="Compact"/>
              <w:spacing w:before="30" w:after="30"/>
            </w:pPr>
            <w:r>
              <w:rPr>
                <w:sz w:val="17"/>
              </w:rPr>
              <w:t xml:space="preserve">0.06</w:t>
            </w:r>
          </w:p>
        </w:tc>
        <w:tc>
          <w:tcPr>
            <w:tcW w:w="1700" w:type="dxa"/>
            <w:tcBorders>
              <w:bottom w:val="single" w:sz="8" w:space="0" w:color="000000"/>
            </w:tcBorders>
          </w:tcPr>
          <w:p>
            <w:pPr>
              <w:pStyle w:val="Compact"/>
              <w:spacing w:before="30" w:after="30"/>
            </w:pPr>
            <w:r>
              <w:rPr>
                <w:sz w:val="17"/>
              </w:rPr>
              <w:t xml:space="preserve">0.05 [0.03, 0.08]</w:t>
            </w:r>
          </w:p>
        </w:tc>
        <w:tc>
          <w:tcPr>
            <w:tcW w:w="760" w:type="dxa"/>
            <w:tcBorders>
              <w:bottom w:val="single" w:sz="8" w:space="0" w:color="000000"/>
            </w:tcBorders>
          </w:tcPr>
          <w:p>
            <w:pPr>
              <w:pStyle w:val="Compact"/>
              <w:spacing w:before="30" w:after="30"/>
            </w:pPr>
            <w:r>
              <w:rPr>
                <w:sz w:val="17"/>
              </w:rPr>
              <w:t xml:space="preserve">0.65</w:t>
            </w:r>
          </w:p>
        </w:tc>
        <w:tc>
          <w:tcPr>
            <w:tcW w:w="1700" w:type="dxa"/>
            <w:tcBorders>
              <w:bottom w:val="single" w:sz="8" w:space="0" w:color="000000"/>
            </w:tcBorders>
          </w:tcPr>
          <w:p>
            <w:pPr>
              <w:pStyle w:val="Compact"/>
              <w:spacing w:before="30" w:after="30"/>
            </w:pPr>
            <w:r>
              <w:rPr>
                <w:sz w:val="17"/>
              </w:rPr>
              <w:t xml:space="preserve">0.60 [0.55, 0.65]</w:t>
            </w:r>
          </w:p>
        </w:tc>
        <w:tc>
          <w:tcPr>
            <w:tcW w:w="1100" w:type="dxa"/>
            <w:tcBorders>
              <w:bottom w:val="single" w:sz="8" w:space="0" w:color="000000"/>
            </w:tcBorders>
          </w:tcPr>
          <w:p>
            <w:pPr>
              <w:pStyle w:val="Compact"/>
              <w:spacing w:before="30" w:after="30"/>
            </w:pPr>
            <w:r>
              <w:rPr>
                <w:sz w:val="17"/>
              </w:rPr>
              <w:t xml:space="preserve">0.08</w:t>
            </w:r>
          </w:p>
        </w:tc>
      </w:tr>
    </w:tbl>
    <w:p>
      <w:pPr>
        <w:pStyle w:val="BodyText"/>
        <w:spacing w:before="60"/>
      </w:pPr>
      <w:r>
        <w:rPr>
          <w:sz w:val="18"/>
        </w:rPr>
        <w:t xml:space="preserve">a: stance-free accuracy over five replicates; ν: stance-free replicate rate of the stance-endorsed option; ρ: the same rate after a length-matched neutral sentence; f(e*): rate under the stated preference against the evidence; s* = f(e*) − ρ; share removed = 1 − s*/f(e*), undefined where f(e*) = 0. Rates are on the conditional set. Intervals: 95% percentile bootstrap, stems resampled (2,000 draws).</w:t>
      </w:r>
    </w:p>
    <w:p>
      <w:pPr>
        <w:pStyle w:val="BodyText"/>
      </w:pPr>
      <w:r>
        <w:t xml:space="preserve">Correction removes a median 9% of the conventionally measured conditional deference across the twelve models for which the share is defined (range 0% to 75%). The share is large exactly where the model's own stance-free answers are unstable: 75% for Ministral 3B, 53% for Llama-3.1 8B, 42% for Ministral 8B, 24% for Llama-3.1 70B and 21% for Ministral 14B; for the other seven it is 10% or less. The baseline ρ is above zero for 10 of the fourteen models, and across models the rank correlation between ν and the share removed is 0.90 (95% interval 0.80 to 0.95; n = 12). H1 is supported. ρ differs from ν by -0.03 to +0.05, so a neutral sentence adds at most a few points to run-to-run instability. Two limits apply. For Opus 5.5 and Fable 5.1 both ρ and f(e*) are zero, so there is nothing to correct. And for the most deferential models the correction is small in relative terms: Gemma-3 12B follows the stance on 99.5% of stems and its s* is 0.91.</w:t>
      </w:r>
    </w:p>
    <w:p>
      <w:pPr>
        <w:pStyle w:val="Heading3"/>
      </w:pPr>
      <w:r>
        <w:t xml:space="preserve">6.2 Deference or evidence-weighing?</w:t>
      </w:r>
    </w:p>
    <w:p>
      <w:pPr>
        <w:pStyle w:val="TableCaption"/>
        <w:keepNext/>
      </w:pPr>
      <w:r>
        <w:rPr>
          <w:b/>
          <w:bCs/>
        </w:rPr>
        <w:t xml:space="preserve">Table 3. </w:t>
      </w:r>
      <w:r>
        <w:t xml:space="preserve">Gradients in claimed evidence, disclosed accuracy and disclaimer, and classification by the fixed rule</w:t>
      </w:r>
    </w:p>
    <w:tbl>
      <w:tblPr>
        <w:tblW w:w="9360" w:type="dxa"/>
        <w:tblLayout w:type="fixed"/>
        <w:tblCellMar>
          <w:left w:w="60" w:type="dxa"/>
          <w:right w:w="60" w:type="dxa"/>
        </w:tblCellMar>
      </w:tblPr>
      <w:tblGrid>
        <w:gridCol w:w="1250"/>
        <w:gridCol w:w="560"/>
        <w:gridCol w:w="560"/>
        <w:gridCol w:w="600"/>
        <w:gridCol w:w="700"/>
        <w:gridCol w:w="1380"/>
        <w:gridCol w:w="1380"/>
        <w:gridCol w:w="1480"/>
        <w:gridCol w:w="1450"/>
      </w:tblGrid>
      <w:tr>
        <w:trPr>
          <w:cantSplit/>
          <w:tblHeader/>
        </w:trPr>
        <w:tc>
          <w:tcPr>
            <w:tcW w:w="1250" w:type="dxa"/>
            <w:tcBorders>
              <w:top w:val="single" w:sz="8" w:space="0" w:color="000000"/>
              <w:bottom w:val="single" w:sz="4" w:space="0" w:color="000000"/>
            </w:tcBorders>
          </w:tcPr>
          <w:p>
            <w:pPr>
              <w:pStyle w:val="Compact"/>
              <w:spacing w:before="30" w:after="30"/>
            </w:pPr>
            <w:r>
              <w:rPr>
                <w:b/>
                <w:bCs/>
                <w:sz w:val="16"/>
              </w:rPr>
              <w:t xml:space="preserve">Model</w:t>
            </w:r>
          </w:p>
        </w:tc>
        <w:tc>
          <w:tcPr>
            <w:tcW w:w="560" w:type="dxa"/>
            <w:tcBorders>
              <w:top w:val="single" w:sz="8" w:space="0" w:color="000000"/>
              <w:bottom w:val="single" w:sz="4" w:space="0" w:color="000000"/>
            </w:tcBorders>
          </w:tcPr>
          <w:p>
            <w:pPr>
              <w:pStyle w:val="Compact"/>
              <w:spacing w:before="30" w:after="30"/>
            </w:pPr>
            <w:r>
              <w:rPr>
                <w:b/>
                <w:bCs/>
                <w:sz w:val="16"/>
              </w:rPr>
              <w:t xml:space="preserve">f pref</w:t>
            </w:r>
          </w:p>
        </w:tc>
        <w:tc>
          <w:tcPr>
            <w:tcW w:w="560" w:type="dxa"/>
            <w:tcBorders>
              <w:top w:val="single" w:sz="8" w:space="0" w:color="000000"/>
              <w:bottom w:val="single" w:sz="4" w:space="0" w:color="000000"/>
            </w:tcBorders>
          </w:tcPr>
          <w:p>
            <w:pPr>
              <w:pStyle w:val="Compact"/>
              <w:spacing w:before="30" w:after="30"/>
            </w:pPr>
            <w:r>
              <w:rPr>
                <w:b/>
                <w:bCs/>
                <w:sz w:val="16"/>
              </w:rPr>
              <w:t xml:space="preserve">f weak</w:t>
            </w:r>
          </w:p>
        </w:tc>
        <w:tc>
          <w:tcPr>
            <w:tcW w:w="600" w:type="dxa"/>
            <w:tcBorders>
              <w:top w:val="single" w:sz="8" w:space="0" w:color="000000"/>
              <w:bottom w:val="single" w:sz="4" w:space="0" w:color="000000"/>
            </w:tcBorders>
          </w:tcPr>
          <w:p>
            <w:pPr>
              <w:pStyle w:val="Compact"/>
              <w:spacing w:before="30" w:after="30"/>
            </w:pPr>
            <w:r>
              <w:rPr>
                <w:b/>
                <w:bCs/>
                <w:sz w:val="16"/>
              </w:rPr>
              <w:t xml:space="preserve">f strong</w:t>
            </w:r>
          </w:p>
        </w:tc>
        <w:tc>
          <w:tcPr>
            <w:tcW w:w="700" w:type="dxa"/>
            <w:tcBorders>
              <w:top w:val="single" w:sz="8" w:space="0" w:color="000000"/>
              <w:bottom w:val="single" w:sz="4" w:space="0" w:color="000000"/>
            </w:tcBorders>
          </w:tcPr>
          <w:p>
            <w:pPr>
              <w:pStyle w:val="Compact"/>
              <w:spacing w:before="30" w:after="30"/>
            </w:pPr>
            <w:r>
              <w:rPr>
                <w:b/>
                <w:bCs/>
                <w:sz w:val="16"/>
              </w:rPr>
              <w:t xml:space="preserve">f disc.</w:t>
            </w:r>
          </w:p>
        </w:tc>
        <w:tc>
          <w:tcPr>
            <w:tcW w:w="1380" w:type="dxa"/>
            <w:tcBorders>
              <w:top w:val="single" w:sz="8" w:space="0" w:color="000000"/>
              <w:bottom w:val="single" w:sz="4" w:space="0" w:color="000000"/>
            </w:tcBorders>
          </w:tcPr>
          <w:p>
            <w:pPr>
              <w:pStyle w:val="Compact"/>
              <w:spacing w:before="30" w:after="30"/>
            </w:pPr>
            <w:r>
              <w:rPr>
                <w:b/>
                <w:bCs/>
                <w:sz w:val="16"/>
              </w:rPr>
              <w:t xml:space="preserve">Evidence slope [CI]</w:t>
            </w:r>
          </w:p>
        </w:tc>
        <w:tc>
          <w:tcPr>
            <w:tcW w:w="1380" w:type="dxa"/>
            <w:tcBorders>
              <w:top w:val="single" w:sz="8" w:space="0" w:color="000000"/>
              <w:bottom w:val="single" w:sz="4" w:space="0" w:color="000000"/>
            </w:tcBorders>
          </w:tcPr>
          <w:p>
            <w:pPr>
              <w:pStyle w:val="Compact"/>
              <w:spacing w:before="30" w:after="30"/>
            </w:pPr>
            <w:r>
              <w:rPr>
                <w:b/>
                <w:bCs/>
                <w:sz w:val="16"/>
              </w:rPr>
              <w:t xml:space="preserve">Accuracy slope [CI]</w:t>
            </w:r>
          </w:p>
        </w:tc>
        <w:tc>
          <w:tcPr>
            <w:tcW w:w="1480" w:type="dxa"/>
            <w:tcBorders>
              <w:top w:val="single" w:sz="8" w:space="0" w:color="000000"/>
              <w:bottom w:val="single" w:sz="4" w:space="0" w:color="000000"/>
            </w:tcBorders>
          </w:tcPr>
          <w:p>
            <w:pPr>
              <w:pStyle w:val="Compact"/>
              <w:spacing w:before="30" w:after="30"/>
            </w:pPr>
            <w:r>
              <w:rPr>
                <w:b/>
                <w:bCs/>
                <w:sz w:val="16"/>
              </w:rPr>
              <w:t xml:space="preserve">Disclaimer effect [CI]</w:t>
            </w:r>
          </w:p>
        </w:tc>
        <w:tc>
          <w:tcPr>
            <w:tcW w:w="1450" w:type="dxa"/>
            <w:tcBorders>
              <w:top w:val="single" w:sz="8" w:space="0" w:color="000000"/>
              <w:bottom w:val="single" w:sz="4" w:space="0" w:color="000000"/>
            </w:tcBorders>
          </w:tcPr>
          <w:p>
            <w:pPr>
              <w:pStyle w:val="Compact"/>
              <w:spacing w:before="30" w:after="30"/>
            </w:pPr>
            <w:r>
              <w:rPr>
                <w:b/>
                <w:bCs/>
                <w:sz w:val="16"/>
              </w:rPr>
              <w:t xml:space="preserve">Class</w:t>
            </w:r>
          </w:p>
        </w:tc>
      </w:tr>
      <w:tr>
        <w:trPr>
          <w:cantSplit/>
        </w:trPr>
        <w:tc>
          <w:tcPr>
            <w:tcW w:w="1250" w:type="dxa"/>
          </w:tcPr>
          <w:p>
            <w:pPr>
              <w:pStyle w:val="Compact"/>
              <w:spacing w:before="30" w:after="30"/>
            </w:pPr>
            <w:r>
              <w:rPr>
                <w:b/>
                <w:bCs/>
                <w:sz w:val="16"/>
              </w:rPr>
              <w:t xml:space="preserve">Haiku 4.5</w:t>
            </w:r>
          </w:p>
        </w:tc>
        <w:tc>
          <w:tcPr>
            <w:tcW w:w="560" w:type="dxa"/>
          </w:tcPr>
          <w:p>
            <w:pPr>
              <w:pStyle w:val="Compact"/>
              <w:spacing w:before="30" w:after="30"/>
            </w:pPr>
            <w:r>
              <w:rPr>
                <w:sz w:val="16"/>
              </w:rPr>
              <w:t xml:space="preserve">0.10</w:t>
            </w:r>
          </w:p>
        </w:tc>
        <w:tc>
          <w:tcPr>
            <w:tcW w:w="560" w:type="dxa"/>
          </w:tcPr>
          <w:p>
            <w:pPr>
              <w:pStyle w:val="Compact"/>
              <w:spacing w:before="30" w:after="30"/>
            </w:pPr>
            <w:r>
              <w:rPr>
                <w:sz w:val="16"/>
              </w:rPr>
              <w:t xml:space="preserve">0.14</w:t>
            </w:r>
          </w:p>
        </w:tc>
        <w:tc>
          <w:tcPr>
            <w:tcW w:w="600" w:type="dxa"/>
          </w:tcPr>
          <w:p>
            <w:pPr>
              <w:pStyle w:val="Compact"/>
              <w:spacing w:before="30" w:after="30"/>
            </w:pPr>
            <w:r>
              <w:rPr>
                <w:sz w:val="16"/>
              </w:rPr>
              <w:t xml:space="preserve">0.29</w:t>
            </w:r>
          </w:p>
        </w:tc>
        <w:tc>
          <w:tcPr>
            <w:tcW w:w="700" w:type="dxa"/>
          </w:tcPr>
          <w:p>
            <w:pPr>
              <w:pStyle w:val="Compact"/>
              <w:spacing w:before="30" w:after="30"/>
            </w:pPr>
            <w:r>
              <w:rPr>
                <w:sz w:val="16"/>
              </w:rPr>
              <w:t xml:space="preserve">0.03</w:t>
            </w:r>
          </w:p>
        </w:tc>
        <w:tc>
          <w:tcPr>
            <w:tcW w:w="1380" w:type="dxa"/>
          </w:tcPr>
          <w:p>
            <w:pPr>
              <w:pStyle w:val="Compact"/>
              <w:spacing w:before="30" w:after="30"/>
            </w:pPr>
            <w:r>
              <w:rPr>
                <w:sz w:val="16"/>
              </w:rPr>
              <w:t xml:space="preserve">0.09 [0.07, 0.11]</w:t>
            </w:r>
          </w:p>
        </w:tc>
        <w:tc>
          <w:tcPr>
            <w:tcW w:w="1380" w:type="dxa"/>
          </w:tcPr>
          <w:p>
            <w:pPr>
              <w:pStyle w:val="Compact"/>
              <w:spacing w:before="30" w:after="30"/>
            </w:pPr>
            <w:r>
              <w:rPr>
                <w:sz w:val="16"/>
              </w:rPr>
              <w:t xml:space="preserve">0.02 [0.00, 0.03]</w:t>
            </w:r>
          </w:p>
        </w:tc>
        <w:tc>
          <w:tcPr>
            <w:tcW w:w="1480" w:type="dxa"/>
          </w:tcPr>
          <w:p>
            <w:pPr>
              <w:pStyle w:val="Compact"/>
              <w:spacing w:before="30" w:after="30"/>
            </w:pPr>
            <w:r>
              <w:rPr>
                <w:sz w:val="16"/>
              </w:rPr>
              <w:t xml:space="preserve">-0.08 [-0.10, -0.05]</w:t>
            </w:r>
          </w:p>
        </w:tc>
        <w:tc>
          <w:tcPr>
            <w:tcW w:w="1450" w:type="dxa"/>
          </w:tcPr>
          <w:p>
            <w:pPr>
              <w:pStyle w:val="Compact"/>
              <w:spacing w:before="30" w:after="30"/>
            </w:pPr>
            <w:r>
              <w:rPr>
                <w:sz w:val="16"/>
              </w:rPr>
              <w:t xml:space="preserve">evidence-weighing</w:t>
            </w:r>
          </w:p>
        </w:tc>
      </w:tr>
      <w:tr>
        <w:trPr>
          <w:cantSplit/>
        </w:trPr>
        <w:tc>
          <w:tcPr>
            <w:tcW w:w="1250" w:type="dxa"/>
          </w:tcPr>
          <w:p>
            <w:pPr>
              <w:pStyle w:val="Compact"/>
              <w:spacing w:before="30" w:after="30"/>
            </w:pPr>
            <w:r>
              <w:rPr>
                <w:b/>
                <w:bCs/>
                <w:sz w:val="16"/>
              </w:rPr>
              <w:t xml:space="preserve">Sonnet 5.5</w:t>
            </w:r>
          </w:p>
        </w:tc>
        <w:tc>
          <w:tcPr>
            <w:tcW w:w="560" w:type="dxa"/>
          </w:tcPr>
          <w:p>
            <w:pPr>
              <w:pStyle w:val="Compact"/>
              <w:spacing w:before="30" w:after="30"/>
            </w:pPr>
            <w:r>
              <w:rPr>
                <w:sz w:val="16"/>
              </w:rPr>
              <w:t xml:space="preserve">0.02</w:t>
            </w:r>
          </w:p>
        </w:tc>
        <w:tc>
          <w:tcPr>
            <w:tcW w:w="560" w:type="dxa"/>
          </w:tcPr>
          <w:p>
            <w:pPr>
              <w:pStyle w:val="Compact"/>
              <w:spacing w:before="30" w:after="30"/>
            </w:pPr>
            <w:r>
              <w:rPr>
                <w:sz w:val="16"/>
              </w:rPr>
              <w:t xml:space="preserve">0.10</w:t>
            </w:r>
          </w:p>
        </w:tc>
        <w:tc>
          <w:tcPr>
            <w:tcW w:w="600" w:type="dxa"/>
          </w:tcPr>
          <w:p>
            <w:pPr>
              <w:pStyle w:val="Compact"/>
              <w:spacing w:before="30" w:after="30"/>
            </w:pPr>
            <w:r>
              <w:rPr>
                <w:sz w:val="16"/>
              </w:rPr>
              <w:t xml:space="preserve">0.09</w:t>
            </w:r>
          </w:p>
        </w:tc>
        <w:tc>
          <w:tcPr>
            <w:tcW w:w="700" w:type="dxa"/>
          </w:tcPr>
          <w:p>
            <w:pPr>
              <w:pStyle w:val="Compact"/>
              <w:spacing w:before="30" w:after="30"/>
            </w:pPr>
            <w:r>
              <w:rPr>
                <w:sz w:val="16"/>
              </w:rPr>
              <w:t xml:space="preserve">0.00</w:t>
            </w:r>
          </w:p>
        </w:tc>
        <w:tc>
          <w:tcPr>
            <w:tcW w:w="1380" w:type="dxa"/>
          </w:tcPr>
          <w:p>
            <w:pPr>
              <w:pStyle w:val="Compact"/>
              <w:spacing w:before="30" w:after="30"/>
            </w:pPr>
            <w:r>
              <w:rPr>
                <w:sz w:val="16"/>
              </w:rPr>
              <w:t xml:space="preserve">0.04 [0.02, 0.05]</w:t>
            </w:r>
          </w:p>
        </w:tc>
        <w:tc>
          <w:tcPr>
            <w:tcW w:w="1380" w:type="dxa"/>
          </w:tcPr>
          <w:p>
            <w:pPr>
              <w:pStyle w:val="Compact"/>
              <w:spacing w:before="30" w:after="30"/>
            </w:pPr>
            <w:r>
              <w:rPr>
                <w:sz w:val="16"/>
              </w:rPr>
              <w:t xml:space="preserve">0.00 [-0.01, 0.01]</w:t>
            </w:r>
          </w:p>
        </w:tc>
        <w:tc>
          <w:tcPr>
            <w:tcW w:w="1480" w:type="dxa"/>
          </w:tcPr>
          <w:p>
            <w:pPr>
              <w:pStyle w:val="Compact"/>
              <w:spacing w:before="30" w:after="30"/>
            </w:pPr>
            <w:r>
              <w:rPr>
                <w:sz w:val="16"/>
              </w:rPr>
              <w:t xml:space="preserve">-0.02 [-0.03, -0.01]</w:t>
            </w:r>
          </w:p>
        </w:tc>
        <w:tc>
          <w:tcPr>
            <w:tcW w:w="1450" w:type="dxa"/>
          </w:tcPr>
          <w:p>
            <w:pPr>
              <w:pStyle w:val="Compact"/>
              <w:spacing w:before="30" w:after="30"/>
            </w:pPr>
            <w:r>
              <w:rPr>
                <w:sz w:val="16"/>
              </w:rPr>
              <w:t xml:space="preserve">mixed</w:t>
            </w:r>
          </w:p>
        </w:tc>
      </w:tr>
      <w:tr>
        <w:trPr>
          <w:cantSplit/>
        </w:trPr>
        <w:tc>
          <w:tcPr>
            <w:tcW w:w="1250" w:type="dxa"/>
          </w:tcPr>
          <w:p>
            <w:pPr>
              <w:pStyle w:val="Compact"/>
              <w:spacing w:before="30" w:after="30"/>
            </w:pPr>
            <w:r>
              <w:rPr>
                <w:b/>
                <w:bCs/>
                <w:sz w:val="16"/>
              </w:rPr>
              <w:t xml:space="preserve">Opus 5.5</w:t>
            </w:r>
          </w:p>
        </w:tc>
        <w:tc>
          <w:tcPr>
            <w:tcW w:w="560" w:type="dxa"/>
          </w:tcPr>
          <w:p>
            <w:pPr>
              <w:pStyle w:val="Compact"/>
              <w:spacing w:before="30" w:after="30"/>
            </w:pPr>
            <w:r>
              <w:rPr>
                <w:sz w:val="16"/>
              </w:rPr>
              <w:t xml:space="preserve">0.00</w:t>
            </w:r>
          </w:p>
        </w:tc>
        <w:tc>
          <w:tcPr>
            <w:tcW w:w="560" w:type="dxa"/>
          </w:tcPr>
          <w:p>
            <w:pPr>
              <w:pStyle w:val="Compact"/>
              <w:spacing w:before="30" w:after="30"/>
            </w:pPr>
            <w:r>
              <w:rPr>
                <w:sz w:val="16"/>
              </w:rPr>
              <w:t xml:space="preserve">0.00</w:t>
            </w:r>
          </w:p>
        </w:tc>
        <w:tc>
          <w:tcPr>
            <w:tcW w:w="600" w:type="dxa"/>
          </w:tcPr>
          <w:p>
            <w:pPr>
              <w:pStyle w:val="Compact"/>
              <w:spacing w:before="30" w:after="30"/>
            </w:pPr>
            <w:r>
              <w:rPr>
                <w:sz w:val="16"/>
              </w:rPr>
              <w:t xml:space="preserve">0.00</w:t>
            </w:r>
          </w:p>
        </w:tc>
        <w:tc>
          <w:tcPr>
            <w:tcW w:w="700" w:type="dxa"/>
          </w:tcPr>
          <w:p>
            <w:pPr>
              <w:pStyle w:val="Compact"/>
              <w:spacing w:before="30" w:after="30"/>
            </w:pPr>
            <w:r>
              <w:rPr>
                <w:sz w:val="16"/>
              </w:rPr>
              <w:t xml:space="preserve">0.00</w:t>
            </w:r>
          </w:p>
        </w:tc>
        <w:tc>
          <w:tcPr>
            <w:tcW w:w="1380" w:type="dxa"/>
          </w:tcPr>
          <w:p>
            <w:pPr>
              <w:pStyle w:val="Compact"/>
              <w:spacing w:before="30" w:after="30"/>
            </w:pPr>
            <w:r>
              <w:rPr>
                <w:sz w:val="16"/>
              </w:rPr>
              <w:t xml:space="preserve">0.00 [0.00, 0.00]</w:t>
            </w:r>
          </w:p>
        </w:tc>
        <w:tc>
          <w:tcPr>
            <w:tcW w:w="1380" w:type="dxa"/>
          </w:tcPr>
          <w:p>
            <w:pPr>
              <w:pStyle w:val="Compact"/>
              <w:spacing w:before="30" w:after="30"/>
            </w:pPr>
            <w:r>
              <w:rPr>
                <w:sz w:val="16"/>
              </w:rPr>
              <w:t xml:space="preserve">0.00 [0.00, 0.00]</w:t>
            </w:r>
          </w:p>
        </w:tc>
        <w:tc>
          <w:tcPr>
            <w:tcW w:w="1480" w:type="dxa"/>
          </w:tcPr>
          <w:p>
            <w:pPr>
              <w:pStyle w:val="Compact"/>
              <w:spacing w:before="30" w:after="30"/>
            </w:pPr>
            <w:r>
              <w:rPr>
                <w:sz w:val="16"/>
              </w:rPr>
              <w:t xml:space="preserve">0.00 [0.00, 0.00]</w:t>
            </w:r>
          </w:p>
        </w:tc>
        <w:tc>
          <w:tcPr>
            <w:tcW w:w="1450" w:type="dxa"/>
          </w:tcPr>
          <w:p>
            <w:pPr>
              <w:pStyle w:val="Compact"/>
              <w:spacing w:before="30" w:after="30"/>
            </w:pPr>
            <w:r>
              <w:rPr>
                <w:sz w:val="16"/>
              </w:rPr>
              <w:t xml:space="preserve">no effect†</w:t>
            </w:r>
          </w:p>
        </w:tc>
      </w:tr>
      <w:tr>
        <w:trPr>
          <w:cantSplit/>
        </w:trPr>
        <w:tc>
          <w:tcPr>
            <w:tcW w:w="1250" w:type="dxa"/>
          </w:tcPr>
          <w:p>
            <w:pPr>
              <w:pStyle w:val="Compact"/>
              <w:spacing w:before="30" w:after="30"/>
            </w:pPr>
            <w:r>
              <w:rPr>
                <w:b/>
                <w:bCs/>
                <w:sz w:val="16"/>
              </w:rPr>
              <w:t xml:space="preserve">Fable 5.1</w:t>
            </w:r>
          </w:p>
        </w:tc>
        <w:tc>
          <w:tcPr>
            <w:tcW w:w="560" w:type="dxa"/>
          </w:tcPr>
          <w:p>
            <w:pPr>
              <w:pStyle w:val="Compact"/>
              <w:spacing w:before="30" w:after="30"/>
            </w:pPr>
            <w:r>
              <w:rPr>
                <w:sz w:val="16"/>
              </w:rPr>
              <w:t xml:space="preserve">0.00</w:t>
            </w:r>
          </w:p>
        </w:tc>
        <w:tc>
          <w:tcPr>
            <w:tcW w:w="560" w:type="dxa"/>
          </w:tcPr>
          <w:p>
            <w:pPr>
              <w:pStyle w:val="Compact"/>
              <w:spacing w:before="30" w:after="30"/>
            </w:pPr>
            <w:r>
              <w:rPr>
                <w:sz w:val="16"/>
              </w:rPr>
              <w:t xml:space="preserve">0.00</w:t>
            </w:r>
          </w:p>
        </w:tc>
        <w:tc>
          <w:tcPr>
            <w:tcW w:w="600" w:type="dxa"/>
          </w:tcPr>
          <w:p>
            <w:pPr>
              <w:pStyle w:val="Compact"/>
              <w:spacing w:before="30" w:after="30"/>
            </w:pPr>
            <w:r>
              <w:rPr>
                <w:sz w:val="16"/>
              </w:rPr>
              <w:t xml:space="preserve">0.00</w:t>
            </w:r>
          </w:p>
        </w:tc>
        <w:tc>
          <w:tcPr>
            <w:tcW w:w="700" w:type="dxa"/>
          </w:tcPr>
          <w:p>
            <w:pPr>
              <w:pStyle w:val="Compact"/>
              <w:spacing w:before="30" w:after="30"/>
            </w:pPr>
            <w:r>
              <w:rPr>
                <w:sz w:val="16"/>
              </w:rPr>
              <w:t xml:space="preserve">0.00</w:t>
            </w:r>
          </w:p>
        </w:tc>
        <w:tc>
          <w:tcPr>
            <w:tcW w:w="1380" w:type="dxa"/>
          </w:tcPr>
          <w:p>
            <w:pPr>
              <w:pStyle w:val="Compact"/>
              <w:spacing w:before="30" w:after="30"/>
            </w:pPr>
            <w:r>
              <w:rPr>
                <w:sz w:val="16"/>
              </w:rPr>
              <w:t xml:space="preserve">0.00 [0.00, 0.00]</w:t>
            </w:r>
          </w:p>
        </w:tc>
        <w:tc>
          <w:tcPr>
            <w:tcW w:w="1380" w:type="dxa"/>
          </w:tcPr>
          <w:p>
            <w:pPr>
              <w:pStyle w:val="Compact"/>
              <w:spacing w:before="30" w:after="30"/>
            </w:pPr>
            <w:r>
              <w:rPr>
                <w:sz w:val="16"/>
              </w:rPr>
              <w:t xml:space="preserve">0.00 [0.00, 0.00]</w:t>
            </w:r>
          </w:p>
        </w:tc>
        <w:tc>
          <w:tcPr>
            <w:tcW w:w="1480" w:type="dxa"/>
          </w:tcPr>
          <w:p>
            <w:pPr>
              <w:pStyle w:val="Compact"/>
              <w:spacing w:before="30" w:after="30"/>
            </w:pPr>
            <w:r>
              <w:rPr>
                <w:sz w:val="16"/>
              </w:rPr>
              <w:t xml:space="preserve">0.00 [0.00, 0.00]</w:t>
            </w:r>
          </w:p>
        </w:tc>
        <w:tc>
          <w:tcPr>
            <w:tcW w:w="1450" w:type="dxa"/>
          </w:tcPr>
          <w:p>
            <w:pPr>
              <w:pStyle w:val="Compact"/>
              <w:spacing w:before="30" w:after="30"/>
            </w:pPr>
            <w:r>
              <w:rPr>
                <w:sz w:val="16"/>
              </w:rPr>
              <w:t xml:space="preserve">no effect†</w:t>
            </w:r>
          </w:p>
        </w:tc>
      </w:tr>
      <w:tr>
        <w:trPr>
          <w:cantSplit/>
        </w:trPr>
        <w:tc>
          <w:tcPr>
            <w:tcW w:w="1250" w:type="dxa"/>
          </w:tcPr>
          <w:p>
            <w:pPr>
              <w:pStyle w:val="Compact"/>
              <w:spacing w:before="30" w:after="30"/>
            </w:pPr>
            <w:r>
              <w:rPr>
                <w:b/>
                <w:bCs/>
                <w:sz w:val="16"/>
              </w:rPr>
              <w:t xml:space="preserve">Gemma-3 4B</w:t>
            </w:r>
          </w:p>
        </w:tc>
        <w:tc>
          <w:tcPr>
            <w:tcW w:w="560" w:type="dxa"/>
          </w:tcPr>
          <w:p>
            <w:pPr>
              <w:pStyle w:val="Compact"/>
              <w:spacing w:before="30" w:after="30"/>
            </w:pPr>
            <w:r>
              <w:rPr>
                <w:sz w:val="16"/>
              </w:rPr>
              <w:t xml:space="preserve">0.89</w:t>
            </w:r>
          </w:p>
        </w:tc>
        <w:tc>
          <w:tcPr>
            <w:tcW w:w="560" w:type="dxa"/>
          </w:tcPr>
          <w:p>
            <w:pPr>
              <w:pStyle w:val="Compact"/>
              <w:spacing w:before="30" w:after="30"/>
            </w:pPr>
            <w:r>
              <w:rPr>
                <w:sz w:val="16"/>
              </w:rPr>
              <w:t xml:space="preserve">0.69</w:t>
            </w:r>
          </w:p>
        </w:tc>
        <w:tc>
          <w:tcPr>
            <w:tcW w:w="600" w:type="dxa"/>
          </w:tcPr>
          <w:p>
            <w:pPr>
              <w:pStyle w:val="Compact"/>
              <w:spacing w:before="30" w:after="30"/>
            </w:pPr>
            <w:r>
              <w:rPr>
                <w:sz w:val="16"/>
              </w:rPr>
              <w:t xml:space="preserve">0.99</w:t>
            </w:r>
          </w:p>
        </w:tc>
        <w:tc>
          <w:tcPr>
            <w:tcW w:w="700" w:type="dxa"/>
          </w:tcPr>
          <w:p>
            <w:pPr>
              <w:pStyle w:val="Compact"/>
              <w:spacing w:before="30" w:after="30"/>
            </w:pPr>
            <w:r>
              <w:rPr>
                <w:sz w:val="16"/>
              </w:rPr>
              <w:t xml:space="preserve">0.80</w:t>
            </w:r>
          </w:p>
        </w:tc>
        <w:tc>
          <w:tcPr>
            <w:tcW w:w="1380" w:type="dxa"/>
          </w:tcPr>
          <w:p>
            <w:pPr>
              <w:pStyle w:val="Compact"/>
              <w:spacing w:before="30" w:after="30"/>
            </w:pPr>
            <w:r>
              <w:rPr>
                <w:sz w:val="16"/>
              </w:rPr>
              <w:t xml:space="preserve">0.05 [0.03, 0.07]</w:t>
            </w:r>
          </w:p>
        </w:tc>
        <w:tc>
          <w:tcPr>
            <w:tcW w:w="1380" w:type="dxa"/>
          </w:tcPr>
          <w:p>
            <w:pPr>
              <w:pStyle w:val="Compact"/>
              <w:spacing w:before="30" w:after="30"/>
            </w:pPr>
            <w:r>
              <w:rPr>
                <w:sz w:val="16"/>
              </w:rPr>
              <w:t xml:space="preserve">0.03 [-0.01, 0.06]</w:t>
            </w:r>
          </w:p>
        </w:tc>
        <w:tc>
          <w:tcPr>
            <w:tcW w:w="1480" w:type="dxa"/>
          </w:tcPr>
          <w:p>
            <w:pPr>
              <w:pStyle w:val="Compact"/>
              <w:spacing w:before="30" w:after="30"/>
            </w:pPr>
            <w:r>
              <w:rPr>
                <w:sz w:val="16"/>
              </w:rPr>
              <w:t xml:space="preserve">-0.09 [-0.14, -0.05]</w:t>
            </w:r>
          </w:p>
        </w:tc>
        <w:tc>
          <w:tcPr>
            <w:tcW w:w="1450" w:type="dxa"/>
          </w:tcPr>
          <w:p>
            <w:pPr>
              <w:pStyle w:val="Compact"/>
              <w:spacing w:before="30" w:after="30"/>
            </w:pPr>
            <w:r>
              <w:rPr>
                <w:sz w:val="16"/>
              </w:rPr>
              <w:t xml:space="preserve">mixed</w:t>
            </w:r>
          </w:p>
        </w:tc>
      </w:tr>
      <w:tr>
        <w:trPr>
          <w:cantSplit/>
        </w:trPr>
        <w:tc>
          <w:tcPr>
            <w:tcW w:w="1250" w:type="dxa"/>
          </w:tcPr>
          <w:p>
            <w:pPr>
              <w:pStyle w:val="Compact"/>
              <w:spacing w:before="30" w:after="30"/>
            </w:pPr>
            <w:r>
              <w:rPr>
                <w:b/>
                <w:bCs/>
                <w:sz w:val="16"/>
              </w:rPr>
              <w:t xml:space="preserve">Gemma-3 12B</w:t>
            </w:r>
          </w:p>
        </w:tc>
        <w:tc>
          <w:tcPr>
            <w:tcW w:w="560" w:type="dxa"/>
          </w:tcPr>
          <w:p>
            <w:pPr>
              <w:pStyle w:val="Compact"/>
              <w:spacing w:before="30" w:after="30"/>
            </w:pPr>
            <w:r>
              <w:rPr>
                <w:sz w:val="16"/>
              </w:rPr>
              <w:t xml:space="preserve">1.00</w:t>
            </w:r>
          </w:p>
        </w:tc>
        <w:tc>
          <w:tcPr>
            <w:tcW w:w="560" w:type="dxa"/>
          </w:tcPr>
          <w:p>
            <w:pPr>
              <w:pStyle w:val="Compact"/>
              <w:spacing w:before="30" w:after="30"/>
            </w:pPr>
            <w:r>
              <w:rPr>
                <w:sz w:val="16"/>
              </w:rPr>
              <w:t xml:space="preserve">0.97</w:t>
            </w:r>
          </w:p>
        </w:tc>
        <w:tc>
          <w:tcPr>
            <w:tcW w:w="600" w:type="dxa"/>
          </w:tcPr>
          <w:p>
            <w:pPr>
              <w:pStyle w:val="Compact"/>
              <w:spacing w:before="30" w:after="30"/>
            </w:pPr>
            <w:r>
              <w:rPr>
                <w:sz w:val="16"/>
              </w:rPr>
              <w:t xml:space="preserve">1.00</w:t>
            </w:r>
          </w:p>
        </w:tc>
        <w:tc>
          <w:tcPr>
            <w:tcW w:w="700" w:type="dxa"/>
          </w:tcPr>
          <w:p>
            <w:pPr>
              <w:pStyle w:val="Compact"/>
              <w:spacing w:before="30" w:after="30"/>
            </w:pPr>
            <w:r>
              <w:rPr>
                <w:sz w:val="16"/>
              </w:rPr>
              <w:t xml:space="preserve">0.98</w:t>
            </w:r>
          </w:p>
        </w:tc>
        <w:tc>
          <w:tcPr>
            <w:tcW w:w="1380" w:type="dxa"/>
          </w:tcPr>
          <w:p>
            <w:pPr>
              <w:pStyle w:val="Compact"/>
              <w:spacing w:before="30" w:after="30"/>
            </w:pPr>
            <w:r>
              <w:rPr>
                <w:sz w:val="16"/>
              </w:rPr>
              <w:t xml:space="preserve">0.00 [-0.00, 0.01]</w:t>
            </w:r>
          </w:p>
        </w:tc>
        <w:tc>
          <w:tcPr>
            <w:tcW w:w="1380" w:type="dxa"/>
          </w:tcPr>
          <w:p>
            <w:pPr>
              <w:pStyle w:val="Compact"/>
              <w:spacing w:before="30" w:after="30"/>
            </w:pPr>
            <w:r>
              <w:rPr>
                <w:sz w:val="16"/>
              </w:rPr>
              <w:t xml:space="preserve">0.01 [0.00, 0.03]</w:t>
            </w:r>
          </w:p>
        </w:tc>
        <w:tc>
          <w:tcPr>
            <w:tcW w:w="1480" w:type="dxa"/>
          </w:tcPr>
          <w:p>
            <w:pPr>
              <w:pStyle w:val="Compact"/>
              <w:spacing w:before="30" w:after="30"/>
            </w:pPr>
            <w:r>
              <w:rPr>
                <w:sz w:val="16"/>
              </w:rPr>
              <w:t xml:space="preserve">-0.02 [-0.04, -0.00]</w:t>
            </w:r>
          </w:p>
        </w:tc>
        <w:tc>
          <w:tcPr>
            <w:tcW w:w="1450" w:type="dxa"/>
          </w:tcPr>
          <w:p>
            <w:pPr>
              <w:pStyle w:val="Compact"/>
              <w:spacing w:before="30" w:after="30"/>
            </w:pPr>
            <w:r>
              <w:rPr>
                <w:sz w:val="16"/>
              </w:rPr>
              <w:t xml:space="preserve">mixed</w:t>
            </w:r>
          </w:p>
        </w:tc>
      </w:tr>
      <w:tr>
        <w:trPr>
          <w:cantSplit/>
        </w:trPr>
        <w:tc>
          <w:tcPr>
            <w:tcW w:w="1250" w:type="dxa"/>
          </w:tcPr>
          <w:p>
            <w:pPr>
              <w:pStyle w:val="Compact"/>
              <w:spacing w:before="30" w:after="30"/>
            </w:pPr>
            <w:r>
              <w:rPr>
                <w:b/>
                <w:bCs/>
                <w:sz w:val="16"/>
              </w:rPr>
              <w:t xml:space="preserve">Gemma-3 27B</w:t>
            </w:r>
          </w:p>
        </w:tc>
        <w:tc>
          <w:tcPr>
            <w:tcW w:w="560" w:type="dxa"/>
          </w:tcPr>
          <w:p>
            <w:pPr>
              <w:pStyle w:val="Compact"/>
              <w:spacing w:before="30" w:after="30"/>
            </w:pPr>
            <w:r>
              <w:rPr>
                <w:sz w:val="16"/>
              </w:rPr>
              <w:t xml:space="preserve">0.86</w:t>
            </w:r>
          </w:p>
        </w:tc>
        <w:tc>
          <w:tcPr>
            <w:tcW w:w="560" w:type="dxa"/>
          </w:tcPr>
          <w:p>
            <w:pPr>
              <w:pStyle w:val="Compact"/>
              <w:spacing w:before="30" w:after="30"/>
            </w:pPr>
            <w:r>
              <w:rPr>
                <w:sz w:val="16"/>
              </w:rPr>
              <w:t xml:space="preserve">0.89</w:t>
            </w:r>
          </w:p>
        </w:tc>
        <w:tc>
          <w:tcPr>
            <w:tcW w:w="600" w:type="dxa"/>
          </w:tcPr>
          <w:p>
            <w:pPr>
              <w:pStyle w:val="Compact"/>
              <w:spacing w:before="30" w:after="30"/>
            </w:pPr>
            <w:r>
              <w:rPr>
                <w:sz w:val="16"/>
              </w:rPr>
              <w:t xml:space="preserve">1.00</w:t>
            </w:r>
          </w:p>
        </w:tc>
        <w:tc>
          <w:tcPr>
            <w:tcW w:w="700" w:type="dxa"/>
          </w:tcPr>
          <w:p>
            <w:pPr>
              <w:pStyle w:val="Compact"/>
              <w:spacing w:before="30" w:after="30"/>
            </w:pPr>
            <w:r>
              <w:rPr>
                <w:sz w:val="16"/>
              </w:rPr>
              <w:t xml:space="preserve">0.64</w:t>
            </w:r>
          </w:p>
        </w:tc>
        <w:tc>
          <w:tcPr>
            <w:tcW w:w="1380" w:type="dxa"/>
          </w:tcPr>
          <w:p>
            <w:pPr>
              <w:pStyle w:val="Compact"/>
              <w:spacing w:before="30" w:after="30"/>
            </w:pPr>
            <w:r>
              <w:rPr>
                <w:sz w:val="16"/>
              </w:rPr>
              <w:t xml:space="preserve">0.07 [0.05, 0.09]</w:t>
            </w:r>
          </w:p>
        </w:tc>
        <w:tc>
          <w:tcPr>
            <w:tcW w:w="1380" w:type="dxa"/>
          </w:tcPr>
          <w:p>
            <w:pPr>
              <w:pStyle w:val="Compact"/>
              <w:spacing w:before="30" w:after="30"/>
            </w:pPr>
            <w:r>
              <w:rPr>
                <w:sz w:val="16"/>
              </w:rPr>
              <w:t xml:space="preserve">0.04 [0.01, 0.08]</w:t>
            </w:r>
          </w:p>
        </w:tc>
        <w:tc>
          <w:tcPr>
            <w:tcW w:w="1480" w:type="dxa"/>
          </w:tcPr>
          <w:p>
            <w:pPr>
              <w:pStyle w:val="Compact"/>
              <w:spacing w:before="30" w:after="30"/>
            </w:pPr>
            <w:r>
              <w:rPr>
                <w:sz w:val="16"/>
              </w:rPr>
              <w:t xml:space="preserve">-0.22 [-0.27, -0.16]</w:t>
            </w:r>
          </w:p>
        </w:tc>
        <w:tc>
          <w:tcPr>
            <w:tcW w:w="1450" w:type="dxa"/>
          </w:tcPr>
          <w:p>
            <w:pPr>
              <w:pStyle w:val="Compact"/>
              <w:spacing w:before="30" w:after="30"/>
            </w:pPr>
            <w:r>
              <w:rPr>
                <w:sz w:val="16"/>
              </w:rPr>
              <w:t xml:space="preserve">evidence-weighing</w:t>
            </w:r>
          </w:p>
        </w:tc>
      </w:tr>
      <w:tr>
        <w:trPr>
          <w:cantSplit/>
        </w:trPr>
        <w:tc>
          <w:tcPr>
            <w:tcW w:w="1250" w:type="dxa"/>
          </w:tcPr>
          <w:p>
            <w:pPr>
              <w:pStyle w:val="Compact"/>
              <w:spacing w:before="30" w:after="30"/>
            </w:pPr>
            <w:r>
              <w:rPr>
                <w:b/>
                <w:bCs/>
                <w:sz w:val="16"/>
              </w:rPr>
              <w:t xml:space="preserve">Llama-3.1 8B</w:t>
            </w:r>
          </w:p>
        </w:tc>
        <w:tc>
          <w:tcPr>
            <w:tcW w:w="560" w:type="dxa"/>
          </w:tcPr>
          <w:p>
            <w:pPr>
              <w:pStyle w:val="Compact"/>
              <w:spacing w:before="30" w:after="30"/>
            </w:pPr>
            <w:r>
              <w:rPr>
                <w:sz w:val="16"/>
              </w:rPr>
              <w:t xml:space="preserve">0.62</w:t>
            </w:r>
          </w:p>
        </w:tc>
        <w:tc>
          <w:tcPr>
            <w:tcW w:w="560" w:type="dxa"/>
          </w:tcPr>
          <w:p>
            <w:pPr>
              <w:pStyle w:val="Compact"/>
              <w:spacing w:before="30" w:after="30"/>
            </w:pPr>
            <w:r>
              <w:rPr>
                <w:sz w:val="16"/>
              </w:rPr>
              <w:t xml:space="preserve">0.55</w:t>
            </w:r>
          </w:p>
        </w:tc>
        <w:tc>
          <w:tcPr>
            <w:tcW w:w="600" w:type="dxa"/>
          </w:tcPr>
          <w:p>
            <w:pPr>
              <w:pStyle w:val="Compact"/>
              <w:spacing w:before="30" w:after="30"/>
            </w:pPr>
            <w:r>
              <w:rPr>
                <w:sz w:val="16"/>
              </w:rPr>
              <w:t xml:space="preserve">0.90</w:t>
            </w:r>
          </w:p>
        </w:tc>
        <w:tc>
          <w:tcPr>
            <w:tcW w:w="700" w:type="dxa"/>
          </w:tcPr>
          <w:p>
            <w:pPr>
              <w:pStyle w:val="Compact"/>
              <w:spacing w:before="30" w:after="30"/>
            </w:pPr>
            <w:r>
              <w:rPr>
                <w:sz w:val="16"/>
              </w:rPr>
              <w:t xml:space="preserve">0.57</w:t>
            </w:r>
          </w:p>
        </w:tc>
        <w:tc>
          <w:tcPr>
            <w:tcW w:w="1380" w:type="dxa"/>
          </w:tcPr>
          <w:p>
            <w:pPr>
              <w:pStyle w:val="Compact"/>
              <w:spacing w:before="30" w:after="30"/>
            </w:pPr>
            <w:r>
              <w:rPr>
                <w:sz w:val="16"/>
              </w:rPr>
              <w:t xml:space="preserve">0.14 [0.10, 0.17]</w:t>
            </w:r>
          </w:p>
        </w:tc>
        <w:tc>
          <w:tcPr>
            <w:tcW w:w="1380" w:type="dxa"/>
          </w:tcPr>
          <w:p>
            <w:pPr>
              <w:pStyle w:val="Compact"/>
              <w:spacing w:before="30" w:after="30"/>
            </w:pPr>
            <w:r>
              <w:rPr>
                <w:sz w:val="16"/>
              </w:rPr>
              <w:t xml:space="preserve">0.01 [-0.08, 0.10]</w:t>
            </w:r>
          </w:p>
        </w:tc>
        <w:tc>
          <w:tcPr>
            <w:tcW w:w="1480" w:type="dxa"/>
          </w:tcPr>
          <w:p>
            <w:pPr>
              <w:pStyle w:val="Compact"/>
              <w:spacing w:before="30" w:after="30"/>
            </w:pPr>
            <w:r>
              <w:rPr>
                <w:sz w:val="16"/>
              </w:rPr>
              <w:t xml:space="preserve">-0.05 [-0.14, 0.04]</w:t>
            </w:r>
          </w:p>
        </w:tc>
        <w:tc>
          <w:tcPr>
            <w:tcW w:w="1450" w:type="dxa"/>
          </w:tcPr>
          <w:p>
            <w:pPr>
              <w:pStyle w:val="Compact"/>
              <w:spacing w:before="30" w:after="30"/>
            </w:pPr>
            <w:r>
              <w:rPr>
                <w:sz w:val="16"/>
              </w:rPr>
              <w:t xml:space="preserve">mixed</w:t>
            </w:r>
          </w:p>
        </w:tc>
      </w:tr>
      <w:tr>
        <w:trPr>
          <w:cantSplit/>
        </w:trPr>
        <w:tc>
          <w:tcPr>
            <w:tcW w:w="1250" w:type="dxa"/>
          </w:tcPr>
          <w:p>
            <w:pPr>
              <w:pStyle w:val="Compact"/>
              <w:spacing w:before="30" w:after="30"/>
            </w:pPr>
            <w:r>
              <w:rPr>
                <w:b/>
                <w:bCs/>
                <w:sz w:val="16"/>
              </w:rPr>
              <w:t xml:space="preserve">Llama-3.1 70B</w:t>
            </w:r>
          </w:p>
        </w:tc>
        <w:tc>
          <w:tcPr>
            <w:tcW w:w="560" w:type="dxa"/>
          </w:tcPr>
          <w:p>
            <w:pPr>
              <w:pStyle w:val="Compact"/>
              <w:spacing w:before="30" w:after="30"/>
            </w:pPr>
            <w:r>
              <w:rPr>
                <w:sz w:val="16"/>
              </w:rPr>
              <w:t xml:space="preserve">0.74</w:t>
            </w:r>
          </w:p>
        </w:tc>
        <w:tc>
          <w:tcPr>
            <w:tcW w:w="560" w:type="dxa"/>
          </w:tcPr>
          <w:p>
            <w:pPr>
              <w:pStyle w:val="Compact"/>
              <w:spacing w:before="30" w:after="30"/>
            </w:pPr>
            <w:r>
              <w:rPr>
                <w:sz w:val="16"/>
              </w:rPr>
              <w:t xml:space="preserve">0.49</w:t>
            </w:r>
          </w:p>
        </w:tc>
        <w:tc>
          <w:tcPr>
            <w:tcW w:w="600" w:type="dxa"/>
          </w:tcPr>
          <w:p>
            <w:pPr>
              <w:pStyle w:val="Compact"/>
              <w:spacing w:before="30" w:after="30"/>
            </w:pPr>
            <w:r>
              <w:rPr>
                <w:sz w:val="16"/>
              </w:rPr>
              <w:t xml:space="preserve">0.75</w:t>
            </w:r>
          </w:p>
        </w:tc>
        <w:tc>
          <w:tcPr>
            <w:tcW w:w="700" w:type="dxa"/>
          </w:tcPr>
          <w:p>
            <w:pPr>
              <w:pStyle w:val="Compact"/>
              <w:spacing w:before="30" w:after="30"/>
            </w:pPr>
            <w:r>
              <w:rPr>
                <w:sz w:val="16"/>
              </w:rPr>
              <w:t xml:space="preserve">0.62</w:t>
            </w:r>
          </w:p>
        </w:tc>
        <w:tc>
          <w:tcPr>
            <w:tcW w:w="1380" w:type="dxa"/>
          </w:tcPr>
          <w:p>
            <w:pPr>
              <w:pStyle w:val="Compact"/>
              <w:spacing w:before="30" w:after="30"/>
            </w:pPr>
            <w:r>
              <w:rPr>
                <w:sz w:val="16"/>
              </w:rPr>
              <w:t xml:space="preserve">0.01 [-0.03, 0.04]</w:t>
            </w:r>
          </w:p>
        </w:tc>
        <w:tc>
          <w:tcPr>
            <w:tcW w:w="1380" w:type="dxa"/>
          </w:tcPr>
          <w:p>
            <w:pPr>
              <w:pStyle w:val="Compact"/>
              <w:spacing w:before="30" w:after="30"/>
            </w:pPr>
            <w:r>
              <w:rPr>
                <w:sz w:val="16"/>
              </w:rPr>
              <w:t xml:space="preserve">0.07 [-0.00, 0.14]</w:t>
            </w:r>
          </w:p>
        </w:tc>
        <w:tc>
          <w:tcPr>
            <w:tcW w:w="1480" w:type="dxa"/>
          </w:tcPr>
          <w:p>
            <w:pPr>
              <w:pStyle w:val="Compact"/>
              <w:spacing w:before="30" w:after="30"/>
            </w:pPr>
            <w:r>
              <w:rPr>
                <w:sz w:val="16"/>
              </w:rPr>
              <w:t xml:space="preserve">-0.12 [-0.19, -0.05]</w:t>
            </w:r>
          </w:p>
        </w:tc>
        <w:tc>
          <w:tcPr>
            <w:tcW w:w="1450" w:type="dxa"/>
          </w:tcPr>
          <w:p>
            <w:pPr>
              <w:pStyle w:val="Compact"/>
              <w:spacing w:before="30" w:after="30"/>
            </w:pPr>
            <w:r>
              <w:rPr>
                <w:sz w:val="16"/>
              </w:rPr>
              <w:t xml:space="preserve">mixed</w:t>
            </w:r>
          </w:p>
        </w:tc>
      </w:tr>
      <w:tr>
        <w:trPr>
          <w:cantSplit/>
        </w:trPr>
        <w:tc>
          <w:tcPr>
            <w:tcW w:w="1250" w:type="dxa"/>
          </w:tcPr>
          <w:p>
            <w:pPr>
              <w:pStyle w:val="Compact"/>
              <w:spacing w:before="30" w:after="30"/>
            </w:pPr>
            <w:r>
              <w:rPr>
                <w:b/>
                <w:bCs/>
                <w:sz w:val="16"/>
              </w:rPr>
              <w:t xml:space="preserve">Ministral 3B</w:t>
            </w:r>
          </w:p>
        </w:tc>
        <w:tc>
          <w:tcPr>
            <w:tcW w:w="560" w:type="dxa"/>
          </w:tcPr>
          <w:p>
            <w:pPr>
              <w:pStyle w:val="Compact"/>
              <w:spacing w:before="30" w:after="30"/>
            </w:pPr>
            <w:r>
              <w:rPr>
                <w:sz w:val="16"/>
              </w:rPr>
              <w:t xml:space="preserve">0.22</w:t>
            </w:r>
          </w:p>
        </w:tc>
        <w:tc>
          <w:tcPr>
            <w:tcW w:w="560" w:type="dxa"/>
          </w:tcPr>
          <w:p>
            <w:pPr>
              <w:pStyle w:val="Compact"/>
              <w:spacing w:before="30" w:after="30"/>
            </w:pPr>
            <w:r>
              <w:rPr>
                <w:sz w:val="16"/>
              </w:rPr>
              <w:t xml:space="preserve">0.21</w:t>
            </w:r>
          </w:p>
        </w:tc>
        <w:tc>
          <w:tcPr>
            <w:tcW w:w="600" w:type="dxa"/>
          </w:tcPr>
          <w:p>
            <w:pPr>
              <w:pStyle w:val="Compact"/>
              <w:spacing w:before="30" w:after="30"/>
            </w:pPr>
            <w:r>
              <w:rPr>
                <w:sz w:val="16"/>
              </w:rPr>
              <w:t xml:space="preserve">0.64</w:t>
            </w:r>
          </w:p>
        </w:tc>
        <w:tc>
          <w:tcPr>
            <w:tcW w:w="700" w:type="dxa"/>
          </w:tcPr>
          <w:p>
            <w:pPr>
              <w:pStyle w:val="Compact"/>
              <w:spacing w:before="30" w:after="30"/>
            </w:pPr>
            <w:r>
              <w:rPr>
                <w:sz w:val="16"/>
              </w:rPr>
              <w:t xml:space="preserve">0.15</w:t>
            </w:r>
          </w:p>
        </w:tc>
        <w:tc>
          <w:tcPr>
            <w:tcW w:w="1380" w:type="dxa"/>
          </w:tcPr>
          <w:p>
            <w:pPr>
              <w:pStyle w:val="Compact"/>
              <w:spacing w:before="30" w:after="30"/>
            </w:pPr>
            <w:r>
              <w:rPr>
                <w:sz w:val="16"/>
              </w:rPr>
              <w:t xml:space="preserve">0.21 [0.17, 0.25]</w:t>
            </w:r>
          </w:p>
        </w:tc>
        <w:tc>
          <w:tcPr>
            <w:tcW w:w="1380" w:type="dxa"/>
          </w:tcPr>
          <w:p>
            <w:pPr>
              <w:pStyle w:val="Compact"/>
              <w:spacing w:before="30" w:after="30"/>
            </w:pPr>
            <w:r>
              <w:rPr>
                <w:sz w:val="16"/>
              </w:rPr>
              <w:t xml:space="preserve">0.07 [0.01, 0.13]</w:t>
            </w:r>
          </w:p>
        </w:tc>
        <w:tc>
          <w:tcPr>
            <w:tcW w:w="1480" w:type="dxa"/>
          </w:tcPr>
          <w:p>
            <w:pPr>
              <w:pStyle w:val="Compact"/>
              <w:spacing w:before="30" w:after="30"/>
            </w:pPr>
            <w:r>
              <w:rPr>
                <w:sz w:val="16"/>
              </w:rPr>
              <w:t xml:space="preserve">-0.08 [-0.13, -0.02]</w:t>
            </w:r>
          </w:p>
        </w:tc>
        <w:tc>
          <w:tcPr>
            <w:tcW w:w="1450" w:type="dxa"/>
          </w:tcPr>
          <w:p>
            <w:pPr>
              <w:pStyle w:val="Compact"/>
              <w:spacing w:before="30" w:after="30"/>
            </w:pPr>
            <w:r>
              <w:rPr>
                <w:sz w:val="16"/>
              </w:rPr>
              <w:t xml:space="preserve">evidence-weighing</w:t>
            </w:r>
          </w:p>
        </w:tc>
      </w:tr>
      <w:tr>
        <w:trPr>
          <w:cantSplit/>
        </w:trPr>
        <w:tc>
          <w:tcPr>
            <w:tcW w:w="1250" w:type="dxa"/>
          </w:tcPr>
          <w:p>
            <w:pPr>
              <w:pStyle w:val="Compact"/>
              <w:spacing w:before="30" w:after="30"/>
            </w:pPr>
            <w:r>
              <w:rPr>
                <w:b/>
                <w:bCs/>
                <w:sz w:val="16"/>
              </w:rPr>
              <w:t xml:space="preserve">Ministral 8B</w:t>
            </w:r>
          </w:p>
        </w:tc>
        <w:tc>
          <w:tcPr>
            <w:tcW w:w="560" w:type="dxa"/>
          </w:tcPr>
          <w:p>
            <w:pPr>
              <w:pStyle w:val="Compact"/>
              <w:spacing w:before="30" w:after="30"/>
            </w:pPr>
            <w:r>
              <w:rPr>
                <w:sz w:val="16"/>
              </w:rPr>
              <w:t xml:space="preserve">0.40</w:t>
            </w:r>
          </w:p>
        </w:tc>
        <w:tc>
          <w:tcPr>
            <w:tcW w:w="560" w:type="dxa"/>
          </w:tcPr>
          <w:p>
            <w:pPr>
              <w:pStyle w:val="Compact"/>
              <w:spacing w:before="30" w:after="30"/>
            </w:pPr>
            <w:r>
              <w:rPr>
                <w:sz w:val="16"/>
              </w:rPr>
              <w:t xml:space="preserve">0.66</w:t>
            </w:r>
          </w:p>
        </w:tc>
        <w:tc>
          <w:tcPr>
            <w:tcW w:w="600" w:type="dxa"/>
          </w:tcPr>
          <w:p>
            <w:pPr>
              <w:pStyle w:val="Compact"/>
              <w:spacing w:before="30" w:after="30"/>
            </w:pPr>
            <w:r>
              <w:rPr>
                <w:sz w:val="16"/>
              </w:rPr>
              <w:t xml:space="preserve">0.91</w:t>
            </w:r>
          </w:p>
        </w:tc>
        <w:tc>
          <w:tcPr>
            <w:tcW w:w="700" w:type="dxa"/>
          </w:tcPr>
          <w:p>
            <w:pPr>
              <w:pStyle w:val="Compact"/>
              <w:spacing w:before="30" w:after="30"/>
            </w:pPr>
            <w:r>
              <w:rPr>
                <w:sz w:val="16"/>
              </w:rPr>
              <w:t xml:space="preserve">0.26</w:t>
            </w:r>
          </w:p>
        </w:tc>
        <w:tc>
          <w:tcPr>
            <w:tcW w:w="1380" w:type="dxa"/>
          </w:tcPr>
          <w:p>
            <w:pPr>
              <w:pStyle w:val="Compact"/>
              <w:spacing w:before="30" w:after="30"/>
            </w:pPr>
            <w:r>
              <w:rPr>
                <w:sz w:val="16"/>
              </w:rPr>
              <w:t xml:space="preserve">0.26 [0.22, 0.29]</w:t>
            </w:r>
          </w:p>
        </w:tc>
        <w:tc>
          <w:tcPr>
            <w:tcW w:w="1380" w:type="dxa"/>
          </w:tcPr>
          <w:p>
            <w:pPr>
              <w:pStyle w:val="Compact"/>
              <w:spacing w:before="30" w:after="30"/>
            </w:pPr>
            <w:r>
              <w:rPr>
                <w:sz w:val="16"/>
              </w:rPr>
              <w:t xml:space="preserve">0.22 [0.16, 0.29]</w:t>
            </w:r>
          </w:p>
        </w:tc>
        <w:tc>
          <w:tcPr>
            <w:tcW w:w="1480" w:type="dxa"/>
          </w:tcPr>
          <w:p>
            <w:pPr>
              <w:pStyle w:val="Compact"/>
              <w:spacing w:before="30" w:after="30"/>
            </w:pPr>
            <w:r>
              <w:rPr>
                <w:sz w:val="16"/>
              </w:rPr>
              <w:t xml:space="preserve">-0.14 [-0.20, -0.08]</w:t>
            </w:r>
          </w:p>
        </w:tc>
        <w:tc>
          <w:tcPr>
            <w:tcW w:w="1450" w:type="dxa"/>
          </w:tcPr>
          <w:p>
            <w:pPr>
              <w:pStyle w:val="Compact"/>
              <w:spacing w:before="30" w:after="30"/>
            </w:pPr>
            <w:r>
              <w:rPr>
                <w:sz w:val="16"/>
              </w:rPr>
              <w:t xml:space="preserve">evidence-weighing</w:t>
            </w:r>
          </w:p>
        </w:tc>
      </w:tr>
      <w:tr>
        <w:trPr>
          <w:cantSplit/>
        </w:trPr>
        <w:tc>
          <w:tcPr>
            <w:tcW w:w="1250" w:type="dxa"/>
          </w:tcPr>
          <w:p>
            <w:pPr>
              <w:pStyle w:val="Compact"/>
              <w:spacing w:before="30" w:after="30"/>
            </w:pPr>
            <w:r>
              <w:rPr>
                <w:b/>
                <w:bCs/>
                <w:sz w:val="16"/>
              </w:rPr>
              <w:t xml:space="preserve">Ministral 14B</w:t>
            </w:r>
          </w:p>
        </w:tc>
        <w:tc>
          <w:tcPr>
            <w:tcW w:w="560" w:type="dxa"/>
          </w:tcPr>
          <w:p>
            <w:pPr>
              <w:pStyle w:val="Compact"/>
              <w:spacing w:before="30" w:after="30"/>
            </w:pPr>
            <w:r>
              <w:rPr>
                <w:sz w:val="16"/>
              </w:rPr>
              <w:t xml:space="preserve">0.51</w:t>
            </w:r>
          </w:p>
        </w:tc>
        <w:tc>
          <w:tcPr>
            <w:tcW w:w="560" w:type="dxa"/>
          </w:tcPr>
          <w:p>
            <w:pPr>
              <w:pStyle w:val="Compact"/>
              <w:spacing w:before="30" w:after="30"/>
            </w:pPr>
            <w:r>
              <w:rPr>
                <w:sz w:val="16"/>
              </w:rPr>
              <w:t xml:space="preserve">0.51</w:t>
            </w:r>
          </w:p>
        </w:tc>
        <w:tc>
          <w:tcPr>
            <w:tcW w:w="600" w:type="dxa"/>
          </w:tcPr>
          <w:p>
            <w:pPr>
              <w:pStyle w:val="Compact"/>
              <w:spacing w:before="30" w:after="30"/>
            </w:pPr>
            <w:r>
              <w:rPr>
                <w:sz w:val="16"/>
              </w:rPr>
              <w:t xml:space="preserve">0.86</w:t>
            </w:r>
          </w:p>
        </w:tc>
        <w:tc>
          <w:tcPr>
            <w:tcW w:w="700" w:type="dxa"/>
          </w:tcPr>
          <w:p>
            <w:pPr>
              <w:pStyle w:val="Compact"/>
              <w:spacing w:before="30" w:after="30"/>
            </w:pPr>
            <w:r>
              <w:rPr>
                <w:sz w:val="16"/>
              </w:rPr>
              <w:t xml:space="preserve">0.41</w:t>
            </w:r>
          </w:p>
        </w:tc>
        <w:tc>
          <w:tcPr>
            <w:tcW w:w="1380" w:type="dxa"/>
          </w:tcPr>
          <w:p>
            <w:pPr>
              <w:pStyle w:val="Compact"/>
              <w:spacing w:before="30" w:after="30"/>
            </w:pPr>
            <w:r>
              <w:rPr>
                <w:sz w:val="16"/>
              </w:rPr>
              <w:t xml:space="preserve">0.17 [0.15, 0.20]</w:t>
            </w:r>
          </w:p>
        </w:tc>
        <w:tc>
          <w:tcPr>
            <w:tcW w:w="1380" w:type="dxa"/>
          </w:tcPr>
          <w:p>
            <w:pPr>
              <w:pStyle w:val="Compact"/>
              <w:spacing w:before="30" w:after="30"/>
            </w:pPr>
            <w:r>
              <w:rPr>
                <w:sz w:val="16"/>
              </w:rPr>
              <w:t xml:space="preserve">0.08 [0.03, 0.13]</w:t>
            </w:r>
          </w:p>
        </w:tc>
        <w:tc>
          <w:tcPr>
            <w:tcW w:w="1480" w:type="dxa"/>
          </w:tcPr>
          <w:p>
            <w:pPr>
              <w:pStyle w:val="Compact"/>
              <w:spacing w:before="30" w:after="30"/>
            </w:pPr>
            <w:r>
              <w:rPr>
                <w:sz w:val="16"/>
              </w:rPr>
              <w:t xml:space="preserve">-0.10 [-0.15, -0.05]</w:t>
            </w:r>
          </w:p>
        </w:tc>
        <w:tc>
          <w:tcPr>
            <w:tcW w:w="1450" w:type="dxa"/>
          </w:tcPr>
          <w:p>
            <w:pPr>
              <w:pStyle w:val="Compact"/>
              <w:spacing w:before="30" w:after="30"/>
            </w:pPr>
            <w:r>
              <w:rPr>
                <w:sz w:val="16"/>
              </w:rPr>
              <w:t xml:space="preserve">evidence-weighing</w:t>
            </w:r>
          </w:p>
        </w:tc>
      </w:tr>
      <w:tr>
        <w:trPr>
          <w:cantSplit/>
        </w:trPr>
        <w:tc>
          <w:tcPr>
            <w:tcW w:w="1250" w:type="dxa"/>
          </w:tcPr>
          <w:p>
            <w:pPr>
              <w:pStyle w:val="Compact"/>
              <w:spacing w:before="30" w:after="30"/>
            </w:pPr>
            <w:r>
              <w:rPr>
                <w:b/>
                <w:bCs/>
                <w:sz w:val="16"/>
              </w:rPr>
              <w:t xml:space="preserve">Qwen2.5 7B</w:t>
            </w:r>
          </w:p>
        </w:tc>
        <w:tc>
          <w:tcPr>
            <w:tcW w:w="560" w:type="dxa"/>
          </w:tcPr>
          <w:p>
            <w:pPr>
              <w:pStyle w:val="Compact"/>
              <w:spacing w:before="30" w:after="30"/>
            </w:pPr>
            <w:r>
              <w:rPr>
                <w:sz w:val="16"/>
              </w:rPr>
              <w:t xml:space="preserve">0.73</w:t>
            </w:r>
          </w:p>
        </w:tc>
        <w:tc>
          <w:tcPr>
            <w:tcW w:w="560" w:type="dxa"/>
          </w:tcPr>
          <w:p>
            <w:pPr>
              <w:pStyle w:val="Compact"/>
              <w:spacing w:before="30" w:after="30"/>
            </w:pPr>
            <w:r>
              <w:rPr>
                <w:sz w:val="16"/>
              </w:rPr>
              <w:t xml:space="preserve">0.74</w:t>
            </w:r>
          </w:p>
        </w:tc>
        <w:tc>
          <w:tcPr>
            <w:tcW w:w="600" w:type="dxa"/>
          </w:tcPr>
          <w:p>
            <w:pPr>
              <w:pStyle w:val="Compact"/>
              <w:spacing w:before="30" w:after="30"/>
            </w:pPr>
            <w:r>
              <w:rPr>
                <w:sz w:val="16"/>
              </w:rPr>
              <w:t xml:space="preserve">0.77</w:t>
            </w:r>
          </w:p>
        </w:tc>
        <w:tc>
          <w:tcPr>
            <w:tcW w:w="700" w:type="dxa"/>
          </w:tcPr>
          <w:p>
            <w:pPr>
              <w:pStyle w:val="Compact"/>
              <w:spacing w:before="30" w:after="30"/>
            </w:pPr>
            <w:r>
              <w:rPr>
                <w:sz w:val="16"/>
              </w:rPr>
              <w:t xml:space="preserve">0.66</w:t>
            </w:r>
          </w:p>
        </w:tc>
        <w:tc>
          <w:tcPr>
            <w:tcW w:w="1380" w:type="dxa"/>
          </w:tcPr>
          <w:p>
            <w:pPr>
              <w:pStyle w:val="Compact"/>
              <w:spacing w:before="30" w:after="30"/>
            </w:pPr>
            <w:r>
              <w:rPr>
                <w:sz w:val="16"/>
              </w:rPr>
              <w:t xml:space="preserve">0.02 [0.01, 0.04]</w:t>
            </w:r>
          </w:p>
        </w:tc>
        <w:tc>
          <w:tcPr>
            <w:tcW w:w="1380" w:type="dxa"/>
          </w:tcPr>
          <w:p>
            <w:pPr>
              <w:pStyle w:val="Compact"/>
              <w:spacing w:before="30" w:after="30"/>
            </w:pPr>
            <w:r>
              <w:rPr>
                <w:sz w:val="16"/>
              </w:rPr>
              <w:t xml:space="preserve">0.01 [-0.01, 0.03]</w:t>
            </w:r>
          </w:p>
        </w:tc>
        <w:tc>
          <w:tcPr>
            <w:tcW w:w="1480" w:type="dxa"/>
          </w:tcPr>
          <w:p>
            <w:pPr>
              <w:pStyle w:val="Compact"/>
              <w:spacing w:before="30" w:after="30"/>
            </w:pPr>
            <w:r>
              <w:rPr>
                <w:sz w:val="16"/>
              </w:rPr>
              <w:t xml:space="preserve">-0.08 [-0.12, -0.03]</w:t>
            </w:r>
          </w:p>
        </w:tc>
        <w:tc>
          <w:tcPr>
            <w:tcW w:w="1450" w:type="dxa"/>
          </w:tcPr>
          <w:p>
            <w:pPr>
              <w:pStyle w:val="Compact"/>
              <w:spacing w:before="30" w:after="30"/>
            </w:pPr>
            <w:r>
              <w:rPr>
                <w:sz w:val="16"/>
              </w:rPr>
              <w:t xml:space="preserve">mixed</w:t>
            </w:r>
          </w:p>
        </w:tc>
      </w:tr>
      <w:tr>
        <w:trPr>
          <w:cantSplit/>
        </w:trPr>
        <w:tc>
          <w:tcPr>
            <w:tcW w:w="1250" w:type="dxa"/>
            <w:tcBorders>
              <w:bottom w:val="single" w:sz="8" w:space="0" w:color="000000"/>
            </w:tcBorders>
          </w:tcPr>
          <w:p>
            <w:pPr>
              <w:pStyle w:val="Compact"/>
              <w:spacing w:before="30" w:after="30"/>
            </w:pPr>
            <w:r>
              <w:rPr>
                <w:b/>
                <w:bCs/>
                <w:sz w:val="16"/>
              </w:rPr>
              <w:t xml:space="preserve">Qwen2.5 72B</w:t>
            </w:r>
          </w:p>
        </w:tc>
        <w:tc>
          <w:tcPr>
            <w:tcW w:w="560" w:type="dxa"/>
            <w:tcBorders>
              <w:bottom w:val="single" w:sz="8" w:space="0" w:color="000000"/>
            </w:tcBorders>
          </w:tcPr>
          <w:p>
            <w:pPr>
              <w:pStyle w:val="Compact"/>
              <w:spacing w:before="30" w:after="30"/>
            </w:pPr>
            <w:r>
              <w:rPr>
                <w:sz w:val="16"/>
              </w:rPr>
              <w:t xml:space="preserve">0.65</w:t>
            </w:r>
          </w:p>
        </w:tc>
        <w:tc>
          <w:tcPr>
            <w:tcW w:w="560" w:type="dxa"/>
            <w:tcBorders>
              <w:bottom w:val="single" w:sz="8" w:space="0" w:color="000000"/>
            </w:tcBorders>
          </w:tcPr>
          <w:p>
            <w:pPr>
              <w:pStyle w:val="Compact"/>
              <w:spacing w:before="30" w:after="30"/>
            </w:pPr>
            <w:r>
              <w:rPr>
                <w:sz w:val="16"/>
              </w:rPr>
              <w:t xml:space="preserve">0.66</w:t>
            </w:r>
          </w:p>
        </w:tc>
        <w:tc>
          <w:tcPr>
            <w:tcW w:w="600" w:type="dxa"/>
            <w:tcBorders>
              <w:bottom w:val="single" w:sz="8" w:space="0" w:color="000000"/>
            </w:tcBorders>
          </w:tcPr>
          <w:p>
            <w:pPr>
              <w:pStyle w:val="Compact"/>
              <w:spacing w:before="30" w:after="30"/>
            </w:pPr>
            <w:r>
              <w:rPr>
                <w:sz w:val="16"/>
              </w:rPr>
              <w:t xml:space="preserve">0.79</w:t>
            </w:r>
          </w:p>
        </w:tc>
        <w:tc>
          <w:tcPr>
            <w:tcW w:w="700" w:type="dxa"/>
            <w:tcBorders>
              <w:bottom w:val="single" w:sz="8" w:space="0" w:color="000000"/>
            </w:tcBorders>
          </w:tcPr>
          <w:p>
            <w:pPr>
              <w:pStyle w:val="Compact"/>
              <w:spacing w:before="30" w:after="30"/>
            </w:pPr>
            <w:r>
              <w:rPr>
                <w:sz w:val="16"/>
              </w:rPr>
              <w:t xml:space="preserve">0.49</w:t>
            </w:r>
          </w:p>
        </w:tc>
        <w:tc>
          <w:tcPr>
            <w:tcW w:w="1380" w:type="dxa"/>
            <w:tcBorders>
              <w:bottom w:val="single" w:sz="8" w:space="0" w:color="000000"/>
            </w:tcBorders>
          </w:tcPr>
          <w:p>
            <w:pPr>
              <w:pStyle w:val="Compact"/>
              <w:spacing w:before="30" w:after="30"/>
            </w:pPr>
            <w:r>
              <w:rPr>
                <w:sz w:val="16"/>
              </w:rPr>
              <w:t xml:space="preserve">0.07 [0.05, 0.09]</w:t>
            </w:r>
          </w:p>
        </w:tc>
        <w:tc>
          <w:tcPr>
            <w:tcW w:w="1380" w:type="dxa"/>
            <w:tcBorders>
              <w:bottom w:val="single" w:sz="8" w:space="0" w:color="000000"/>
            </w:tcBorders>
          </w:tcPr>
          <w:p>
            <w:pPr>
              <w:pStyle w:val="Compact"/>
              <w:spacing w:before="30" w:after="30"/>
            </w:pPr>
            <w:r>
              <w:rPr>
                <w:sz w:val="16"/>
              </w:rPr>
              <w:t xml:space="preserve">0.09 [0.06, 0.13]</w:t>
            </w:r>
          </w:p>
        </w:tc>
        <w:tc>
          <w:tcPr>
            <w:tcW w:w="1480" w:type="dxa"/>
            <w:tcBorders>
              <w:bottom w:val="single" w:sz="8" w:space="0" w:color="000000"/>
            </w:tcBorders>
          </w:tcPr>
          <w:p>
            <w:pPr>
              <w:pStyle w:val="Compact"/>
              <w:spacing w:before="30" w:after="30"/>
            </w:pPr>
            <w:r>
              <w:rPr>
                <w:sz w:val="16"/>
              </w:rPr>
              <w:t xml:space="preserve">-0.17 [-0.21, -0.12]</w:t>
            </w:r>
          </w:p>
        </w:tc>
        <w:tc>
          <w:tcPr>
            <w:tcW w:w="1450" w:type="dxa"/>
            <w:tcBorders>
              <w:bottom w:val="single" w:sz="8" w:space="0" w:color="000000"/>
            </w:tcBorders>
          </w:tcPr>
          <w:p>
            <w:pPr>
              <w:pStyle w:val="Compact"/>
              <w:spacing w:before="30" w:after="30"/>
            </w:pPr>
            <w:r>
              <w:rPr>
                <w:sz w:val="16"/>
              </w:rPr>
              <w:t xml:space="preserve">evidence-weighing</w:t>
            </w:r>
          </w:p>
        </w:tc>
      </w:tr>
    </w:tbl>
    <w:p>
      <w:pPr>
        <w:pStyle w:val="BodyText"/>
        <w:spacing w:before="60"/>
      </w:pPr>
      <w:r>
        <w:rPr>
          <w:sz w:val="18"/>
        </w:rPr>
        <w:t xml:space="preserve">f(·) and f disc.: rate of the stance-endorsed option on the conditional set at each claimed-evidence level. Evidence slope: change in f per level across pref, weak and strong. Accuracy slope: f(80%) − f(20%). Disclaimer effect: f(disclaimer) − f(pref). † f(e) = 0 at every level, so the stance has no effect; the rule's deference label applies only mechanically and is not read as deference.</w:t>
      </w:r>
    </w:p>
    <w:p>
      <w:pPr>
        <w:pStyle w:val="BodyText"/>
      </w:pPr>
      <w:r>
        <w:t xml:space="preserve">By the fixed rule, 6 models are evidence-weighing-consistent (Haiku 4.5, Gemma-3 27B, Ministral 3B, Ministral 8B, Ministral 14B and Qwen2.5 72B), 6 are mixed or unclassified (Sonnet 5.5, Gemma-3 4B, Gemma-3 12B, Llama-3.1 8B, Llama-3.1 70B and Qwen2.5 7B), and no model with a nonzero stance effect is deference-consistent. Opus 5.5 and Fable 5.1 meet the deference rule only because f(e) is zero at every level; we do not read them as deferential. The disclaimer lowers f for 11 of the 12 models that follow the stance at all (by 0.02 to 0.22), the evidence slope is positive for 10, and the disclosed-accuracy slope is positive for 6. The gradients are, however, small relative to the level wherever the stance is followed most. Gemma-3 12B follows it on 0.97 to 1.00 of stems at every level including the disclaimer, and at a disclosed accuracy of 20% the ten open-weight models still follow a stance against the evidence on 0.19 to 0.98 of stems. The strongest responses to claimed evidence come from the Ministral models, where f rises from 0.22 to 0.64 (3B), 0.40 to 0.91 (8B) and 0.51 to 0.86 (14B) when the stance cites two reviewers. The classification is reported only where the intervals support it; the gradient identifies how the answer responds to claimed evidence, not the model's reason.</w:t>
      </w:r>
    </w:p>
    <w:p>
      <w:pPr>
        <w:pStyle w:val="Heading3"/>
      </w:pPr>
      <w:r>
        <w:t xml:space="preserve">6.3 Scale within families</w:t>
      </w:r>
    </w:p>
    <w:p>
      <w:pPr>
        <w:pStyle w:val="TableCaption"/>
        <w:keepNext/>
      </w:pPr>
      <w:r>
        <w:rPr>
          <w:b/>
          <w:bCs/>
        </w:rPr>
        <w:t xml:space="preserve">Table 4. </w:t>
      </w:r>
      <w:r>
        <w:t xml:space="preserve">Largest minus smallest model within each family</w:t>
      </w:r>
    </w:p>
    <w:tbl>
      <w:tblPr>
        <w:tblW w:w="9360" w:type="dxa"/>
        <w:tblLayout w:type="fixed"/>
        <w:tblCellMar>
          <w:left w:w="60" w:type="dxa"/>
          <w:right w:w="60" w:type="dxa"/>
        </w:tblCellMar>
      </w:tblPr>
      <w:tblGrid>
        <w:gridCol w:w="2800"/>
        <w:gridCol w:w="1650"/>
        <w:gridCol w:w="1650"/>
        <w:gridCol w:w="1650"/>
        <w:gridCol w:w="1610"/>
      </w:tblGrid>
      <w:tr>
        <w:trPr>
          <w:cantSplit/>
          <w:tblHeader/>
        </w:trPr>
        <w:tc>
          <w:tcPr>
            <w:tcW w:w="2800" w:type="dxa"/>
            <w:tcBorders>
              <w:top w:val="single" w:sz="8" w:space="0" w:color="000000"/>
              <w:bottom w:val="single" w:sz="4" w:space="0" w:color="000000"/>
            </w:tcBorders>
          </w:tcPr>
          <w:p>
            <w:pPr>
              <w:pStyle w:val="Compact"/>
              <w:spacing w:before="30" w:after="30"/>
            </w:pPr>
            <w:r>
              <w:rPr>
                <w:b/>
                <w:bCs/>
                <w:sz w:val="17"/>
              </w:rPr>
              <w:t xml:space="preserve">Family (large − small)</w:t>
            </w:r>
          </w:p>
        </w:tc>
        <w:tc>
          <w:tcPr>
            <w:tcW w:w="1650" w:type="dxa"/>
            <w:tcBorders>
              <w:top w:val="single" w:sz="8" w:space="0" w:color="000000"/>
              <w:bottom w:val="single" w:sz="4" w:space="0" w:color="000000"/>
            </w:tcBorders>
          </w:tcPr>
          <w:p>
            <w:pPr>
              <w:pStyle w:val="Compact"/>
              <w:spacing w:before="30" w:after="30"/>
            </w:pPr>
            <w:r>
              <w:rPr>
                <w:b/>
                <w:bCs/>
                <w:sz w:val="17"/>
              </w:rPr>
              <w:t xml:space="preserve">Δa</w:t>
            </w:r>
          </w:p>
        </w:tc>
        <w:tc>
          <w:tcPr>
            <w:tcW w:w="1650" w:type="dxa"/>
            <w:tcBorders>
              <w:top w:val="single" w:sz="8" w:space="0" w:color="000000"/>
              <w:bottom w:val="single" w:sz="4" w:space="0" w:color="000000"/>
            </w:tcBorders>
          </w:tcPr>
          <w:p>
            <w:pPr>
              <w:pStyle w:val="Compact"/>
              <w:spacing w:before="30" w:after="30"/>
            </w:pPr>
            <w:r>
              <w:rPr>
                <w:b/>
                <w:bCs/>
                <w:sz w:val="17"/>
              </w:rPr>
              <w:t xml:space="preserve">Δs*</w:t>
            </w:r>
          </w:p>
        </w:tc>
        <w:tc>
          <w:tcPr>
            <w:tcW w:w="1650" w:type="dxa"/>
            <w:tcBorders>
              <w:top w:val="single" w:sz="8" w:space="0" w:color="000000"/>
              <w:bottom w:val="single" w:sz="4" w:space="0" w:color="000000"/>
            </w:tcBorders>
          </w:tcPr>
          <w:p>
            <w:pPr>
              <w:pStyle w:val="Compact"/>
              <w:spacing w:before="30" w:after="30"/>
            </w:pPr>
            <w:r>
              <w:rPr>
                <w:b/>
                <w:bCs/>
                <w:sz w:val="17"/>
              </w:rPr>
              <w:t xml:space="preserve">Δν</w:t>
            </w:r>
          </w:p>
        </w:tc>
        <w:tc>
          <w:tcPr>
            <w:tcW w:w="1610" w:type="dxa"/>
            <w:tcBorders>
              <w:top w:val="single" w:sz="8" w:space="0" w:color="000000"/>
              <w:bottom w:val="single" w:sz="4" w:space="0" w:color="000000"/>
            </w:tcBorders>
          </w:tcPr>
          <w:p>
            <w:pPr>
              <w:pStyle w:val="Compact"/>
              <w:spacing w:before="30" w:after="30"/>
            </w:pPr>
            <w:r>
              <w:rPr>
                <w:b/>
                <w:bCs/>
                <w:sz w:val="17"/>
              </w:rPr>
              <w:t xml:space="preserve">Δ evidence slope</w:t>
            </w:r>
          </w:p>
        </w:tc>
      </w:tr>
      <w:tr>
        <w:trPr>
          <w:cantSplit/>
        </w:trPr>
        <w:tc>
          <w:tcPr>
            <w:tcW w:w="2800" w:type="dxa"/>
          </w:tcPr>
          <w:p>
            <w:pPr>
              <w:pStyle w:val="Compact"/>
              <w:spacing w:before="30" w:after="30"/>
            </w:pPr>
            <w:r>
              <w:rPr>
                <w:b/>
                <w:bCs/>
                <w:sz w:val="17"/>
              </w:rPr>
              <w:t xml:space="preserve">Claude (Fable 5.1 − Haiku 4.5)</w:t>
            </w:r>
          </w:p>
        </w:tc>
        <w:tc>
          <w:tcPr>
            <w:tcW w:w="1650" w:type="dxa"/>
          </w:tcPr>
          <w:p>
            <w:pPr>
              <w:pStyle w:val="Compact"/>
              <w:spacing w:before="30" w:after="30"/>
            </w:pPr>
            <w:r>
              <w:rPr>
                <w:sz w:val="17"/>
              </w:rPr>
              <w:t xml:space="preserve">+0.01 [+0.00, +0.01]</w:t>
            </w:r>
          </w:p>
        </w:tc>
        <w:tc>
          <w:tcPr>
            <w:tcW w:w="1650" w:type="dxa"/>
          </w:tcPr>
          <w:p>
            <w:pPr>
              <w:pStyle w:val="Compact"/>
              <w:spacing w:before="30" w:after="30"/>
            </w:pPr>
            <w:r>
              <w:rPr>
                <w:sz w:val="17"/>
              </w:rPr>
              <w:t xml:space="preserve">-0.10 [-0.13, -0.08]</w:t>
            </w:r>
          </w:p>
        </w:tc>
        <w:tc>
          <w:tcPr>
            <w:tcW w:w="1650" w:type="dxa"/>
          </w:tcPr>
          <w:p>
            <w:pPr>
              <w:pStyle w:val="Compact"/>
              <w:spacing w:before="30" w:after="30"/>
            </w:pPr>
            <w:r>
              <w:rPr>
                <w:sz w:val="17"/>
              </w:rPr>
              <w:t xml:space="preserve">-0.00 [-0.01, -0.00]</w:t>
            </w:r>
          </w:p>
        </w:tc>
        <w:tc>
          <w:tcPr>
            <w:tcW w:w="1610" w:type="dxa"/>
          </w:tcPr>
          <w:p>
            <w:pPr>
              <w:pStyle w:val="Compact"/>
              <w:spacing w:before="30" w:after="30"/>
            </w:pPr>
            <w:r>
              <w:rPr>
                <w:sz w:val="17"/>
              </w:rPr>
              <w:t xml:space="preserve">-0.09 [-0.11, -0.07]</w:t>
            </w:r>
          </w:p>
        </w:tc>
      </w:tr>
      <w:tr>
        <w:trPr>
          <w:cantSplit/>
        </w:trPr>
        <w:tc>
          <w:tcPr>
            <w:tcW w:w="2800" w:type="dxa"/>
          </w:tcPr>
          <w:p>
            <w:pPr>
              <w:pStyle w:val="Compact"/>
              <w:spacing w:before="30" w:after="30"/>
            </w:pPr>
            <w:r>
              <w:rPr>
                <w:b/>
                <w:bCs/>
                <w:sz w:val="17"/>
              </w:rPr>
              <w:t xml:space="preserve">Gemma (Gemma-3 27B − Gemma-3 4B)</w:t>
            </w:r>
          </w:p>
        </w:tc>
        <w:tc>
          <w:tcPr>
            <w:tcW w:w="1650" w:type="dxa"/>
          </w:tcPr>
          <w:p>
            <w:pPr>
              <w:pStyle w:val="Compact"/>
              <w:spacing w:before="30" w:after="30"/>
            </w:pPr>
            <w:r>
              <w:rPr>
                <w:sz w:val="17"/>
              </w:rPr>
              <w:t xml:space="preserve">+0.07 [+0.03, +0.12]</w:t>
            </w:r>
          </w:p>
        </w:tc>
        <w:tc>
          <w:tcPr>
            <w:tcW w:w="1650" w:type="dxa"/>
          </w:tcPr>
          <w:p>
            <w:pPr>
              <w:pStyle w:val="Compact"/>
              <w:spacing w:before="30" w:after="30"/>
            </w:pPr>
            <w:r>
              <w:rPr>
                <w:sz w:val="17"/>
              </w:rPr>
              <w:t xml:space="preserve">-0.06 [-0.13, +0.01]</w:t>
            </w:r>
          </w:p>
        </w:tc>
        <w:tc>
          <w:tcPr>
            <w:tcW w:w="1650" w:type="dxa"/>
          </w:tcPr>
          <w:p>
            <w:pPr>
              <w:pStyle w:val="Compact"/>
              <w:spacing w:before="30" w:after="30"/>
            </w:pPr>
            <w:r>
              <w:rPr>
                <w:sz w:val="17"/>
              </w:rPr>
              <w:t xml:space="preserve">+0.00 [-0.03, +0.03]</w:t>
            </w:r>
          </w:p>
        </w:tc>
        <w:tc>
          <w:tcPr>
            <w:tcW w:w="1610" w:type="dxa"/>
          </w:tcPr>
          <w:p>
            <w:pPr>
              <w:pStyle w:val="Compact"/>
              <w:spacing w:before="30" w:after="30"/>
            </w:pPr>
            <w:r>
              <w:rPr>
                <w:sz w:val="17"/>
              </w:rPr>
              <w:t xml:space="preserve">+0.02 [-0.01, +0.05]</w:t>
            </w:r>
          </w:p>
        </w:tc>
      </w:tr>
      <w:tr>
        <w:trPr>
          <w:cantSplit/>
        </w:trPr>
        <w:tc>
          <w:tcPr>
            <w:tcW w:w="2800" w:type="dxa"/>
          </w:tcPr>
          <w:p>
            <w:pPr>
              <w:pStyle w:val="Compact"/>
              <w:spacing w:before="30" w:after="30"/>
            </w:pPr>
            <w:r>
              <w:rPr>
                <w:b/>
                <w:bCs/>
                <w:sz w:val="17"/>
              </w:rPr>
              <w:t xml:space="preserve">Llama (Llama-3.1 70B − Llama-3.1 8B)</w:t>
            </w:r>
          </w:p>
        </w:tc>
        <w:tc>
          <w:tcPr>
            <w:tcW w:w="1650" w:type="dxa"/>
          </w:tcPr>
          <w:p>
            <w:pPr>
              <w:pStyle w:val="Compact"/>
              <w:spacing w:before="30" w:after="30"/>
            </w:pPr>
            <w:r>
              <w:rPr>
                <w:sz w:val="17"/>
              </w:rPr>
              <w:t xml:space="preserve">+0.06 [+0.03, +0.09]</w:t>
            </w:r>
          </w:p>
        </w:tc>
        <w:tc>
          <w:tcPr>
            <w:tcW w:w="1650" w:type="dxa"/>
          </w:tcPr>
          <w:p>
            <w:pPr>
              <w:pStyle w:val="Compact"/>
              <w:spacing w:before="30" w:after="30"/>
            </w:pPr>
            <w:r>
              <w:rPr>
                <w:sz w:val="17"/>
              </w:rPr>
              <w:t xml:space="preserve">+0.27 [+0.15, +0.39]</w:t>
            </w:r>
          </w:p>
        </w:tc>
        <w:tc>
          <w:tcPr>
            <w:tcW w:w="1650" w:type="dxa"/>
          </w:tcPr>
          <w:p>
            <w:pPr>
              <w:pStyle w:val="Compact"/>
              <w:spacing w:before="30" w:after="30"/>
            </w:pPr>
            <w:r>
              <w:rPr>
                <w:sz w:val="17"/>
              </w:rPr>
              <w:t xml:space="preserve">-0.10 [-0.15, -0.04]</w:t>
            </w:r>
          </w:p>
        </w:tc>
        <w:tc>
          <w:tcPr>
            <w:tcW w:w="1610" w:type="dxa"/>
          </w:tcPr>
          <w:p>
            <w:pPr>
              <w:pStyle w:val="Compact"/>
              <w:spacing w:before="30" w:after="30"/>
            </w:pPr>
            <w:r>
              <w:rPr>
                <w:sz w:val="17"/>
              </w:rPr>
              <w:t xml:space="preserve">-0.13 [-0.18, -0.08]</w:t>
            </w:r>
          </w:p>
        </w:tc>
      </w:tr>
      <w:tr>
        <w:trPr>
          <w:cantSplit/>
        </w:trPr>
        <w:tc>
          <w:tcPr>
            <w:tcW w:w="2800" w:type="dxa"/>
          </w:tcPr>
          <w:p>
            <w:pPr>
              <w:pStyle w:val="Compact"/>
              <w:spacing w:before="30" w:after="30"/>
            </w:pPr>
            <w:r>
              <w:rPr>
                <w:b/>
                <w:bCs/>
                <w:sz w:val="17"/>
              </w:rPr>
              <w:t xml:space="preserve">Ministral (Ministral 14B − Ministral 3B)</w:t>
            </w:r>
          </w:p>
        </w:tc>
        <w:tc>
          <w:tcPr>
            <w:tcW w:w="1650" w:type="dxa"/>
          </w:tcPr>
          <w:p>
            <w:pPr>
              <w:pStyle w:val="Compact"/>
              <w:spacing w:before="30" w:after="30"/>
            </w:pPr>
            <w:r>
              <w:rPr>
                <w:sz w:val="17"/>
              </w:rPr>
              <w:t xml:space="preserve">+0.11 [+0.07, +0.15]</w:t>
            </w:r>
          </w:p>
        </w:tc>
        <w:tc>
          <w:tcPr>
            <w:tcW w:w="1650" w:type="dxa"/>
          </w:tcPr>
          <w:p>
            <w:pPr>
              <w:pStyle w:val="Compact"/>
              <w:spacing w:before="30" w:after="30"/>
            </w:pPr>
            <w:r>
              <w:rPr>
                <w:sz w:val="17"/>
              </w:rPr>
              <w:t xml:space="preserve">+0.34 [+0.25, +0.43]</w:t>
            </w:r>
          </w:p>
        </w:tc>
        <w:tc>
          <w:tcPr>
            <w:tcW w:w="1650" w:type="dxa"/>
          </w:tcPr>
          <w:p>
            <w:pPr>
              <w:pStyle w:val="Compact"/>
              <w:spacing w:before="30" w:after="30"/>
            </w:pPr>
            <w:r>
              <w:rPr>
                <w:sz w:val="17"/>
              </w:rPr>
              <w:t xml:space="preserve">-0.04 [-0.08, +0.00]</w:t>
            </w:r>
          </w:p>
        </w:tc>
        <w:tc>
          <w:tcPr>
            <w:tcW w:w="1610" w:type="dxa"/>
          </w:tcPr>
          <w:p>
            <w:pPr>
              <w:pStyle w:val="Compact"/>
              <w:spacing w:before="30" w:after="30"/>
            </w:pPr>
            <w:r>
              <w:rPr>
                <w:sz w:val="17"/>
              </w:rPr>
              <w:t xml:space="preserve">-0.03 [-0.08, +0.01]</w:t>
            </w:r>
          </w:p>
        </w:tc>
      </w:tr>
      <w:tr>
        <w:trPr>
          <w:cantSplit/>
        </w:trPr>
        <w:tc>
          <w:tcPr>
            <w:tcW w:w="2800" w:type="dxa"/>
            <w:tcBorders>
              <w:bottom w:val="single" w:sz="8" w:space="0" w:color="000000"/>
            </w:tcBorders>
          </w:tcPr>
          <w:p>
            <w:pPr>
              <w:pStyle w:val="Compact"/>
              <w:spacing w:before="30" w:after="30"/>
            </w:pPr>
            <w:r>
              <w:rPr>
                <w:b/>
                <w:bCs/>
                <w:sz w:val="17"/>
              </w:rPr>
              <w:t xml:space="preserve">Qwen (Qwen2.5 72B − Qwen2.5 7B)</w:t>
            </w:r>
          </w:p>
        </w:tc>
        <w:tc>
          <w:tcPr>
            <w:tcW w:w="1650" w:type="dxa"/>
            <w:tcBorders>
              <w:bottom w:val="single" w:sz="8" w:space="0" w:color="000000"/>
            </w:tcBorders>
          </w:tcPr>
          <w:p>
            <w:pPr>
              <w:pStyle w:val="Compact"/>
              <w:spacing w:before="30" w:after="30"/>
            </w:pPr>
            <w:r>
              <w:rPr>
                <w:sz w:val="17"/>
              </w:rPr>
              <w:t xml:space="preserve">+0.18 [+0.13, +0.22]</w:t>
            </w:r>
          </w:p>
        </w:tc>
        <w:tc>
          <w:tcPr>
            <w:tcW w:w="1650" w:type="dxa"/>
            <w:tcBorders>
              <w:bottom w:val="single" w:sz="8" w:space="0" w:color="000000"/>
            </w:tcBorders>
          </w:tcPr>
          <w:p>
            <w:pPr>
              <w:pStyle w:val="Compact"/>
              <w:spacing w:before="30" w:after="30"/>
            </w:pPr>
            <w:r>
              <w:rPr>
                <w:sz w:val="17"/>
              </w:rPr>
              <w:t xml:space="preserve">-0.07 [-0.14, +0.01]</w:t>
            </w:r>
          </w:p>
        </w:tc>
        <w:tc>
          <w:tcPr>
            <w:tcW w:w="1650" w:type="dxa"/>
            <w:tcBorders>
              <w:bottom w:val="single" w:sz="8" w:space="0" w:color="000000"/>
            </w:tcBorders>
          </w:tcPr>
          <w:p>
            <w:pPr>
              <w:pStyle w:val="Compact"/>
              <w:spacing w:before="30" w:after="30"/>
            </w:pPr>
            <w:r>
              <w:rPr>
                <w:sz w:val="17"/>
              </w:rPr>
              <w:t xml:space="preserve">+0.03 [+0.01, +0.06]</w:t>
            </w:r>
          </w:p>
        </w:tc>
        <w:tc>
          <w:tcPr>
            <w:tcW w:w="1610" w:type="dxa"/>
            <w:tcBorders>
              <w:bottom w:val="single" w:sz="8" w:space="0" w:color="000000"/>
            </w:tcBorders>
          </w:tcPr>
          <w:p>
            <w:pPr>
              <w:pStyle w:val="Compact"/>
              <w:spacing w:before="30" w:after="30"/>
            </w:pPr>
            <w:r>
              <w:rPr>
                <w:sz w:val="17"/>
              </w:rPr>
              <w:t xml:space="preserve">+0.05 [+0.02, +0.07]</w:t>
            </w:r>
          </w:p>
        </w:tc>
      </w:tr>
    </w:tbl>
    <w:p>
      <w:pPr>
        <w:pStyle w:val="BodyText"/>
        <w:spacing w:before="60"/>
      </w:pPr>
      <w:r>
        <w:rPr>
          <w:sz w:val="18"/>
        </w:rPr>
        <w:t xml:space="preserve">Paired bootstrap intervals. Exact two-sided sign test across the five families: ability higher for the larger model in 5 of 5 (p = 0.0625, the smallest attainable); s* lower in 3 of 5 (p = 1.00).</w:t>
      </w:r>
    </w:p>
    <w:p>
      <w:pPr>
        <w:pStyle w:val="BodyText"/>
      </w:pPr>
      <w:r>
        <w:t xml:space="preserve">Ability is higher for the larger model in all five families (sign test p = 0.0625, the smallest value attainable with five families). The corrected stance effect is not reliably lower: it falls for the larger model in 3 families (Claude -0.10, Gemma -0.06, Qwen -0.07) but the interval excludes zero only for Claude, and it rises for the larger model in Llama (+0.27) and Ministral (+0.34), where the intervals lie above zero. H2 is supported in 1 family (Claude) and not as a pattern across families. The Claude comparison is between tiers, not sizes, and the other families differ in generation and post-training; we make no general claim about scale.</w:t>
      </w:r>
    </w:p>
    <w:p>
      <w:pPr>
        <w:pStyle w:val="Heading3"/>
      </w:pPr>
      <w:r>
        <w:t xml:space="preserve">6.4 Heterogeneity and the closed form</w:t>
      </w:r>
    </w:p>
    <w:p>
      <w:pPr>
        <w:pStyle w:val="TableCaption"/>
        <w:keepNext/>
      </w:pPr>
      <w:r>
        <w:rPr>
          <w:b/>
          <w:bCs/>
        </w:rPr>
        <w:t xml:space="preserve">Table 5. </w:t>
      </w:r>
      <w:r>
        <w:t xml:space="preserve">Covariance of ability and deference across stems, and the model-free value of review minus the closed form</w:t>
      </w:r>
    </w:p>
    <w:tbl>
      <w:tblPr>
        <w:tblW w:w="9360" w:type="dxa"/>
        <w:tblLayout w:type="fixed"/>
        <w:tblCellMar>
          <w:left w:w="60" w:type="dxa"/>
          <w:right w:w="60" w:type="dxa"/>
        </w:tblCellMar>
      </w:tblPr>
      <w:tblGrid>
        <w:gridCol w:w="2400"/>
        <w:gridCol w:w="2800"/>
        <w:gridCol w:w="2000"/>
        <w:gridCol w:w="2160"/>
      </w:tblGrid>
      <w:tr>
        <w:trPr>
          <w:cantSplit/>
          <w:tblHeader/>
        </w:trPr>
        <w:tc>
          <w:tcPr>
            <w:tcW w:w="2400" w:type="dxa"/>
            <w:tcBorders>
              <w:top w:val="single" w:sz="8" w:space="0" w:color="000000"/>
              <w:bottom w:val="single" w:sz="4" w:space="0" w:color="000000"/>
            </w:tcBorders>
          </w:tcPr>
          <w:p>
            <w:pPr>
              <w:pStyle w:val="Compact"/>
              <w:spacing w:before="30" w:after="30"/>
            </w:pPr>
            <w:r>
              <w:rPr>
                <w:b/>
                <w:bCs/>
                <w:sz w:val="17"/>
              </w:rPr>
              <w:t xml:space="preserve">Model</w:t>
            </w:r>
          </w:p>
        </w:tc>
        <w:tc>
          <w:tcPr>
            <w:tcW w:w="2800" w:type="dxa"/>
            <w:tcBorders>
              <w:top w:val="single" w:sz="8" w:space="0" w:color="000000"/>
              <w:bottom w:val="single" w:sz="4" w:space="0" w:color="000000"/>
            </w:tcBorders>
          </w:tcPr>
          <w:p>
            <w:pPr>
              <w:pStyle w:val="Compact"/>
              <w:spacing w:before="30" w:after="30"/>
            </w:pPr>
            <w:r>
              <w:rPr>
                <w:b/>
                <w:bCs/>
                <w:sz w:val="17"/>
              </w:rPr>
              <w:t xml:space="preserve">Cov(a</w:t>
            </w:r>
            <w:r>
              <w:rPr>
                <w:b/>
                <w:bCs/>
                <w:sz w:val="17"/>
                <w:vertAlign w:val="subscript"/>
              </w:rPr>
              <w:t xml:space="preserve">i</w:t>
            </w:r>
            <w:r>
              <w:rPr>
                <w:b/>
                <w:bCs/>
                <w:sz w:val="17"/>
              </w:rPr>
              <w:t xml:space="preserve">, s</w:t>
            </w:r>
            <w:r>
              <w:rPr>
                <w:b/>
                <w:bCs/>
                <w:sz w:val="17"/>
                <w:vertAlign w:val="subscript"/>
              </w:rPr>
              <w:t xml:space="preserve">i</w:t>
            </w:r>
            <w:r>
              <w:rPr>
                <w:b/>
                <w:bCs/>
                <w:sz w:val="17"/>
              </w:rPr>
              <w:t xml:space="preserve">) [95% CI]</w:t>
            </w:r>
          </w:p>
        </w:tc>
        <w:tc>
          <w:tcPr>
            <w:tcW w:w="2000" w:type="dxa"/>
            <w:tcBorders>
              <w:top w:val="single" w:sz="8" w:space="0" w:color="000000"/>
              <w:bottom w:val="single" w:sz="4" w:space="0" w:color="000000"/>
            </w:tcBorders>
          </w:tcPr>
          <w:p>
            <w:pPr>
              <w:pStyle w:val="Compact"/>
              <w:spacing w:before="30" w:after="30"/>
            </w:pPr>
            <w:r>
              <w:rPr>
                <w:b/>
                <w:bCs/>
                <w:sz w:val="17"/>
              </w:rPr>
              <w:t xml:space="preserve">V_obs (π = .7)</w:t>
            </w:r>
          </w:p>
        </w:tc>
        <w:tc>
          <w:tcPr>
            <w:tcW w:w="2160" w:type="dxa"/>
            <w:tcBorders>
              <w:top w:val="single" w:sz="8" w:space="0" w:color="000000"/>
              <w:bottom w:val="single" w:sz="4" w:space="0" w:color="000000"/>
            </w:tcBorders>
          </w:tcPr>
          <w:p>
            <w:pPr>
              <w:pStyle w:val="Compact"/>
              <w:spacing w:before="30" w:after="30"/>
            </w:pPr>
            <w:r>
              <w:rPr>
                <w:b/>
                <w:bCs/>
                <w:sz w:val="17"/>
              </w:rPr>
              <w:t xml:space="preserve">V_obs − closed form</w:t>
            </w:r>
          </w:p>
        </w:tc>
      </w:tr>
      <w:tr>
        <w:trPr>
          <w:cantSplit/>
        </w:trPr>
        <w:tc>
          <w:tcPr>
            <w:tcW w:w="2400" w:type="dxa"/>
          </w:tcPr>
          <w:p>
            <w:pPr>
              <w:pStyle w:val="Compact"/>
              <w:spacing w:before="30" w:after="30"/>
            </w:pPr>
            <w:r>
              <w:rPr>
                <w:b/>
                <w:bCs/>
                <w:sz w:val="17"/>
              </w:rPr>
              <w:t xml:space="preserve">Haiku 4.5</w:t>
            </w:r>
          </w:p>
        </w:tc>
        <w:tc>
          <w:tcPr>
            <w:tcW w:w="2800" w:type="dxa"/>
          </w:tcPr>
          <w:p>
            <w:pPr>
              <w:pStyle w:val="Compact"/>
              <w:spacing w:before="30" w:after="30"/>
            </w:pPr>
            <w:r>
              <w:rPr>
                <w:sz w:val="17"/>
              </w:rPr>
              <w:t xml:space="preserve">+0.001 [+0.000, +0.001]</w:t>
            </w:r>
          </w:p>
        </w:tc>
        <w:tc>
          <w:tcPr>
            <w:tcW w:w="2000" w:type="dxa"/>
          </w:tcPr>
          <w:p>
            <w:pPr>
              <w:pStyle w:val="Compact"/>
              <w:spacing w:before="30" w:after="30"/>
            </w:pPr>
            <w:r>
              <w:rPr>
                <w:sz w:val="17"/>
              </w:rPr>
              <w:t xml:space="preserve">0.26</w:t>
            </w:r>
          </w:p>
        </w:tc>
        <w:tc>
          <w:tcPr>
            <w:tcW w:w="2160" w:type="dxa"/>
          </w:tcPr>
          <w:p>
            <w:pPr>
              <w:pStyle w:val="Compact"/>
              <w:spacing w:before="30" w:after="30"/>
            </w:pPr>
            <w:r>
              <w:rPr>
                <w:sz w:val="17"/>
              </w:rPr>
              <w:t xml:space="preserve">-0.003</w:t>
            </w:r>
          </w:p>
        </w:tc>
      </w:tr>
      <w:tr>
        <w:trPr>
          <w:cantSplit/>
        </w:trPr>
        <w:tc>
          <w:tcPr>
            <w:tcW w:w="2400" w:type="dxa"/>
          </w:tcPr>
          <w:p>
            <w:pPr>
              <w:pStyle w:val="Compact"/>
              <w:spacing w:before="30" w:after="30"/>
            </w:pPr>
            <w:r>
              <w:rPr>
                <w:b/>
                <w:bCs/>
                <w:sz w:val="17"/>
              </w:rPr>
              <w:t xml:space="preserve">Sonnet 5.5</w:t>
            </w:r>
          </w:p>
        </w:tc>
        <w:tc>
          <w:tcPr>
            <w:tcW w:w="2800" w:type="dxa"/>
          </w:tcPr>
          <w:p>
            <w:pPr>
              <w:pStyle w:val="Compact"/>
              <w:spacing w:before="30" w:after="30"/>
            </w:pPr>
            <w:r>
              <w:rPr>
                <w:sz w:val="17"/>
              </w:rPr>
              <w:t xml:space="preserve">+0.000 [+0.000, +0.000]</w:t>
            </w:r>
          </w:p>
        </w:tc>
        <w:tc>
          <w:tcPr>
            <w:tcW w:w="2000" w:type="dxa"/>
          </w:tcPr>
          <w:p>
            <w:pPr>
              <w:pStyle w:val="Compact"/>
              <w:spacing w:before="30" w:after="30"/>
            </w:pPr>
            <w:r>
              <w:rPr>
                <w:sz w:val="17"/>
              </w:rPr>
              <w:t xml:space="preserve">0.29</w:t>
            </w:r>
          </w:p>
        </w:tc>
        <w:tc>
          <w:tcPr>
            <w:tcW w:w="2160" w:type="dxa"/>
          </w:tcPr>
          <w:p>
            <w:pPr>
              <w:pStyle w:val="Compact"/>
              <w:spacing w:before="30" w:after="30"/>
            </w:pPr>
            <w:r>
              <w:rPr>
                <w:sz w:val="17"/>
              </w:rPr>
              <w:t xml:space="preserve">+0.002</w:t>
            </w:r>
          </w:p>
        </w:tc>
      </w:tr>
      <w:tr>
        <w:trPr>
          <w:cantSplit/>
        </w:trPr>
        <w:tc>
          <w:tcPr>
            <w:tcW w:w="2400" w:type="dxa"/>
          </w:tcPr>
          <w:p>
            <w:pPr>
              <w:pStyle w:val="Compact"/>
              <w:spacing w:before="30" w:after="30"/>
            </w:pPr>
            <w:r>
              <w:rPr>
                <w:b/>
                <w:bCs/>
                <w:sz w:val="17"/>
              </w:rPr>
              <w:t xml:space="preserve">Opus 5.5</w:t>
            </w:r>
          </w:p>
        </w:tc>
        <w:tc>
          <w:tcPr>
            <w:tcW w:w="2800" w:type="dxa"/>
          </w:tcPr>
          <w:p>
            <w:pPr>
              <w:pStyle w:val="Compact"/>
              <w:spacing w:before="30" w:after="30"/>
            </w:pPr>
            <w:r>
              <w:rPr>
                <w:sz w:val="17"/>
              </w:rPr>
              <w:t xml:space="preserve">+0.000 [+0.000, +0.000]</w:t>
            </w:r>
          </w:p>
        </w:tc>
        <w:tc>
          <w:tcPr>
            <w:tcW w:w="2000" w:type="dxa"/>
          </w:tcPr>
          <w:p>
            <w:pPr>
              <w:pStyle w:val="Compact"/>
              <w:spacing w:before="30" w:after="30"/>
            </w:pPr>
            <w:r>
              <w:rPr>
                <w:sz w:val="17"/>
              </w:rPr>
              <w:t xml:space="preserve">0.30</w:t>
            </w:r>
          </w:p>
        </w:tc>
        <w:tc>
          <w:tcPr>
            <w:tcW w:w="2160" w:type="dxa"/>
          </w:tcPr>
          <w:p>
            <w:pPr>
              <w:pStyle w:val="Compact"/>
              <w:spacing w:before="30" w:after="30"/>
            </w:pPr>
            <w:r>
              <w:rPr>
                <w:sz w:val="17"/>
              </w:rPr>
              <w:t xml:space="preserve">+0.000</w:t>
            </w:r>
          </w:p>
        </w:tc>
      </w:tr>
      <w:tr>
        <w:trPr>
          <w:cantSplit/>
        </w:trPr>
        <w:tc>
          <w:tcPr>
            <w:tcW w:w="2400" w:type="dxa"/>
          </w:tcPr>
          <w:p>
            <w:pPr>
              <w:pStyle w:val="Compact"/>
              <w:spacing w:before="30" w:after="30"/>
            </w:pPr>
            <w:r>
              <w:rPr>
                <w:b/>
                <w:bCs/>
                <w:sz w:val="17"/>
              </w:rPr>
              <w:t xml:space="preserve">Fable 5.1</w:t>
            </w:r>
          </w:p>
        </w:tc>
        <w:tc>
          <w:tcPr>
            <w:tcW w:w="2800" w:type="dxa"/>
          </w:tcPr>
          <w:p>
            <w:pPr>
              <w:pStyle w:val="Compact"/>
              <w:spacing w:before="30" w:after="30"/>
            </w:pPr>
            <w:r>
              <w:rPr>
                <w:sz w:val="17"/>
              </w:rPr>
              <w:t xml:space="preserve">+0.000 [+0.000, +0.000]</w:t>
            </w:r>
          </w:p>
        </w:tc>
        <w:tc>
          <w:tcPr>
            <w:tcW w:w="2000" w:type="dxa"/>
          </w:tcPr>
          <w:p>
            <w:pPr>
              <w:pStyle w:val="Compact"/>
              <w:spacing w:before="30" w:after="30"/>
            </w:pPr>
            <w:r>
              <w:rPr>
                <w:sz w:val="17"/>
              </w:rPr>
              <w:t xml:space="preserve">0.30</w:t>
            </w:r>
          </w:p>
        </w:tc>
        <w:tc>
          <w:tcPr>
            <w:tcW w:w="2160" w:type="dxa"/>
          </w:tcPr>
          <w:p>
            <w:pPr>
              <w:pStyle w:val="Compact"/>
              <w:spacing w:before="30" w:after="30"/>
            </w:pPr>
            <w:r>
              <w:rPr>
                <w:sz w:val="17"/>
              </w:rPr>
              <w:t xml:space="preserve">+0.000</w:t>
            </w:r>
          </w:p>
        </w:tc>
      </w:tr>
      <w:tr>
        <w:trPr>
          <w:cantSplit/>
        </w:trPr>
        <w:tc>
          <w:tcPr>
            <w:tcW w:w="2400" w:type="dxa"/>
          </w:tcPr>
          <w:p>
            <w:pPr>
              <w:pStyle w:val="Compact"/>
              <w:spacing w:before="30" w:after="30"/>
            </w:pPr>
            <w:r>
              <w:rPr>
                <w:b/>
                <w:bCs/>
                <w:sz w:val="17"/>
              </w:rPr>
              <w:t xml:space="preserve">Gemma-3 4B</w:t>
            </w:r>
          </w:p>
        </w:tc>
        <w:tc>
          <w:tcPr>
            <w:tcW w:w="2800" w:type="dxa"/>
          </w:tcPr>
          <w:p>
            <w:pPr>
              <w:pStyle w:val="Compact"/>
              <w:spacing w:before="30" w:after="30"/>
            </w:pPr>
            <w:r>
              <w:rPr>
                <w:sz w:val="17"/>
              </w:rPr>
              <w:t xml:space="preserve">+0.054 [+0.038, +0.070]</w:t>
            </w:r>
          </w:p>
        </w:tc>
        <w:tc>
          <w:tcPr>
            <w:tcW w:w="2000" w:type="dxa"/>
          </w:tcPr>
          <w:p>
            <w:pPr>
              <w:pStyle w:val="Compact"/>
              <w:spacing w:before="30" w:after="30"/>
            </w:pPr>
            <w:r>
              <w:rPr>
                <w:sz w:val="17"/>
              </w:rPr>
              <w:t xml:space="preserve">0.00</w:t>
            </w:r>
          </w:p>
        </w:tc>
        <w:tc>
          <w:tcPr>
            <w:tcW w:w="2160" w:type="dxa"/>
          </w:tcPr>
          <w:p>
            <w:pPr>
              <w:pStyle w:val="Compact"/>
              <w:spacing w:before="30" w:after="30"/>
            </w:pPr>
            <w:r>
              <w:rPr>
                <w:sz w:val="17"/>
              </w:rPr>
              <w:t xml:space="preserve">+0.057</w:t>
            </w:r>
          </w:p>
        </w:tc>
      </w:tr>
      <w:tr>
        <w:trPr>
          <w:cantSplit/>
        </w:trPr>
        <w:tc>
          <w:tcPr>
            <w:tcW w:w="2400" w:type="dxa"/>
          </w:tcPr>
          <w:p>
            <w:pPr>
              <w:pStyle w:val="Compact"/>
              <w:spacing w:before="30" w:after="30"/>
            </w:pPr>
            <w:r>
              <w:rPr>
                <w:b/>
                <w:bCs/>
                <w:sz w:val="17"/>
              </w:rPr>
              <w:t xml:space="preserve">Gemma-3 12B</w:t>
            </w:r>
          </w:p>
        </w:tc>
        <w:tc>
          <w:tcPr>
            <w:tcW w:w="2800" w:type="dxa"/>
          </w:tcPr>
          <w:p>
            <w:pPr>
              <w:pStyle w:val="Compact"/>
              <w:spacing w:before="30" w:after="30"/>
            </w:pPr>
            <w:r>
              <w:rPr>
                <w:sz w:val="17"/>
              </w:rPr>
              <w:t xml:space="preserve">+0.070 [+0.055, +0.085]</w:t>
            </w:r>
          </w:p>
        </w:tc>
        <w:tc>
          <w:tcPr>
            <w:tcW w:w="2000" w:type="dxa"/>
          </w:tcPr>
          <w:p>
            <w:pPr>
              <w:pStyle w:val="Compact"/>
              <w:spacing w:before="30" w:after="30"/>
            </w:pPr>
            <w:r>
              <w:rPr>
                <w:sz w:val="17"/>
              </w:rPr>
              <w:t xml:space="preserve">-0.00</w:t>
            </w:r>
          </w:p>
        </w:tc>
        <w:tc>
          <w:tcPr>
            <w:tcW w:w="2160" w:type="dxa"/>
          </w:tcPr>
          <w:p>
            <w:pPr>
              <w:pStyle w:val="Compact"/>
              <w:spacing w:before="30" w:after="30"/>
            </w:pPr>
            <w:r>
              <w:rPr>
                <w:sz w:val="17"/>
              </w:rPr>
              <w:t xml:space="preserve">+0.026</w:t>
            </w:r>
          </w:p>
        </w:tc>
      </w:tr>
      <w:tr>
        <w:trPr>
          <w:cantSplit/>
        </w:trPr>
        <w:tc>
          <w:tcPr>
            <w:tcW w:w="2400" w:type="dxa"/>
          </w:tcPr>
          <w:p>
            <w:pPr>
              <w:pStyle w:val="Compact"/>
              <w:spacing w:before="30" w:after="30"/>
            </w:pPr>
            <w:r>
              <w:rPr>
                <w:b/>
                <w:bCs/>
                <w:sz w:val="17"/>
              </w:rPr>
              <w:t xml:space="preserve">Gemma-3 27B</w:t>
            </w:r>
          </w:p>
        </w:tc>
        <w:tc>
          <w:tcPr>
            <w:tcW w:w="2800" w:type="dxa"/>
          </w:tcPr>
          <w:p>
            <w:pPr>
              <w:pStyle w:val="Compact"/>
              <w:spacing w:before="30" w:after="30"/>
            </w:pPr>
            <w:r>
              <w:rPr>
                <w:sz w:val="17"/>
              </w:rPr>
              <w:t xml:space="preserve">+0.037 [+0.022, +0.053]</w:t>
            </w:r>
          </w:p>
        </w:tc>
        <w:tc>
          <w:tcPr>
            <w:tcW w:w="2000" w:type="dxa"/>
          </w:tcPr>
          <w:p>
            <w:pPr>
              <w:pStyle w:val="Compact"/>
              <w:spacing w:before="30" w:after="30"/>
            </w:pPr>
            <w:r>
              <w:rPr>
                <w:sz w:val="17"/>
              </w:rPr>
              <w:t xml:space="preserve">0.00</w:t>
            </w:r>
          </w:p>
        </w:tc>
        <w:tc>
          <w:tcPr>
            <w:tcW w:w="2160" w:type="dxa"/>
          </w:tcPr>
          <w:p>
            <w:pPr>
              <w:pStyle w:val="Compact"/>
              <w:spacing w:before="30" w:after="30"/>
            </w:pPr>
            <w:r>
              <w:rPr>
                <w:sz w:val="17"/>
              </w:rPr>
              <w:t xml:space="preserve">+0.064</w:t>
            </w:r>
          </w:p>
        </w:tc>
      </w:tr>
      <w:tr>
        <w:trPr>
          <w:cantSplit/>
        </w:trPr>
        <w:tc>
          <w:tcPr>
            <w:tcW w:w="2400" w:type="dxa"/>
          </w:tcPr>
          <w:p>
            <w:pPr>
              <w:pStyle w:val="Compact"/>
              <w:spacing w:before="30" w:after="30"/>
            </w:pPr>
            <w:r>
              <w:rPr>
                <w:b/>
                <w:bCs/>
                <w:sz w:val="17"/>
              </w:rPr>
              <w:t xml:space="preserve">Llama-3.1 8B</w:t>
            </w:r>
          </w:p>
        </w:tc>
        <w:tc>
          <w:tcPr>
            <w:tcW w:w="2800" w:type="dxa"/>
          </w:tcPr>
          <w:p>
            <w:pPr>
              <w:pStyle w:val="Compact"/>
              <w:spacing w:before="30" w:after="30"/>
            </w:pPr>
            <w:r>
              <w:rPr>
                <w:sz w:val="17"/>
              </w:rPr>
              <w:t xml:space="preserve">-0.006 [-0.020, +0.007]</w:t>
            </w:r>
          </w:p>
        </w:tc>
        <w:tc>
          <w:tcPr>
            <w:tcW w:w="2000" w:type="dxa"/>
          </w:tcPr>
          <w:p>
            <w:pPr>
              <w:pStyle w:val="Compact"/>
              <w:spacing w:before="30" w:after="30"/>
            </w:pPr>
            <w:r>
              <w:rPr>
                <w:sz w:val="17"/>
              </w:rPr>
              <w:t xml:space="preserve">-0.15</w:t>
            </w:r>
          </w:p>
        </w:tc>
        <w:tc>
          <w:tcPr>
            <w:tcW w:w="2160" w:type="dxa"/>
          </w:tcPr>
          <w:p>
            <w:pPr>
              <w:pStyle w:val="Compact"/>
              <w:spacing w:before="30" w:after="30"/>
            </w:pPr>
            <w:r>
              <w:rPr>
                <w:sz w:val="17"/>
              </w:rPr>
              <w:t xml:space="preserve">+0.084</w:t>
            </w:r>
          </w:p>
        </w:tc>
      </w:tr>
      <w:tr>
        <w:trPr>
          <w:cantSplit/>
        </w:trPr>
        <w:tc>
          <w:tcPr>
            <w:tcW w:w="2400" w:type="dxa"/>
          </w:tcPr>
          <w:p>
            <w:pPr>
              <w:pStyle w:val="Compact"/>
              <w:spacing w:before="30" w:after="30"/>
            </w:pPr>
            <w:r>
              <w:rPr>
                <w:b/>
                <w:bCs/>
                <w:sz w:val="17"/>
              </w:rPr>
              <w:t xml:space="preserve">Llama-3.1 70B</w:t>
            </w:r>
          </w:p>
        </w:tc>
        <w:tc>
          <w:tcPr>
            <w:tcW w:w="2800" w:type="dxa"/>
          </w:tcPr>
          <w:p>
            <w:pPr>
              <w:pStyle w:val="Compact"/>
              <w:spacing w:before="30" w:after="30"/>
            </w:pPr>
            <w:r>
              <w:rPr>
                <w:sz w:val="17"/>
              </w:rPr>
              <w:t xml:space="preserve">+0.010 [-0.005, +0.024]</w:t>
            </w:r>
          </w:p>
        </w:tc>
        <w:tc>
          <w:tcPr>
            <w:tcW w:w="2000" w:type="dxa"/>
          </w:tcPr>
          <w:p>
            <w:pPr>
              <w:pStyle w:val="Compact"/>
              <w:spacing w:before="30" w:after="30"/>
            </w:pPr>
            <w:r>
              <w:rPr>
                <w:sz w:val="17"/>
              </w:rPr>
              <w:t xml:space="preserve">-0.02</w:t>
            </w:r>
          </w:p>
        </w:tc>
        <w:tc>
          <w:tcPr>
            <w:tcW w:w="2160" w:type="dxa"/>
          </w:tcPr>
          <w:p>
            <w:pPr>
              <w:pStyle w:val="Compact"/>
              <w:spacing w:before="30" w:after="30"/>
            </w:pPr>
            <w:r>
              <w:rPr>
                <w:sz w:val="17"/>
              </w:rPr>
              <w:t xml:space="preserve">+0.100</w:t>
            </w:r>
          </w:p>
        </w:tc>
      </w:tr>
      <w:tr>
        <w:trPr>
          <w:cantSplit/>
        </w:trPr>
        <w:tc>
          <w:tcPr>
            <w:tcW w:w="2400" w:type="dxa"/>
          </w:tcPr>
          <w:p>
            <w:pPr>
              <w:pStyle w:val="Compact"/>
              <w:spacing w:before="30" w:after="30"/>
            </w:pPr>
            <w:r>
              <w:rPr>
                <w:b/>
                <w:bCs/>
                <w:sz w:val="17"/>
              </w:rPr>
              <w:t xml:space="preserve">Ministral 3B</w:t>
            </w:r>
          </w:p>
        </w:tc>
        <w:tc>
          <w:tcPr>
            <w:tcW w:w="2800" w:type="dxa"/>
          </w:tcPr>
          <w:p>
            <w:pPr>
              <w:pStyle w:val="Compact"/>
              <w:spacing w:before="30" w:after="30"/>
            </w:pPr>
            <w:r>
              <w:rPr>
                <w:sz w:val="17"/>
              </w:rPr>
              <w:t xml:space="preserve">-0.013 [-0.026, +0.002]</w:t>
            </w:r>
          </w:p>
        </w:tc>
        <w:tc>
          <w:tcPr>
            <w:tcW w:w="2000" w:type="dxa"/>
          </w:tcPr>
          <w:p>
            <w:pPr>
              <w:pStyle w:val="Compact"/>
              <w:spacing w:before="30" w:after="30"/>
            </w:pPr>
            <w:r>
              <w:rPr>
                <w:sz w:val="17"/>
              </w:rPr>
              <w:t xml:space="preserve">-0.29</w:t>
            </w:r>
          </w:p>
        </w:tc>
        <w:tc>
          <w:tcPr>
            <w:tcW w:w="2160" w:type="dxa"/>
          </w:tcPr>
          <w:p>
            <w:pPr>
              <w:pStyle w:val="Compact"/>
              <w:spacing w:before="30" w:after="30"/>
            </w:pPr>
            <w:r>
              <w:rPr>
                <w:sz w:val="17"/>
              </w:rPr>
              <w:t xml:space="preserve">+0.028</w:t>
            </w:r>
          </w:p>
        </w:tc>
      </w:tr>
      <w:tr>
        <w:trPr>
          <w:cantSplit/>
        </w:trPr>
        <w:tc>
          <w:tcPr>
            <w:tcW w:w="2400" w:type="dxa"/>
          </w:tcPr>
          <w:p>
            <w:pPr>
              <w:pStyle w:val="Compact"/>
              <w:spacing w:before="30" w:after="30"/>
            </w:pPr>
            <w:r>
              <w:rPr>
                <w:b/>
                <w:bCs/>
                <w:sz w:val="17"/>
              </w:rPr>
              <w:t xml:space="preserve">Ministral 8B</w:t>
            </w:r>
          </w:p>
        </w:tc>
        <w:tc>
          <w:tcPr>
            <w:tcW w:w="2800" w:type="dxa"/>
          </w:tcPr>
          <w:p>
            <w:pPr>
              <w:pStyle w:val="Compact"/>
              <w:spacing w:before="30" w:after="30"/>
            </w:pPr>
            <w:r>
              <w:rPr>
                <w:sz w:val="17"/>
              </w:rPr>
              <w:t xml:space="preserve">+0.002 [-0.012, +0.016]</w:t>
            </w:r>
          </w:p>
        </w:tc>
        <w:tc>
          <w:tcPr>
            <w:tcW w:w="2000" w:type="dxa"/>
          </w:tcPr>
          <w:p>
            <w:pPr>
              <w:pStyle w:val="Compact"/>
              <w:spacing w:before="30" w:after="30"/>
            </w:pPr>
            <w:r>
              <w:rPr>
                <w:sz w:val="17"/>
              </w:rPr>
              <w:t xml:space="preserve">-0.18</w:t>
            </w:r>
          </w:p>
        </w:tc>
        <w:tc>
          <w:tcPr>
            <w:tcW w:w="2160" w:type="dxa"/>
          </w:tcPr>
          <w:p>
            <w:pPr>
              <w:pStyle w:val="Compact"/>
              <w:spacing w:before="30" w:after="30"/>
            </w:pPr>
            <w:r>
              <w:rPr>
                <w:sz w:val="17"/>
              </w:rPr>
              <w:t xml:space="preserve">+0.062</w:t>
            </w:r>
          </w:p>
        </w:tc>
      </w:tr>
      <w:tr>
        <w:trPr>
          <w:cantSplit/>
        </w:trPr>
        <w:tc>
          <w:tcPr>
            <w:tcW w:w="2400" w:type="dxa"/>
          </w:tcPr>
          <w:p>
            <w:pPr>
              <w:pStyle w:val="Compact"/>
              <w:spacing w:before="30" w:after="30"/>
            </w:pPr>
            <w:r>
              <w:rPr>
                <w:b/>
                <w:bCs/>
                <w:sz w:val="17"/>
              </w:rPr>
              <w:t xml:space="preserve">Ministral 14B</w:t>
            </w:r>
          </w:p>
        </w:tc>
        <w:tc>
          <w:tcPr>
            <w:tcW w:w="2800" w:type="dxa"/>
          </w:tcPr>
          <w:p>
            <w:pPr>
              <w:pStyle w:val="Compact"/>
              <w:spacing w:before="30" w:after="30"/>
            </w:pPr>
            <w:r>
              <w:rPr>
                <w:sz w:val="17"/>
              </w:rPr>
              <w:t xml:space="preserve">+0.029 [+0.012, +0.046]</w:t>
            </w:r>
          </w:p>
        </w:tc>
        <w:tc>
          <w:tcPr>
            <w:tcW w:w="2000" w:type="dxa"/>
          </w:tcPr>
          <w:p>
            <w:pPr>
              <w:pStyle w:val="Compact"/>
              <w:spacing w:before="30" w:after="30"/>
            </w:pPr>
            <w:r>
              <w:rPr>
                <w:sz w:val="17"/>
              </w:rPr>
              <w:t xml:space="preserve">-0.09</w:t>
            </w:r>
          </w:p>
        </w:tc>
        <w:tc>
          <w:tcPr>
            <w:tcW w:w="2160" w:type="dxa"/>
          </w:tcPr>
          <w:p>
            <w:pPr>
              <w:pStyle w:val="Compact"/>
              <w:spacing w:before="30" w:after="30"/>
            </w:pPr>
            <w:r>
              <w:rPr>
                <w:sz w:val="17"/>
              </w:rPr>
              <w:t xml:space="preserve">+0.053</w:t>
            </w:r>
          </w:p>
        </w:tc>
      </w:tr>
      <w:tr>
        <w:trPr>
          <w:cantSplit/>
        </w:trPr>
        <w:tc>
          <w:tcPr>
            <w:tcW w:w="2400" w:type="dxa"/>
          </w:tcPr>
          <w:p>
            <w:pPr>
              <w:pStyle w:val="Compact"/>
              <w:spacing w:before="30" w:after="30"/>
            </w:pPr>
            <w:r>
              <w:rPr>
                <w:b/>
                <w:bCs/>
                <w:sz w:val="17"/>
              </w:rPr>
              <w:t xml:space="preserve">Qwen2.5 7B</w:t>
            </w:r>
          </w:p>
        </w:tc>
        <w:tc>
          <w:tcPr>
            <w:tcW w:w="2800" w:type="dxa"/>
          </w:tcPr>
          <w:p>
            <w:pPr>
              <w:pStyle w:val="Compact"/>
              <w:spacing w:before="30" w:after="30"/>
            </w:pPr>
            <w:r>
              <w:rPr>
                <w:sz w:val="17"/>
              </w:rPr>
              <w:t xml:space="preserve">+0.046 [+0.028, +0.062]</w:t>
            </w:r>
          </w:p>
        </w:tc>
        <w:tc>
          <w:tcPr>
            <w:tcW w:w="2000" w:type="dxa"/>
          </w:tcPr>
          <w:p>
            <w:pPr>
              <w:pStyle w:val="Compact"/>
              <w:spacing w:before="30" w:after="30"/>
            </w:pPr>
            <w:r>
              <w:rPr>
                <w:sz w:val="17"/>
              </w:rPr>
              <w:t xml:space="preserve">-0.00</w:t>
            </w:r>
          </w:p>
        </w:tc>
        <w:tc>
          <w:tcPr>
            <w:tcW w:w="2160" w:type="dxa"/>
          </w:tcPr>
          <w:p>
            <w:pPr>
              <w:pStyle w:val="Compact"/>
              <w:spacing w:before="30" w:after="30"/>
            </w:pPr>
            <w:r>
              <w:rPr>
                <w:sz w:val="17"/>
              </w:rPr>
              <w:t xml:space="preserve">+0.114</w:t>
            </w:r>
          </w:p>
        </w:tc>
      </w:tr>
      <w:tr>
        <w:trPr>
          <w:cantSplit/>
        </w:trPr>
        <w:tc>
          <w:tcPr>
            <w:tcW w:w="2400" w:type="dxa"/>
            <w:tcBorders>
              <w:bottom w:val="single" w:sz="8" w:space="0" w:color="000000"/>
            </w:tcBorders>
          </w:tcPr>
          <w:p>
            <w:pPr>
              <w:pStyle w:val="Compact"/>
              <w:spacing w:before="30" w:after="30"/>
            </w:pPr>
            <w:r>
              <w:rPr>
                <w:b/>
                <w:bCs/>
                <w:sz w:val="17"/>
              </w:rPr>
              <w:t xml:space="preserve">Qwen2.5 72B</w:t>
            </w:r>
          </w:p>
        </w:tc>
        <w:tc>
          <w:tcPr>
            <w:tcW w:w="2800" w:type="dxa"/>
            <w:tcBorders>
              <w:bottom w:val="single" w:sz="8" w:space="0" w:color="000000"/>
            </w:tcBorders>
          </w:tcPr>
          <w:p>
            <w:pPr>
              <w:pStyle w:val="Compact"/>
              <w:spacing w:before="30" w:after="30"/>
            </w:pPr>
            <w:r>
              <w:rPr>
                <w:sz w:val="17"/>
              </w:rPr>
              <w:t xml:space="preserve">+0.039 [+0.023, +0.056]</w:t>
            </w:r>
          </w:p>
        </w:tc>
        <w:tc>
          <w:tcPr>
            <w:tcW w:w="2000" w:type="dxa"/>
            <w:tcBorders>
              <w:bottom w:val="single" w:sz="8" w:space="0" w:color="000000"/>
            </w:tcBorders>
          </w:tcPr>
          <w:p>
            <w:pPr>
              <w:pStyle w:val="Compact"/>
              <w:spacing w:before="30" w:after="30"/>
            </w:pPr>
            <w:r>
              <w:rPr>
                <w:sz w:val="17"/>
              </w:rPr>
              <w:t xml:space="preserve">0.00</w:t>
            </w:r>
          </w:p>
        </w:tc>
        <w:tc>
          <w:tcPr>
            <w:tcW w:w="2160" w:type="dxa"/>
            <w:tcBorders>
              <w:bottom w:val="single" w:sz="8" w:space="0" w:color="000000"/>
            </w:tcBorders>
          </w:tcPr>
          <w:p>
            <w:pPr>
              <w:pStyle w:val="Compact"/>
              <w:spacing w:before="30" w:after="30"/>
            </w:pPr>
            <w:r>
              <w:rPr>
                <w:sz w:val="17"/>
              </w:rPr>
              <w:t xml:space="preserve">+0.070</w:t>
            </w:r>
          </w:p>
        </w:tc>
      </w:tr>
    </w:tbl>
    <w:p>
      <w:pPr>
        <w:pStyle w:val="BodyText"/>
        <w:spacing w:before="60"/>
      </w:pPr>
      <w:r>
        <w:rPr>
          <w:sz w:val="18"/>
        </w:rPr>
        <w:t xml:space="preserve">s</w:t>
      </w:r>
      <w:r>
        <w:rPr>
          <w:sz w:val="18"/>
          <w:vertAlign w:val="subscript"/>
        </w:rPr>
        <w:t xml:space="preserve">i</w:t>
      </w:r>
      <w:r>
        <w:rPr>
          <w:sz w:val="18"/>
        </w:rPr>
        <w:t xml:space="preserve"> is the stem-level rate of the stance-endorsed option under the stance minus under the neutral sentence, from one draw each; a</w:t>
      </w:r>
      <w:r>
        <w:rPr>
          <w:sz w:val="18"/>
          <w:vertAlign w:val="subscript"/>
        </w:rPr>
        <w:t xml:space="preserve">i</w:t>
      </w:r>
      <w:r>
        <w:rPr>
          <w:sz w:val="18"/>
        </w:rPr>
        <w:t xml:space="preserve"> is stance-free accuracy on the stem. The closed form is (1 − s</w:t>
      </w:r>
      <w:r>
        <w:rPr>
          <w:sz w:val="18"/>
          <w:vertAlign w:val="subscript"/>
        </w:rPr>
        <w:t xml:space="preserve">c</w:t>
      </w:r>
      <w:r>
        <w:rPr>
          <w:sz w:val="18"/>
        </w:rPr>
        <w:t xml:space="preserve">)(ā − π) with s</w:t>
      </w:r>
      <w:r>
        <w:rPr>
          <w:sz w:val="18"/>
          <w:vertAlign w:val="subscript"/>
        </w:rPr>
        <w:t xml:space="preserve">c</w:t>
      </w:r>
      <w:r>
        <w:rPr>
          <w:sz w:val="18"/>
        </w:rPr>
        <w:t xml:space="preserve"> = E[a</w:t>
      </w:r>
      <w:r>
        <w:rPr>
          <w:sz w:val="18"/>
          <w:vertAlign w:val="subscript"/>
        </w:rPr>
        <w:t xml:space="preserve">i</w:t>
      </w:r>
      <w:r>
        <w:rPr>
          <w:sz w:val="18"/>
        </w:rPr>
        <w:t xml:space="preserve"> s</w:t>
      </w:r>
      <w:r>
        <w:rPr>
          <w:sz w:val="18"/>
          <w:vertAlign w:val="subscript"/>
        </w:rPr>
        <w:t xml:space="preserve">i</w:t>
      </w:r>
      <w:r>
        <w:rPr>
          <w:sz w:val="18"/>
        </w:rPr>
        <w:t xml:space="preserve">]/ā.</w:t>
      </w:r>
    </w:p>
    <w:p>
      <w:pPr>
        <w:pStyle w:val="BodyText"/>
      </w:pPr>
      <w:r>
        <w:t xml:space="preserve">The covariance is not negative. It is positive for 8 models with intervals above zero (Haiku 4.5, Sonnet 5.5, Gemma-3 4B, Gemma-3 12B, Gemma-3 27B, Ministral 14B, Qwen2.5 7B and Qwen2.5 72B), which means deference is higher on the stems the model answers correctly more often, the opposite of H4 (for Haiku 4.5 and Sonnet 5.5 the covariances are below 0.001); no model has an interval below zero. H4 is not supported. The model-free value of review exceeds the closed form at π = .7 for 11 of the fourteen models (by up to 0.11), but this gap does not follow the covariance term of Proposition 5 (which predicts a gap of the opposite sign where the covariance is positive). A possible explanation, which we did not test, is that s</w:t>
      </w:r>
      <w:r>
        <w:rPr>
          <w:vertAlign w:val="subscript"/>
        </w:rPr>
        <w:t xml:space="preserve">i</w:t>
      </w:r>
      <w:r>
        <w:t xml:space="preserve">, measured as an excess over a single neutral draw, understates how often the stance determines the answer on stems the model gets wrong; the closed form is therefore a poor approximation to the model-free value here, and we use the model-free value in Section 6.5.</w:t>
      </w:r>
    </w:p>
    <w:p>
      <w:pPr>
        <w:pStyle w:val="Heading3"/>
      </w:pPr>
      <w:r>
        <w:t xml:space="preserve">6.5 Ability as a ranking cue</w:t>
      </w:r>
    </w:p>
    <w:p>
      <w:pPr>
        <w:pStyle w:val="TableCaption"/>
        <w:keepNext/>
      </w:pPr>
      <w:r>
        <w:rPr>
          <w:b/>
          <w:bCs/>
        </w:rPr>
        <w:t xml:space="preserve">Table 6. </w:t>
      </w:r>
      <w:r>
        <w:t xml:space="preserve">Model-free value of review by requester accuracy, and the factor by which ability overstates it</w:t>
      </w:r>
    </w:p>
    <w:tbl>
      <w:tblPr>
        <w:tblW w:w="9360" w:type="dxa"/>
        <w:tblLayout w:type="fixed"/>
        <w:tblCellMar>
          <w:left w:w="60" w:type="dxa"/>
          <w:right w:w="60" w:type="dxa"/>
        </w:tblCellMar>
      </w:tblPr>
      <w:tblGrid>
        <w:gridCol w:w="2600"/>
        <w:gridCol w:w="1200"/>
        <w:gridCol w:w="1400"/>
        <w:gridCol w:w="1400"/>
        <w:gridCol w:w="1400"/>
        <w:gridCol w:w="1360"/>
      </w:tblGrid>
      <w:tr>
        <w:trPr>
          <w:cantSplit/>
          <w:tblHeader/>
        </w:trPr>
        <w:tc>
          <w:tcPr>
            <w:tcW w:w="2600" w:type="dxa"/>
            <w:tcBorders>
              <w:top w:val="single" w:sz="8" w:space="0" w:color="000000"/>
              <w:bottom w:val="single" w:sz="4" w:space="0" w:color="000000"/>
            </w:tcBorders>
          </w:tcPr>
          <w:p>
            <w:pPr>
              <w:pStyle w:val="Compact"/>
              <w:spacing w:before="30" w:after="30"/>
            </w:pPr>
            <w:r>
              <w:rPr>
                <w:b/>
                <w:bCs/>
                <w:sz w:val="17"/>
              </w:rPr>
              <w:t xml:space="preserve">Model</w:t>
            </w:r>
          </w:p>
        </w:tc>
        <w:tc>
          <w:tcPr>
            <w:tcW w:w="1200" w:type="dxa"/>
            <w:tcBorders>
              <w:top w:val="single" w:sz="8" w:space="0" w:color="000000"/>
              <w:bottom w:val="single" w:sz="4" w:space="0" w:color="000000"/>
            </w:tcBorders>
          </w:tcPr>
          <w:p>
            <w:pPr>
              <w:pStyle w:val="Compact"/>
              <w:spacing w:before="30" w:after="30"/>
            </w:pPr>
            <w:r>
              <w:rPr>
                <w:b/>
                <w:bCs/>
                <w:sz w:val="17"/>
              </w:rPr>
              <w:t xml:space="preserve">a</w:t>
            </w:r>
          </w:p>
        </w:tc>
        <w:tc>
          <w:tcPr>
            <w:tcW w:w="1400" w:type="dxa"/>
            <w:tcBorders>
              <w:top w:val="single" w:sz="8" w:space="0" w:color="000000"/>
              <w:bottom w:val="single" w:sz="4" w:space="0" w:color="000000"/>
            </w:tcBorders>
          </w:tcPr>
          <w:p>
            <w:pPr>
              <w:pStyle w:val="Compact"/>
              <w:spacing w:before="30" w:after="30"/>
            </w:pPr>
            <w:r>
              <w:rPr>
                <w:b/>
                <w:bCs/>
                <w:sz w:val="17"/>
              </w:rPr>
              <w:t xml:space="preserve">V (π = .5)</w:t>
            </w:r>
          </w:p>
        </w:tc>
        <w:tc>
          <w:tcPr>
            <w:tcW w:w="1400" w:type="dxa"/>
            <w:tcBorders>
              <w:top w:val="single" w:sz="8" w:space="0" w:color="000000"/>
              <w:bottom w:val="single" w:sz="4" w:space="0" w:color="000000"/>
            </w:tcBorders>
          </w:tcPr>
          <w:p>
            <w:pPr>
              <w:pStyle w:val="Compact"/>
              <w:spacing w:before="30" w:after="30"/>
            </w:pPr>
            <w:r>
              <w:rPr>
                <w:b/>
                <w:bCs/>
                <w:sz w:val="17"/>
              </w:rPr>
              <w:t xml:space="preserve">V (π = .7)</w:t>
            </w:r>
          </w:p>
        </w:tc>
        <w:tc>
          <w:tcPr>
            <w:tcW w:w="1400" w:type="dxa"/>
            <w:tcBorders>
              <w:top w:val="single" w:sz="8" w:space="0" w:color="000000"/>
              <w:bottom w:val="single" w:sz="4" w:space="0" w:color="000000"/>
            </w:tcBorders>
          </w:tcPr>
          <w:p>
            <w:pPr>
              <w:pStyle w:val="Compact"/>
              <w:spacing w:before="30" w:after="30"/>
            </w:pPr>
            <w:r>
              <w:rPr>
                <w:b/>
                <w:bCs/>
                <w:sz w:val="17"/>
              </w:rPr>
              <w:t xml:space="preserve">V (π = .9)</w:t>
            </w:r>
          </w:p>
        </w:tc>
        <w:tc>
          <w:tcPr>
            <w:tcW w:w="1360" w:type="dxa"/>
            <w:tcBorders>
              <w:top w:val="single" w:sz="8" w:space="0" w:color="000000"/>
              <w:bottom w:val="single" w:sz="4" w:space="0" w:color="000000"/>
            </w:tcBorders>
          </w:tcPr>
          <w:p>
            <w:pPr>
              <w:pStyle w:val="Compact"/>
              <w:spacing w:before="30" w:after="30"/>
            </w:pPr>
            <w:r>
              <w:rPr>
                <w:b/>
                <w:bCs/>
                <w:sz w:val="17"/>
              </w:rPr>
              <w:t xml:space="preserve">1/(1 − s*)</w:t>
            </w:r>
          </w:p>
        </w:tc>
      </w:tr>
      <w:tr>
        <w:trPr>
          <w:cantSplit/>
        </w:trPr>
        <w:tc>
          <w:tcPr>
            <w:tcW w:w="2600" w:type="dxa"/>
          </w:tcPr>
          <w:p>
            <w:pPr>
              <w:pStyle w:val="Compact"/>
              <w:spacing w:before="30" w:after="30"/>
            </w:pPr>
            <w:r>
              <w:rPr>
                <w:b/>
                <w:bCs/>
                <w:sz w:val="17"/>
              </w:rPr>
              <w:t xml:space="preserve">Haiku 4.5</w:t>
            </w:r>
          </w:p>
        </w:tc>
        <w:tc>
          <w:tcPr>
            <w:tcW w:w="1200" w:type="dxa"/>
          </w:tcPr>
          <w:p>
            <w:pPr>
              <w:pStyle w:val="Compact"/>
              <w:spacing w:before="30" w:after="30"/>
            </w:pPr>
            <w:r>
              <w:rPr>
                <w:sz w:val="17"/>
              </w:rPr>
              <w:t xml:space="preserve">0.99</w:t>
            </w:r>
          </w:p>
        </w:tc>
        <w:tc>
          <w:tcPr>
            <w:tcW w:w="1400" w:type="dxa"/>
          </w:tcPr>
          <w:p>
            <w:pPr>
              <w:pStyle w:val="Compact"/>
              <w:spacing w:before="30" w:after="30"/>
            </w:pPr>
            <w:r>
              <w:rPr>
                <w:sz w:val="17"/>
              </w:rPr>
              <w:t xml:space="preserve">+0.44</w:t>
            </w:r>
          </w:p>
        </w:tc>
        <w:tc>
          <w:tcPr>
            <w:tcW w:w="1400" w:type="dxa"/>
          </w:tcPr>
          <w:p>
            <w:pPr>
              <w:pStyle w:val="Compact"/>
              <w:spacing w:before="30" w:after="30"/>
            </w:pPr>
            <w:r>
              <w:rPr>
                <w:sz w:val="17"/>
              </w:rPr>
              <w:t xml:space="preserve">+0.26</w:t>
            </w:r>
          </w:p>
        </w:tc>
        <w:tc>
          <w:tcPr>
            <w:tcW w:w="1400" w:type="dxa"/>
          </w:tcPr>
          <w:p>
            <w:pPr>
              <w:pStyle w:val="Compact"/>
              <w:spacing w:before="30" w:after="30"/>
            </w:pPr>
            <w:r>
              <w:rPr>
                <w:sz w:val="17"/>
              </w:rPr>
              <w:t xml:space="preserve">+0.08</w:t>
            </w:r>
          </w:p>
        </w:tc>
        <w:tc>
          <w:tcPr>
            <w:tcW w:w="1360" w:type="dxa"/>
          </w:tcPr>
          <w:p>
            <w:pPr>
              <w:pStyle w:val="Compact"/>
              <w:spacing w:before="30" w:after="30"/>
            </w:pPr>
            <w:r>
              <w:rPr>
                <w:sz w:val="17"/>
              </w:rPr>
              <w:t xml:space="preserve">1.1</w:t>
            </w:r>
          </w:p>
        </w:tc>
      </w:tr>
      <w:tr>
        <w:trPr>
          <w:cantSplit/>
        </w:trPr>
        <w:tc>
          <w:tcPr>
            <w:tcW w:w="2600" w:type="dxa"/>
          </w:tcPr>
          <w:p>
            <w:pPr>
              <w:pStyle w:val="Compact"/>
              <w:spacing w:before="30" w:after="30"/>
            </w:pPr>
            <w:r>
              <w:rPr>
                <w:b/>
                <w:bCs/>
                <w:sz w:val="17"/>
              </w:rPr>
              <w:t xml:space="preserve">Sonnet 5.5</w:t>
            </w:r>
          </w:p>
        </w:tc>
        <w:tc>
          <w:tcPr>
            <w:tcW w:w="1200" w:type="dxa"/>
          </w:tcPr>
          <w:p>
            <w:pPr>
              <w:pStyle w:val="Compact"/>
              <w:spacing w:before="30" w:after="30"/>
            </w:pPr>
            <w:r>
              <w:rPr>
                <w:sz w:val="17"/>
              </w:rPr>
              <w:t xml:space="preserve">1.00</w:t>
            </w:r>
          </w:p>
        </w:tc>
        <w:tc>
          <w:tcPr>
            <w:tcW w:w="1400" w:type="dxa"/>
          </w:tcPr>
          <w:p>
            <w:pPr>
              <w:pStyle w:val="Compact"/>
              <w:spacing w:before="30" w:after="30"/>
            </w:pPr>
            <w:r>
              <w:rPr>
                <w:sz w:val="17"/>
              </w:rPr>
              <w:t xml:space="preserve">+0.49</w:t>
            </w:r>
          </w:p>
        </w:tc>
        <w:tc>
          <w:tcPr>
            <w:tcW w:w="1400" w:type="dxa"/>
          </w:tcPr>
          <w:p>
            <w:pPr>
              <w:pStyle w:val="Compact"/>
              <w:spacing w:before="30" w:after="30"/>
            </w:pPr>
            <w:r>
              <w:rPr>
                <w:sz w:val="17"/>
              </w:rPr>
              <w:t xml:space="preserve">+0.29</w:t>
            </w:r>
          </w:p>
        </w:tc>
        <w:tc>
          <w:tcPr>
            <w:tcW w:w="1400" w:type="dxa"/>
          </w:tcPr>
          <w:p>
            <w:pPr>
              <w:pStyle w:val="Compact"/>
              <w:spacing w:before="30" w:after="30"/>
            </w:pPr>
            <w:r>
              <w:rPr>
                <w:sz w:val="17"/>
              </w:rPr>
              <w:t xml:space="preserve">+0.10</w:t>
            </w:r>
          </w:p>
        </w:tc>
        <w:tc>
          <w:tcPr>
            <w:tcW w:w="1360" w:type="dxa"/>
          </w:tcPr>
          <w:p>
            <w:pPr>
              <w:pStyle w:val="Compact"/>
              <w:spacing w:before="30" w:after="30"/>
            </w:pPr>
            <w:r>
              <w:rPr>
                <w:sz w:val="17"/>
              </w:rPr>
              <w:t xml:space="preserve">1.0</w:t>
            </w:r>
          </w:p>
        </w:tc>
      </w:tr>
      <w:tr>
        <w:trPr>
          <w:cantSplit/>
        </w:trPr>
        <w:tc>
          <w:tcPr>
            <w:tcW w:w="2600" w:type="dxa"/>
          </w:tcPr>
          <w:p>
            <w:pPr>
              <w:pStyle w:val="Compact"/>
              <w:spacing w:before="30" w:after="30"/>
            </w:pPr>
            <w:r>
              <w:rPr>
                <w:b/>
                <w:bCs/>
                <w:sz w:val="17"/>
              </w:rPr>
              <w:t xml:space="preserve">Opus 5.5</w:t>
            </w:r>
          </w:p>
        </w:tc>
        <w:tc>
          <w:tcPr>
            <w:tcW w:w="1200" w:type="dxa"/>
          </w:tcPr>
          <w:p>
            <w:pPr>
              <w:pStyle w:val="Compact"/>
              <w:spacing w:before="30" w:after="30"/>
            </w:pPr>
            <w:r>
              <w:rPr>
                <w:sz w:val="17"/>
              </w:rPr>
              <w:t xml:space="preserve">1.00</w:t>
            </w:r>
          </w:p>
        </w:tc>
        <w:tc>
          <w:tcPr>
            <w:tcW w:w="1400" w:type="dxa"/>
          </w:tcPr>
          <w:p>
            <w:pPr>
              <w:pStyle w:val="Compact"/>
              <w:spacing w:before="30" w:after="30"/>
            </w:pPr>
            <w:r>
              <w:rPr>
                <w:sz w:val="17"/>
              </w:rPr>
              <w:t xml:space="preserve">+0.50</w:t>
            </w:r>
          </w:p>
        </w:tc>
        <w:tc>
          <w:tcPr>
            <w:tcW w:w="1400" w:type="dxa"/>
          </w:tcPr>
          <w:p>
            <w:pPr>
              <w:pStyle w:val="Compact"/>
              <w:spacing w:before="30" w:after="30"/>
            </w:pPr>
            <w:r>
              <w:rPr>
                <w:sz w:val="17"/>
              </w:rPr>
              <w:t xml:space="preserve">+0.30</w:t>
            </w:r>
          </w:p>
        </w:tc>
        <w:tc>
          <w:tcPr>
            <w:tcW w:w="1400" w:type="dxa"/>
          </w:tcPr>
          <w:p>
            <w:pPr>
              <w:pStyle w:val="Compact"/>
              <w:spacing w:before="30" w:after="30"/>
            </w:pPr>
            <w:r>
              <w:rPr>
                <w:sz w:val="17"/>
              </w:rPr>
              <w:t xml:space="preserve">+0.10</w:t>
            </w:r>
          </w:p>
        </w:tc>
        <w:tc>
          <w:tcPr>
            <w:tcW w:w="1360" w:type="dxa"/>
          </w:tcPr>
          <w:p>
            <w:pPr>
              <w:pStyle w:val="Compact"/>
              <w:spacing w:before="30" w:after="30"/>
            </w:pPr>
            <w:r>
              <w:rPr>
                <w:sz w:val="17"/>
              </w:rPr>
              <w:t xml:space="preserve">1.0</w:t>
            </w:r>
          </w:p>
        </w:tc>
      </w:tr>
      <w:tr>
        <w:trPr>
          <w:cantSplit/>
        </w:trPr>
        <w:tc>
          <w:tcPr>
            <w:tcW w:w="2600" w:type="dxa"/>
          </w:tcPr>
          <w:p>
            <w:pPr>
              <w:pStyle w:val="Compact"/>
              <w:spacing w:before="30" w:after="30"/>
            </w:pPr>
            <w:r>
              <w:rPr>
                <w:b/>
                <w:bCs/>
                <w:sz w:val="17"/>
              </w:rPr>
              <w:t xml:space="preserve">Fable 5.1</w:t>
            </w:r>
          </w:p>
        </w:tc>
        <w:tc>
          <w:tcPr>
            <w:tcW w:w="1200" w:type="dxa"/>
          </w:tcPr>
          <w:p>
            <w:pPr>
              <w:pStyle w:val="Compact"/>
              <w:spacing w:before="30" w:after="30"/>
            </w:pPr>
            <w:r>
              <w:rPr>
                <w:sz w:val="17"/>
              </w:rPr>
              <w:t xml:space="preserve">1.00</w:t>
            </w:r>
          </w:p>
        </w:tc>
        <w:tc>
          <w:tcPr>
            <w:tcW w:w="1400" w:type="dxa"/>
          </w:tcPr>
          <w:p>
            <w:pPr>
              <w:pStyle w:val="Compact"/>
              <w:spacing w:before="30" w:after="30"/>
            </w:pPr>
            <w:r>
              <w:rPr>
                <w:sz w:val="17"/>
              </w:rPr>
              <w:t xml:space="preserve">+0.50</w:t>
            </w:r>
          </w:p>
        </w:tc>
        <w:tc>
          <w:tcPr>
            <w:tcW w:w="1400" w:type="dxa"/>
          </w:tcPr>
          <w:p>
            <w:pPr>
              <w:pStyle w:val="Compact"/>
              <w:spacing w:before="30" w:after="30"/>
            </w:pPr>
            <w:r>
              <w:rPr>
                <w:sz w:val="17"/>
              </w:rPr>
              <w:t xml:space="preserve">+0.30</w:t>
            </w:r>
          </w:p>
        </w:tc>
        <w:tc>
          <w:tcPr>
            <w:tcW w:w="1400" w:type="dxa"/>
          </w:tcPr>
          <w:p>
            <w:pPr>
              <w:pStyle w:val="Compact"/>
              <w:spacing w:before="30" w:after="30"/>
            </w:pPr>
            <w:r>
              <w:rPr>
                <w:sz w:val="17"/>
              </w:rPr>
              <w:t xml:space="preserve">+0.10</w:t>
            </w:r>
          </w:p>
        </w:tc>
        <w:tc>
          <w:tcPr>
            <w:tcW w:w="1360" w:type="dxa"/>
          </w:tcPr>
          <w:p>
            <w:pPr>
              <w:pStyle w:val="Compact"/>
              <w:spacing w:before="30" w:after="30"/>
            </w:pPr>
            <w:r>
              <w:rPr>
                <w:sz w:val="17"/>
              </w:rPr>
              <w:t xml:space="preserve">1.0</w:t>
            </w:r>
          </w:p>
        </w:tc>
      </w:tr>
      <w:tr>
        <w:trPr>
          <w:cantSplit/>
        </w:trPr>
        <w:tc>
          <w:tcPr>
            <w:tcW w:w="2600" w:type="dxa"/>
          </w:tcPr>
          <w:p>
            <w:pPr>
              <w:pStyle w:val="Compact"/>
              <w:spacing w:before="30" w:after="30"/>
            </w:pPr>
            <w:r>
              <w:rPr>
                <w:b/>
                <w:bCs/>
                <w:sz w:val="17"/>
              </w:rPr>
              <w:t xml:space="preserve">Gemma-3 4B</w:t>
            </w:r>
          </w:p>
        </w:tc>
        <w:tc>
          <w:tcPr>
            <w:tcW w:w="1200" w:type="dxa"/>
          </w:tcPr>
          <w:p>
            <w:pPr>
              <w:pStyle w:val="Compact"/>
              <w:spacing w:before="30" w:after="30"/>
            </w:pPr>
            <w:r>
              <w:rPr>
                <w:sz w:val="17"/>
              </w:rPr>
              <w:t xml:space="preserve">0.35</w:t>
            </w:r>
          </w:p>
        </w:tc>
        <w:tc>
          <w:tcPr>
            <w:tcW w:w="1400" w:type="dxa"/>
          </w:tcPr>
          <w:p>
            <w:pPr>
              <w:pStyle w:val="Compact"/>
              <w:spacing w:before="30" w:after="30"/>
            </w:pPr>
            <w:r>
              <w:rPr>
                <w:sz w:val="17"/>
              </w:rPr>
              <w:t xml:space="preserve">+0.01</w:t>
            </w:r>
          </w:p>
        </w:tc>
        <w:tc>
          <w:tcPr>
            <w:tcW w:w="1400" w:type="dxa"/>
          </w:tcPr>
          <w:p>
            <w:pPr>
              <w:pStyle w:val="Compact"/>
              <w:spacing w:before="30" w:after="30"/>
            </w:pPr>
            <w:r>
              <w:rPr>
                <w:sz w:val="17"/>
              </w:rPr>
              <w:t xml:space="preserve">+0.00</w:t>
            </w:r>
          </w:p>
        </w:tc>
        <w:tc>
          <w:tcPr>
            <w:tcW w:w="1400" w:type="dxa"/>
          </w:tcPr>
          <w:p>
            <w:pPr>
              <w:pStyle w:val="Compact"/>
              <w:spacing w:before="30" w:after="30"/>
            </w:pPr>
            <w:r>
              <w:rPr>
                <w:sz w:val="17"/>
              </w:rPr>
              <w:t xml:space="preserve">-0.01</w:t>
            </w:r>
          </w:p>
        </w:tc>
        <w:tc>
          <w:tcPr>
            <w:tcW w:w="1360" w:type="dxa"/>
          </w:tcPr>
          <w:p>
            <w:pPr>
              <w:pStyle w:val="Compact"/>
              <w:spacing w:before="30" w:after="30"/>
            </w:pPr>
            <w:r>
              <w:rPr>
                <w:sz w:val="17"/>
              </w:rPr>
              <w:t xml:space="preserve">6.0</w:t>
            </w:r>
          </w:p>
        </w:tc>
      </w:tr>
      <w:tr>
        <w:trPr>
          <w:cantSplit/>
        </w:trPr>
        <w:tc>
          <w:tcPr>
            <w:tcW w:w="2600" w:type="dxa"/>
          </w:tcPr>
          <w:p>
            <w:pPr>
              <w:pStyle w:val="Compact"/>
              <w:spacing w:before="30" w:after="30"/>
            </w:pPr>
            <w:r>
              <w:rPr>
                <w:b/>
                <w:bCs/>
                <w:sz w:val="17"/>
              </w:rPr>
              <w:t xml:space="preserve">Gemma-3 12B</w:t>
            </w:r>
          </w:p>
        </w:tc>
        <w:tc>
          <w:tcPr>
            <w:tcW w:w="1200" w:type="dxa"/>
          </w:tcPr>
          <w:p>
            <w:pPr>
              <w:pStyle w:val="Compact"/>
              <w:spacing w:before="30" w:after="30"/>
            </w:pPr>
            <w:r>
              <w:rPr>
                <w:sz w:val="17"/>
              </w:rPr>
              <w:t xml:space="preserve">0.42</w:t>
            </w:r>
          </w:p>
        </w:tc>
        <w:tc>
          <w:tcPr>
            <w:tcW w:w="1400" w:type="dxa"/>
          </w:tcPr>
          <w:p>
            <w:pPr>
              <w:pStyle w:val="Compact"/>
              <w:spacing w:before="30" w:after="30"/>
            </w:pPr>
            <w:r>
              <w:rPr>
                <w:sz w:val="17"/>
              </w:rPr>
              <w:t xml:space="preserve">+0.00</w:t>
            </w:r>
          </w:p>
        </w:tc>
        <w:tc>
          <w:tcPr>
            <w:tcW w:w="1400" w:type="dxa"/>
          </w:tcPr>
          <w:p>
            <w:pPr>
              <w:pStyle w:val="Compact"/>
              <w:spacing w:before="30" w:after="30"/>
            </w:pPr>
            <w:r>
              <w:rPr>
                <w:sz w:val="17"/>
              </w:rPr>
              <w:t xml:space="preserve">-0.00</w:t>
            </w:r>
          </w:p>
        </w:tc>
        <w:tc>
          <w:tcPr>
            <w:tcW w:w="1400" w:type="dxa"/>
          </w:tcPr>
          <w:p>
            <w:pPr>
              <w:pStyle w:val="Compact"/>
              <w:spacing w:before="30" w:after="30"/>
            </w:pPr>
            <w:r>
              <w:rPr>
                <w:sz w:val="17"/>
              </w:rPr>
              <w:t xml:space="preserve">-0.00</w:t>
            </w:r>
          </w:p>
        </w:tc>
        <w:tc>
          <w:tcPr>
            <w:tcW w:w="1360" w:type="dxa"/>
          </w:tcPr>
          <w:p>
            <w:pPr>
              <w:pStyle w:val="Compact"/>
              <w:spacing w:before="30" w:after="30"/>
            </w:pPr>
            <w:r>
              <w:rPr>
                <w:sz w:val="17"/>
              </w:rPr>
              <w:t xml:space="preserve">11.5</w:t>
            </w:r>
          </w:p>
        </w:tc>
      </w:tr>
      <w:tr>
        <w:trPr>
          <w:cantSplit/>
        </w:trPr>
        <w:tc>
          <w:tcPr>
            <w:tcW w:w="2600" w:type="dxa"/>
          </w:tcPr>
          <w:p>
            <w:pPr>
              <w:pStyle w:val="Compact"/>
              <w:spacing w:before="30" w:after="30"/>
            </w:pPr>
            <w:r>
              <w:rPr>
                <w:b/>
                <w:bCs/>
                <w:sz w:val="17"/>
              </w:rPr>
              <w:t xml:space="preserve">Gemma-3 27B</w:t>
            </w:r>
          </w:p>
        </w:tc>
        <w:tc>
          <w:tcPr>
            <w:tcW w:w="1200" w:type="dxa"/>
          </w:tcPr>
          <w:p>
            <w:pPr>
              <w:pStyle w:val="Compact"/>
              <w:spacing w:before="30" w:after="30"/>
            </w:pPr>
            <w:r>
              <w:rPr>
                <w:sz w:val="17"/>
              </w:rPr>
              <w:t xml:space="preserve">0.42</w:t>
            </w:r>
          </w:p>
        </w:tc>
        <w:tc>
          <w:tcPr>
            <w:tcW w:w="1400" w:type="dxa"/>
          </w:tcPr>
          <w:p>
            <w:pPr>
              <w:pStyle w:val="Compact"/>
              <w:spacing w:before="30" w:after="30"/>
            </w:pPr>
            <w:r>
              <w:rPr>
                <w:sz w:val="17"/>
              </w:rPr>
              <w:t xml:space="preserve">+0.02</w:t>
            </w:r>
          </w:p>
        </w:tc>
        <w:tc>
          <w:tcPr>
            <w:tcW w:w="1400" w:type="dxa"/>
          </w:tcPr>
          <w:p>
            <w:pPr>
              <w:pStyle w:val="Compact"/>
              <w:spacing w:before="30" w:after="30"/>
            </w:pPr>
            <w:r>
              <w:rPr>
                <w:sz w:val="17"/>
              </w:rPr>
              <w:t xml:space="preserve">+0.00</w:t>
            </w:r>
          </w:p>
        </w:tc>
        <w:tc>
          <w:tcPr>
            <w:tcW w:w="1400" w:type="dxa"/>
          </w:tcPr>
          <w:p>
            <w:pPr>
              <w:pStyle w:val="Compact"/>
              <w:spacing w:before="30" w:after="30"/>
            </w:pPr>
            <w:r>
              <w:rPr>
                <w:sz w:val="17"/>
              </w:rPr>
              <w:t xml:space="preserve">-0.02</w:t>
            </w:r>
          </w:p>
        </w:tc>
        <w:tc>
          <w:tcPr>
            <w:tcW w:w="1360" w:type="dxa"/>
          </w:tcPr>
          <w:p>
            <w:pPr>
              <w:pStyle w:val="Compact"/>
              <w:spacing w:before="30" w:after="30"/>
            </w:pPr>
            <w:r>
              <w:rPr>
                <w:sz w:val="17"/>
              </w:rPr>
              <w:t xml:space="preserve">4.4</w:t>
            </w:r>
          </w:p>
        </w:tc>
      </w:tr>
      <w:tr>
        <w:trPr>
          <w:cantSplit/>
        </w:trPr>
        <w:tc>
          <w:tcPr>
            <w:tcW w:w="2600" w:type="dxa"/>
          </w:tcPr>
          <w:p>
            <w:pPr>
              <w:pStyle w:val="Compact"/>
              <w:spacing w:before="30" w:after="30"/>
            </w:pPr>
            <w:r>
              <w:rPr>
                <w:b/>
                <w:bCs/>
                <w:sz w:val="17"/>
              </w:rPr>
              <w:t xml:space="preserve">Llama-3.1 8B</w:t>
            </w:r>
          </w:p>
        </w:tc>
        <w:tc>
          <w:tcPr>
            <w:tcW w:w="1200" w:type="dxa"/>
          </w:tcPr>
          <w:p>
            <w:pPr>
              <w:pStyle w:val="Compact"/>
              <w:spacing w:before="30" w:after="30"/>
            </w:pPr>
            <w:r>
              <w:rPr>
                <w:sz w:val="17"/>
              </w:rPr>
              <w:t xml:space="preserve">0.35</w:t>
            </w:r>
          </w:p>
        </w:tc>
        <w:tc>
          <w:tcPr>
            <w:tcW w:w="1400" w:type="dxa"/>
          </w:tcPr>
          <w:p>
            <w:pPr>
              <w:pStyle w:val="Compact"/>
              <w:spacing w:before="30" w:after="30"/>
            </w:pPr>
            <w:r>
              <w:rPr>
                <w:sz w:val="17"/>
              </w:rPr>
              <w:t xml:space="preserve">-0.06</w:t>
            </w:r>
          </w:p>
        </w:tc>
        <w:tc>
          <w:tcPr>
            <w:tcW w:w="1400" w:type="dxa"/>
          </w:tcPr>
          <w:p>
            <w:pPr>
              <w:pStyle w:val="Compact"/>
              <w:spacing w:before="30" w:after="30"/>
            </w:pPr>
            <w:r>
              <w:rPr>
                <w:sz w:val="17"/>
              </w:rPr>
              <w:t xml:space="preserve">-0.15</w:t>
            </w:r>
          </w:p>
        </w:tc>
        <w:tc>
          <w:tcPr>
            <w:tcW w:w="1400" w:type="dxa"/>
          </w:tcPr>
          <w:p>
            <w:pPr>
              <w:pStyle w:val="Compact"/>
              <w:spacing w:before="30" w:after="30"/>
            </w:pPr>
            <w:r>
              <w:rPr>
                <w:sz w:val="17"/>
              </w:rPr>
              <w:t xml:space="preserve">-0.23</w:t>
            </w:r>
          </w:p>
        </w:tc>
        <w:tc>
          <w:tcPr>
            <w:tcW w:w="1360" w:type="dxa"/>
          </w:tcPr>
          <w:p>
            <w:pPr>
              <w:pStyle w:val="Compact"/>
              <w:spacing w:before="30" w:after="30"/>
            </w:pPr>
            <w:r>
              <w:rPr>
                <w:sz w:val="17"/>
              </w:rPr>
              <w:t xml:space="preserve">1.4</w:t>
            </w:r>
          </w:p>
        </w:tc>
      </w:tr>
      <w:tr>
        <w:trPr>
          <w:cantSplit/>
        </w:trPr>
        <w:tc>
          <w:tcPr>
            <w:tcW w:w="2600" w:type="dxa"/>
          </w:tcPr>
          <w:p>
            <w:pPr>
              <w:pStyle w:val="Compact"/>
              <w:spacing w:before="30" w:after="30"/>
            </w:pPr>
            <w:r>
              <w:rPr>
                <w:b/>
                <w:bCs/>
                <w:sz w:val="17"/>
              </w:rPr>
              <w:t xml:space="preserve">Llama-3.1 70B</w:t>
            </w:r>
          </w:p>
        </w:tc>
        <w:tc>
          <w:tcPr>
            <w:tcW w:w="1200" w:type="dxa"/>
          </w:tcPr>
          <w:p>
            <w:pPr>
              <w:pStyle w:val="Compact"/>
              <w:spacing w:before="30" w:after="30"/>
            </w:pPr>
            <w:r>
              <w:rPr>
                <w:sz w:val="17"/>
              </w:rPr>
              <w:t xml:space="preserve">0.41</w:t>
            </w:r>
          </w:p>
        </w:tc>
        <w:tc>
          <w:tcPr>
            <w:tcW w:w="1400" w:type="dxa"/>
          </w:tcPr>
          <w:p>
            <w:pPr>
              <w:pStyle w:val="Compact"/>
              <w:spacing w:before="30" w:after="30"/>
            </w:pPr>
            <w:r>
              <w:rPr>
                <w:sz w:val="17"/>
              </w:rPr>
              <w:t xml:space="preserve">+0.02</w:t>
            </w:r>
          </w:p>
        </w:tc>
        <w:tc>
          <w:tcPr>
            <w:tcW w:w="1400" w:type="dxa"/>
          </w:tcPr>
          <w:p>
            <w:pPr>
              <w:pStyle w:val="Compact"/>
              <w:spacing w:before="30" w:after="30"/>
            </w:pPr>
            <w:r>
              <w:rPr>
                <w:sz w:val="17"/>
              </w:rPr>
              <w:t xml:space="preserve">-0.02</w:t>
            </w:r>
          </w:p>
        </w:tc>
        <w:tc>
          <w:tcPr>
            <w:tcW w:w="1400" w:type="dxa"/>
          </w:tcPr>
          <w:p>
            <w:pPr>
              <w:pStyle w:val="Compact"/>
              <w:spacing w:before="30" w:after="30"/>
            </w:pPr>
            <w:r>
              <w:rPr>
                <w:sz w:val="17"/>
              </w:rPr>
              <w:t xml:space="preserve">-0.07</w:t>
            </w:r>
          </w:p>
        </w:tc>
        <w:tc>
          <w:tcPr>
            <w:tcW w:w="1360" w:type="dxa"/>
          </w:tcPr>
          <w:p>
            <w:pPr>
              <w:pStyle w:val="Compact"/>
              <w:spacing w:before="30" w:after="30"/>
            </w:pPr>
            <w:r>
              <w:rPr>
                <w:sz w:val="17"/>
              </w:rPr>
              <w:t xml:space="preserve">2.3</w:t>
            </w:r>
          </w:p>
        </w:tc>
      </w:tr>
      <w:tr>
        <w:trPr>
          <w:cantSplit/>
        </w:trPr>
        <w:tc>
          <w:tcPr>
            <w:tcW w:w="2600" w:type="dxa"/>
          </w:tcPr>
          <w:p>
            <w:pPr>
              <w:pStyle w:val="Compact"/>
              <w:spacing w:before="30" w:after="30"/>
            </w:pPr>
            <w:r>
              <w:rPr>
                <w:b/>
                <w:bCs/>
                <w:sz w:val="17"/>
              </w:rPr>
              <w:t xml:space="preserve">Ministral 3B</w:t>
            </w:r>
          </w:p>
        </w:tc>
        <w:tc>
          <w:tcPr>
            <w:tcW w:w="1200" w:type="dxa"/>
          </w:tcPr>
          <w:p>
            <w:pPr>
              <w:pStyle w:val="Compact"/>
              <w:spacing w:before="30" w:after="30"/>
            </w:pPr>
            <w:r>
              <w:rPr>
                <w:sz w:val="17"/>
              </w:rPr>
              <w:t xml:space="preserve">0.35</w:t>
            </w:r>
          </w:p>
        </w:tc>
        <w:tc>
          <w:tcPr>
            <w:tcW w:w="1400" w:type="dxa"/>
          </w:tcPr>
          <w:p>
            <w:pPr>
              <w:pStyle w:val="Compact"/>
              <w:spacing w:before="30" w:after="30"/>
            </w:pPr>
            <w:r>
              <w:rPr>
                <w:sz w:val="17"/>
              </w:rPr>
              <w:t xml:space="preserve">-0.13</w:t>
            </w:r>
          </w:p>
        </w:tc>
        <w:tc>
          <w:tcPr>
            <w:tcW w:w="1400" w:type="dxa"/>
          </w:tcPr>
          <w:p>
            <w:pPr>
              <w:pStyle w:val="Compact"/>
              <w:spacing w:before="30" w:after="30"/>
            </w:pPr>
            <w:r>
              <w:rPr>
                <w:sz w:val="17"/>
              </w:rPr>
              <w:t xml:space="preserve">-0.29</w:t>
            </w:r>
          </w:p>
        </w:tc>
        <w:tc>
          <w:tcPr>
            <w:tcW w:w="1400" w:type="dxa"/>
          </w:tcPr>
          <w:p>
            <w:pPr>
              <w:pStyle w:val="Compact"/>
              <w:spacing w:before="30" w:after="30"/>
            </w:pPr>
            <w:r>
              <w:rPr>
                <w:sz w:val="17"/>
              </w:rPr>
              <w:t xml:space="preserve">-0.46</w:t>
            </w:r>
          </w:p>
        </w:tc>
        <w:tc>
          <w:tcPr>
            <w:tcW w:w="1360" w:type="dxa"/>
          </w:tcPr>
          <w:p>
            <w:pPr>
              <w:pStyle w:val="Compact"/>
              <w:spacing w:before="30" w:after="30"/>
            </w:pPr>
            <w:r>
              <w:rPr>
                <w:sz w:val="17"/>
              </w:rPr>
              <w:t xml:space="preserve">1.1</w:t>
            </w:r>
          </w:p>
        </w:tc>
      </w:tr>
      <w:tr>
        <w:trPr>
          <w:cantSplit/>
        </w:trPr>
        <w:tc>
          <w:tcPr>
            <w:tcW w:w="2600" w:type="dxa"/>
          </w:tcPr>
          <w:p>
            <w:pPr>
              <w:pStyle w:val="Compact"/>
              <w:spacing w:before="30" w:after="30"/>
            </w:pPr>
            <w:r>
              <w:rPr>
                <w:b/>
                <w:bCs/>
                <w:sz w:val="17"/>
              </w:rPr>
              <w:t xml:space="preserve">Ministral 8B</w:t>
            </w:r>
          </w:p>
        </w:tc>
        <w:tc>
          <w:tcPr>
            <w:tcW w:w="1200" w:type="dxa"/>
          </w:tcPr>
          <w:p>
            <w:pPr>
              <w:pStyle w:val="Compact"/>
              <w:spacing w:before="30" w:after="30"/>
            </w:pPr>
            <w:r>
              <w:rPr>
                <w:sz w:val="17"/>
              </w:rPr>
              <w:t xml:space="preserve">0.38</w:t>
            </w:r>
          </w:p>
        </w:tc>
        <w:tc>
          <w:tcPr>
            <w:tcW w:w="1400" w:type="dxa"/>
          </w:tcPr>
          <w:p>
            <w:pPr>
              <w:pStyle w:val="Compact"/>
              <w:spacing w:before="30" w:after="30"/>
            </w:pPr>
            <w:r>
              <w:rPr>
                <w:sz w:val="17"/>
              </w:rPr>
              <w:t xml:space="preserve">-0.05</w:t>
            </w:r>
          </w:p>
        </w:tc>
        <w:tc>
          <w:tcPr>
            <w:tcW w:w="1400" w:type="dxa"/>
          </w:tcPr>
          <w:p>
            <w:pPr>
              <w:pStyle w:val="Compact"/>
              <w:spacing w:before="30" w:after="30"/>
            </w:pPr>
            <w:r>
              <w:rPr>
                <w:sz w:val="17"/>
              </w:rPr>
              <w:t xml:space="preserve">-0.18</w:t>
            </w:r>
          </w:p>
        </w:tc>
        <w:tc>
          <w:tcPr>
            <w:tcW w:w="1400" w:type="dxa"/>
          </w:tcPr>
          <w:p>
            <w:pPr>
              <w:pStyle w:val="Compact"/>
              <w:spacing w:before="30" w:after="30"/>
            </w:pPr>
            <w:r>
              <w:rPr>
                <w:sz w:val="17"/>
              </w:rPr>
              <w:t xml:space="preserve">-0.31</w:t>
            </w:r>
          </w:p>
        </w:tc>
        <w:tc>
          <w:tcPr>
            <w:tcW w:w="1360" w:type="dxa"/>
          </w:tcPr>
          <w:p>
            <w:pPr>
              <w:pStyle w:val="Compact"/>
              <w:spacing w:before="30" w:after="30"/>
            </w:pPr>
            <w:r>
              <w:rPr>
                <w:sz w:val="17"/>
              </w:rPr>
              <w:t xml:space="preserve">1.3</w:t>
            </w:r>
          </w:p>
        </w:tc>
      </w:tr>
      <w:tr>
        <w:trPr>
          <w:cantSplit/>
        </w:trPr>
        <w:tc>
          <w:tcPr>
            <w:tcW w:w="2600" w:type="dxa"/>
          </w:tcPr>
          <w:p>
            <w:pPr>
              <w:pStyle w:val="Compact"/>
              <w:spacing w:before="30" w:after="30"/>
            </w:pPr>
            <w:r>
              <w:rPr>
                <w:b/>
                <w:bCs/>
                <w:sz w:val="17"/>
              </w:rPr>
              <w:t xml:space="preserve">Ministral 14B</w:t>
            </w:r>
          </w:p>
        </w:tc>
        <w:tc>
          <w:tcPr>
            <w:tcW w:w="1200" w:type="dxa"/>
          </w:tcPr>
          <w:p>
            <w:pPr>
              <w:pStyle w:val="Compact"/>
              <w:spacing w:before="30" w:after="30"/>
            </w:pPr>
            <w:r>
              <w:rPr>
                <w:sz w:val="17"/>
              </w:rPr>
              <w:t xml:space="preserve">0.46</w:t>
            </w:r>
          </w:p>
        </w:tc>
        <w:tc>
          <w:tcPr>
            <w:tcW w:w="1400" w:type="dxa"/>
          </w:tcPr>
          <w:p>
            <w:pPr>
              <w:pStyle w:val="Compact"/>
              <w:spacing w:before="30" w:after="30"/>
            </w:pPr>
            <w:r>
              <w:rPr>
                <w:sz w:val="17"/>
              </w:rPr>
              <w:t xml:space="preserve">+0.00</w:t>
            </w:r>
          </w:p>
        </w:tc>
        <w:tc>
          <w:tcPr>
            <w:tcW w:w="1400" w:type="dxa"/>
          </w:tcPr>
          <w:p>
            <w:pPr>
              <w:pStyle w:val="Compact"/>
              <w:spacing w:before="30" w:after="30"/>
            </w:pPr>
            <w:r>
              <w:rPr>
                <w:sz w:val="17"/>
              </w:rPr>
              <w:t xml:space="preserve">-0.09</w:t>
            </w:r>
          </w:p>
        </w:tc>
        <w:tc>
          <w:tcPr>
            <w:tcW w:w="1400" w:type="dxa"/>
          </w:tcPr>
          <w:p>
            <w:pPr>
              <w:pStyle w:val="Compact"/>
              <w:spacing w:before="30" w:after="30"/>
            </w:pPr>
            <w:r>
              <w:rPr>
                <w:sz w:val="17"/>
              </w:rPr>
              <w:t xml:space="preserve">-0.18</w:t>
            </w:r>
          </w:p>
        </w:tc>
        <w:tc>
          <w:tcPr>
            <w:tcW w:w="1360" w:type="dxa"/>
          </w:tcPr>
          <w:p>
            <w:pPr>
              <w:pStyle w:val="Compact"/>
              <w:spacing w:before="30" w:after="30"/>
            </w:pPr>
            <w:r>
              <w:rPr>
                <w:sz w:val="17"/>
              </w:rPr>
              <w:t xml:space="preserve">1.7</w:t>
            </w:r>
          </w:p>
        </w:tc>
      </w:tr>
      <w:tr>
        <w:trPr>
          <w:cantSplit/>
        </w:trPr>
        <w:tc>
          <w:tcPr>
            <w:tcW w:w="2600" w:type="dxa"/>
          </w:tcPr>
          <w:p>
            <w:pPr>
              <w:pStyle w:val="Compact"/>
              <w:spacing w:before="30" w:after="30"/>
            </w:pPr>
            <w:r>
              <w:rPr>
                <w:b/>
                <w:bCs/>
                <w:sz w:val="17"/>
              </w:rPr>
              <w:t xml:space="preserve">Qwen2.5 7B</w:t>
            </w:r>
          </w:p>
        </w:tc>
        <w:tc>
          <w:tcPr>
            <w:tcW w:w="1200" w:type="dxa"/>
          </w:tcPr>
          <w:p>
            <w:pPr>
              <w:pStyle w:val="Compact"/>
              <w:spacing w:before="30" w:after="30"/>
            </w:pPr>
            <w:r>
              <w:rPr>
                <w:sz w:val="17"/>
              </w:rPr>
              <w:t xml:space="preserve">0.36</w:t>
            </w:r>
          </w:p>
        </w:tc>
        <w:tc>
          <w:tcPr>
            <w:tcW w:w="1400" w:type="dxa"/>
          </w:tcPr>
          <w:p>
            <w:pPr>
              <w:pStyle w:val="Compact"/>
              <w:spacing w:before="30" w:after="30"/>
            </w:pPr>
            <w:r>
              <w:rPr>
                <w:sz w:val="17"/>
              </w:rPr>
              <w:t xml:space="preserve">+0.03</w:t>
            </w:r>
          </w:p>
        </w:tc>
        <w:tc>
          <w:tcPr>
            <w:tcW w:w="1400" w:type="dxa"/>
          </w:tcPr>
          <w:p>
            <w:pPr>
              <w:pStyle w:val="Compact"/>
              <w:spacing w:before="30" w:after="30"/>
            </w:pPr>
            <w:r>
              <w:rPr>
                <w:sz w:val="17"/>
              </w:rPr>
              <w:t xml:space="preserve">-0.00</w:t>
            </w:r>
          </w:p>
        </w:tc>
        <w:tc>
          <w:tcPr>
            <w:tcW w:w="1400" w:type="dxa"/>
          </w:tcPr>
          <w:p>
            <w:pPr>
              <w:pStyle w:val="Compact"/>
              <w:spacing w:before="30" w:after="30"/>
            </w:pPr>
            <w:r>
              <w:rPr>
                <w:sz w:val="17"/>
              </w:rPr>
              <w:t xml:space="preserve">-0.03</w:t>
            </w:r>
          </w:p>
        </w:tc>
        <w:tc>
          <w:tcPr>
            <w:tcW w:w="1360" w:type="dxa"/>
          </w:tcPr>
          <w:p>
            <w:pPr>
              <w:pStyle w:val="Compact"/>
              <w:spacing w:before="30" w:after="30"/>
            </w:pPr>
            <w:r>
              <w:rPr>
                <w:sz w:val="17"/>
              </w:rPr>
              <w:t xml:space="preserve">3.0</w:t>
            </w:r>
          </w:p>
        </w:tc>
      </w:tr>
      <w:tr>
        <w:trPr>
          <w:cantSplit/>
        </w:trPr>
        <w:tc>
          <w:tcPr>
            <w:tcW w:w="2600" w:type="dxa"/>
            <w:tcBorders>
              <w:bottom w:val="single" w:sz="8" w:space="0" w:color="000000"/>
            </w:tcBorders>
          </w:tcPr>
          <w:p>
            <w:pPr>
              <w:pStyle w:val="Compact"/>
              <w:spacing w:before="30" w:after="30"/>
            </w:pPr>
            <w:r>
              <w:rPr>
                <w:b/>
                <w:bCs/>
                <w:sz w:val="17"/>
              </w:rPr>
              <w:t xml:space="preserve">Qwen2.5 72B</w:t>
            </w:r>
          </w:p>
        </w:tc>
        <w:tc>
          <w:tcPr>
            <w:tcW w:w="1200" w:type="dxa"/>
            <w:tcBorders>
              <w:bottom w:val="single" w:sz="8" w:space="0" w:color="000000"/>
            </w:tcBorders>
          </w:tcPr>
          <w:p>
            <w:pPr>
              <w:pStyle w:val="Compact"/>
              <w:spacing w:before="30" w:after="30"/>
            </w:pPr>
            <w:r>
              <w:rPr>
                <w:sz w:val="17"/>
              </w:rPr>
              <w:t xml:space="preserve">0.54</w:t>
            </w:r>
          </w:p>
        </w:tc>
        <w:tc>
          <w:tcPr>
            <w:tcW w:w="1400" w:type="dxa"/>
            <w:tcBorders>
              <w:bottom w:val="single" w:sz="8" w:space="0" w:color="000000"/>
            </w:tcBorders>
          </w:tcPr>
          <w:p>
            <w:pPr>
              <w:pStyle w:val="Compact"/>
              <w:spacing w:before="30" w:after="30"/>
            </w:pPr>
            <w:r>
              <w:rPr>
                <w:sz w:val="17"/>
              </w:rPr>
              <w:t xml:space="preserve">+0.05</w:t>
            </w:r>
          </w:p>
        </w:tc>
        <w:tc>
          <w:tcPr>
            <w:tcW w:w="1400" w:type="dxa"/>
            <w:tcBorders>
              <w:bottom w:val="single" w:sz="8" w:space="0" w:color="000000"/>
            </w:tcBorders>
          </w:tcPr>
          <w:p>
            <w:pPr>
              <w:pStyle w:val="Compact"/>
              <w:spacing w:before="30" w:after="30"/>
            </w:pPr>
            <w:r>
              <w:rPr>
                <w:sz w:val="17"/>
              </w:rPr>
              <w:t xml:space="preserve">+0.00</w:t>
            </w:r>
          </w:p>
        </w:tc>
        <w:tc>
          <w:tcPr>
            <w:tcW w:w="1400" w:type="dxa"/>
            <w:tcBorders>
              <w:bottom w:val="single" w:sz="8" w:space="0" w:color="000000"/>
            </w:tcBorders>
          </w:tcPr>
          <w:p>
            <w:pPr>
              <w:pStyle w:val="Compact"/>
              <w:spacing w:before="30" w:after="30"/>
            </w:pPr>
            <w:r>
              <w:rPr>
                <w:sz w:val="17"/>
              </w:rPr>
              <w:t xml:space="preserve">-0.05</w:t>
            </w:r>
          </w:p>
        </w:tc>
        <w:tc>
          <w:tcPr>
            <w:tcW w:w="1360" w:type="dxa"/>
            <w:tcBorders>
              <w:bottom w:val="single" w:sz="8" w:space="0" w:color="000000"/>
            </w:tcBorders>
          </w:tcPr>
          <w:p>
            <w:pPr>
              <w:pStyle w:val="Compact"/>
              <w:spacing w:before="30" w:after="30"/>
            </w:pPr>
            <w:r>
              <w:rPr>
                <w:sz w:val="17"/>
              </w:rPr>
              <w:t xml:space="preserve">2.5</w:t>
            </w:r>
          </w:p>
        </w:tc>
      </w:tr>
    </w:tbl>
    <w:p>
      <w:pPr>
        <w:pStyle w:val="BodyText"/>
        <w:spacing w:before="60"/>
      </w:pPr>
      <w:r>
        <w:rPr>
          <w:sz w:val="18"/>
        </w:rPr>
        <w:t xml:space="preserve">V(π) = π·P</w:t>
      </w:r>
      <w:r>
        <w:rPr>
          <w:sz w:val="18"/>
          <w:vertAlign w:val="subscript"/>
        </w:rPr>
        <w:t xml:space="preserve">a</w:t>
      </w:r>
      <w:r>
        <w:rPr>
          <w:sz w:val="18"/>
        </w:rPr>
        <w:t xml:space="preserve"> + (1 − π)·P</w:t>
      </w:r>
      <w:r>
        <w:rPr>
          <w:sz w:val="18"/>
          <w:vertAlign w:val="subscript"/>
        </w:rPr>
        <w:t xml:space="preserve">w</w:t>
      </w:r>
      <w:r>
        <w:rPr>
          <w:sz w:val="18"/>
        </w:rPr>
        <w:t xml:space="preserve"> − π, with P</w:t>
      </w:r>
      <w:r>
        <w:rPr>
          <w:sz w:val="18"/>
          <w:vertAlign w:val="subscript"/>
        </w:rPr>
        <w:t xml:space="preserve">a</w:t>
      </w:r>
      <w:r>
        <w:rPr>
          <w:sz w:val="18"/>
        </w:rPr>
        <w:t xml:space="preserve"> and P</w:t>
      </w:r>
      <w:r>
        <w:rPr>
          <w:sz w:val="18"/>
          <w:vertAlign w:val="subscript"/>
        </w:rPr>
        <w:t xml:space="preserve">w</w:t>
      </w:r>
      <w:r>
        <w:rPr>
          <w:sz w:val="18"/>
        </w:rPr>
        <w:t xml:space="preserve"> the accuracy under a right and a wrong stance at e*; it assumes no behaviour and equals a − π for a delegate that never defers.</w:t>
      </w:r>
    </w:p>
    <w:p>
      <w:pPr>
        <w:pStyle w:val="BodyText"/>
      </w:pPr>
      <w:r>
        <w:t xml:space="preserve">Ranking by ability preserves value at the top and little elsewhere. The rank correlation between ability and value is 0.81 at π = .5, 0.77 at π = .7 and 0.70 at π = .9 (intervals 0.72–0.90, 0.62–0.85, 0.63–0.79), and the regret from choosing the highest-ability model is zero at all three priors. Ranking by ability is value-optimal at both ends of π in 0.52 of model pairs (interval 0.50 to 0.54); because the lower bound is .50, H5 is not supported by the fixed rule. The reason is that the ten open-weight models are worth little or nothing to a requester whose own accuracy is .5 or higher: their value is between -0.13 and +0.05 at π = .5 and between -0.46 and 0.00 at π = .9, because their ability, 0.35 to 0.54, is below the requester's accuracy once π is above about .5 (Proposition 3: deference then moves the answer back toward the requester's prior). Gemma-3 12B, which follows the stance almost always, has value 0.00: it returns the requester's own view. Where ability is high, the overstatement factor 1/(1 − s*) is close to one (1.11 for Haiku 4.5, 1.02 for Sonnet 5.5, 1.00 for Opus 5.5 and Fable 5.1); it is 2.5 to 11.5 for the open-weight models with the most deference, but there the baseline ability-based value a − π is itself below zero for π ≥ .5, so the factor describes a quantity no buyer would pay for.</w:t>
      </w:r>
    </w:p>
    <w:p>
      <w:pPr>
        <w:pStyle w:val="Heading3"/>
      </w:pPr>
      <w:r>
        <w:t xml:space="preserve">6.6 Robustness</w:t>
      </w:r>
    </w:p>
    <w:p>
      <w:pPr>
        <w:pStyle w:val="BodyText"/>
      </w:pPr>
      <w:r>
        <w:t xml:space="preserve">Unparseable answers coded as errors instead of missing change s* by at most 0.07 (Gemma-3 12B, from 0.91 to 0.84) and leave the other models within 0.05; ability falls by at most 0.02. Dropping one domain at a time changes s* by at most 0.03 to 0.13 depending on the domain (the largest change is for Qwen2.5 7B when domain 4, the eligibility score, is dropped) and the evidence slope by at most 0.03. The H1 result is unchanged in every variant (ρ above zero for ten models), but the H3 classification is not fully stable: Ministral 3B moves from evidence-weighing to mixed in all six domain-exclusion runs, Haiku 4.5 does so when domain 3 or 6 is dropped, Gemma-3 12B moves to deference-consistent when unparseable answers are coded as errors or when domain 4 or 5 is dropped (its f(e) is near 1 at every level), and Gemma-3 4B moves to evidence-weighing without domain 4. These variants use 500 resamples, so borderline classifications should be read as unsettled. Rotating the option letters leaves ability within 0.05 of the unrotated value, with an interval excluding zero for Ministral 14B (-0.041) and a trivial one for Sonnet 5.5 (+0.002); it raises the stance-following rate f(e*) with an interval excluding zero for Ministral 3B (+0.27, from 0.22 to 0.49), Gemma-3 4B (+0.07), Qwen2.5 72B (+0.06) and Qwen2.5 7B (+0.03). These four models therefore carry a letter-position component in their stance-following, and the Ministral 3B estimate in particular should be read with it in mind. Serving providers differ. For Gemma-3 12B, one provider returned an unparseable answer on 33.6% of calls and another on none; for Gemma-3 4B the figures are 17.2% and none. Stripping a leading “&gt;” that these responses carry recovers 495 of the 787 failures for Gemma-3 12B and moves s* from 0.913 to 0.908 (exploratory). The stance-following rate for Llama-3.1 8B ranges from 0.44 to 0.75 across four providers (9 to 330 stems per provider) and for Gemma-3 27B from 0.78 to 0.92 across five, so the model-level estimates average over providers that do not behave alike.</w:t>
      </w:r>
    </w:p>
    <w:p>
      <w:pPr>
        <w:pStyle w:val="BodyText"/>
      </w:pPr>
      <w:r>
        <w:t xml:space="preserve">Departures from the plan and exploratory analyses. The rank correlation in H1 needs the bootstrap draws, which analysis.py does not save, and was computed afterwards by a separate script (decisions.py) with the same resampling and seed; the intervals for the rotation checks were computed after the main analysis; the robustness analyses use 500 instead of 2,000 resamples; and the provider split and the treatment of the leading “&gt;” are exploratory. The run was interrupted several times (twice by shell restarts, once by a manual stop to add credit, and once by the background time limit) and resumed with the same command, which skips finished calls; call order was shuffled with a fixed seed, so interruption does not bias which cells are complete, and no call was repeated or discarded (176,400 unique calls).</w:t>
      </w:r>
    </w:p>
    <w:p>
      <w:pPr>
        <w:pStyle w:val="Heading2"/>
      </w:pPr>
      <w:r>
        <w:t xml:space="preserve">7. Discussion</w:t>
      </w:r>
    </w:p>
    <w:p>
      <w:pPr>
        <w:pStyle w:val="Heading3"/>
      </w:pPr>
      <w:r>
        <w:t xml:space="preserve">7.1 Findings</w:t>
      </w:r>
    </w:p>
    <w:p>
      <w:pPr>
        <w:pStyle w:val="BodyText"/>
      </w:pPr>
      <w:r>
        <w:t xml:space="preserve">Three results stand out. First, the conventional measure of deference is mostly right for stable models and badly wrong for unstable ones: the baseline removes a median 9% but 21% to 75% for the five least stable models, and the share removed tracks instability closely (rank correlation 0.90). The managerial message therefore depends on which reviewer a firm has: for the unstable models it is to buy stability and test before paying; for the stable ones it is that the raw measure can be trusted. Second, stance-following is not blind. Models follow a stance more when it claims colleague review, less when it is disclaimed, and the disclaimer lowers the rate in 11 of the 12 models that follow the stance at all; no model with a stance effect meets the rule for pure deference. But the responses are small where following is highest and weak in the requester's disclosed accuracy: at a stated 20% track record the open-weight models still follow a wrong stance on 0.19 to 0.98 of stems. The models react to the form of the evidence more than to its strength. Third, scale and ability do not settle value. Ability is higher for the larger model in every family, but the corrected stance effect is lower in only 3 of 5 families, and ten of the fourteen models have ability of only 0.35 to 0.54, so for a requester whose own accuracy is .5 or higher reviewing adds little or nothing beyond acting on the requester's view.</w:t>
      </w:r>
    </w:p>
    <w:p>
      <w:pPr>
        <w:pStyle w:val="Heading3"/>
      </w:pPr>
      <w:r>
        <w:t xml:space="preserve">7.2 Theory</w:t>
      </w:r>
    </w:p>
    <w:p>
      <w:pPr>
        <w:pStyle w:val="BodyText"/>
      </w:pPr>
      <w:r>
        <w:t xml:space="preserve">Proposition 3 predicts that deference raises a naive requester's value when the delegate is less accurate than the requester's preference, and the data show that case for most open-weight models: their value is close to zero or negative at π = .5 to .9. Proposition 6 says a stance weight is costless only up to the rate that is rational for the requester's accuracy, and that no fixed weight suits requesters who differ in π. The weak accuracy gradient bears on this directly: a delegate that weighed a disclosed 20% track record rationally would follow the stance far less than one told 80%, and most models change by 0.09 or less between the two (Ministral 8B, 0.22, is the exception). A fixed, evidence-form-driven weight is the pattern Proposition 6 warns about. Proposition 5 did not describe the data: the covariance of ability and deference across stems is positive for 8 models, not negative, and the closed form with measured deference was a poor guide to the model-free value (Section 6.4). We read this as a limit of the measurement, which estimates stem-level deference from one draw, and not as a refutation of the identity.</w:t>
      </w:r>
    </w:p>
    <w:p>
      <w:pPr>
        <w:pStyle w:val="Heading3"/>
      </w:pPr>
      <w:r>
        <w:t xml:space="preserve">7.3 Practice: an audit protocol</w:t>
      </w:r>
    </w:p>
    <w:p>
      <w:pPr>
        <w:pStyle w:val="BodyText"/>
      </w:pPr>
      <w:r>
        <w:t xml:space="preserve">A firm can run the design on its own review items: re-ask each item twice with no stance, once with a neutral sentence of the same length, and once with a stance whose claimed evidence is graded and whose disclosed accuracy is varied; subtract the stance-free and neutral rates from the stance rate; read the gradients; and report the value of review at the requester accuracies the firm actually has. Stance-free benchmark accuracy is a ranking aid and not a level of value. On 600 items the 95% intervals for the corrected effect have half-widths between about 0.01 and 0.09 (Table 2), and the full run of 176,400 calls across fourteen models cost about US$170 as billed through the aggregator, so a firm auditing one or two models on a few hundred of its own items faces a modest cost. Blinding the delegate to the requester’s stance remains a hypothesis with an upper bound, s(a − π), on what it is worth; we did not test it.</w:t>
      </w:r>
    </w:p>
    <w:p>
      <w:pPr>
        <w:pStyle w:val="Heading3"/>
      </w:pPr>
      <w:r>
        <w:t xml:space="preserve">7.4 Implications for IS research</w:t>
      </w:r>
    </w:p>
    <w:p>
      <w:pPr>
        <w:pStyle w:val="BodyText"/>
      </w:pPr>
      <w:r>
        <w:t xml:space="preserve">For research on delegation to agentic artifacts, the finding that stance-following responds to the form of claimed evidence more than to its stated reliability suggests that reliance models should treat a requester’s framing as an input the delegate weighs by rule, not by calibrated trust. For the auditing of AI decision support, it shows that two reviewers with the same benchmark accuracy can differ by an order of magnitude in what a stated preference does to their answers (Ministral 3B and Qwen2.5 7B both answer 0.35 of the items correctly, yet their s* is 0.06 and 0.67), and that the difference can be measured at modest cost. For the design of review workflows in which the reviewer sees the requester’s view, it argues for measuring the gradient before relying on the reviewer, and for withholding the preference where the reviewer’s accuracy is high enough for review to be worth buying.</w:t>
      </w:r>
    </w:p>
    <w:p>
      <w:pPr>
        <w:pStyle w:val="Heading2"/>
        <w:rPr/>
      </w:pPr>
      <w:bookmarkStart w:id="40" w:name="limitations-pending-for-the-specifics"/>
      <w:r>
        <w:rPr/>
        <w:t>8. Limitations</w:t>
      </w:r>
    </w:p>
    <w:p>
      <w:pPr>
        <w:pStyle w:val="FirstParagraph"/>
        <w:rPr/>
      </w:pPr>
      <w:r>
        <w:rPr/>
        <w:t>We study models, not people, and the requester is naive or Bayesian by assumption. Items are synthetic and template-generated, with binary-like decisions, single-turn prompts, and a single stance format family. The additive correction s* = f(e*) − ρ understates deference if instability and deference combine as a mixture, which s_mix addresses; s_mix exceeds s* by up to 0.15 (Llama-3.1 8B, 0.29 and 0.44) and by at most 0.08 for models with ρ of 0.1 or less. Three commercial tiers that reason before answering were given a longer token limit than the other eleven models. In a stance-free pilot, five of the open-weight models were answered by more than one provider; the provider is recorded for every call and results are reported by provider. Ten of the fourteen models answer only about a third to a half of the items correctly, and for three of them (Gemma-3 4B, Ministral 3B, Qwen2.5 7B) ability is indistinguishable from guessing, so their conditional set is partly a product of luck and their conditional measures should be read with the stance-free baseline. Model-level estimates average over serving providers that do not behave alike, and the stance-following rate under rotated letters differs for four models, so part of the measured following is a position effect. The H3 rule labels a model with no stance effect as deference-consistent, which is a limitation of the rule, and the classification of several models changes when one domain is dropped. Stem-level deference is estimated from one draw per stem, which limits the test of Proposition 5. The results describe the model versions and providers available in October 2026. Hosted inference does not allow control of hardware or quantization; tiers within a family differ in more than size; five families do not support a claim about scale in general. The requester’s accuracy π is assumed, not measured, so values of review are shown at several priors. The gradient test identifies how the answer responds to claimed evidence, not the model’s internal reason. Proposition 5 assumes symmetric deference within a stem. Human review of the keys reduces but does not remove the chance of a key error.</w:t>
      </w:r>
    </w:p>
    <w:p>
      <w:pPr>
        <w:pStyle w:val="Normal"/>
        <w:rPr/>
      </w:pPr>
      <w:bookmarkStart w:id="41" w:name="limitations-pending-for-the-specific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rPr/>
      </w:pPr>
      <w:bookmarkStart w:id="42" w:name="appendix-a.-proofs"/>
      <w:r>
        <w:rPr/>
        <w:t>Appendix A. Proofs</w:t>
      </w:r>
    </w:p>
    <w:p>
      <w:pPr>
        <w:pStyle w:val="FirstParagraph"/>
        <w:rPr/>
      </w:pPr>
      <w:r>
        <w:rPr>
          <w:i/>
          <w:iCs/>
        </w:rPr>
        <w:t>Proof of Proposition 1.</w:t>
      </w:r>
      <w:r>
        <w:rPr/>
        <w:t xml:space="preserve"> Accuracy with review is π[s</w:t>
      </w:r>
      <w:r>
        <w:rPr>
          <w:vertAlign w:val="subscript"/>
        </w:rPr>
        <w:t>r</w:t>
      </w:r>
      <w:r>
        <w:rPr/>
        <w:t xml:space="preserve"> + (1 − s</w:t>
      </w:r>
      <w:r>
        <w:rPr>
          <w:vertAlign w:val="subscript"/>
        </w:rPr>
        <w:t>r</w:t>
      </w:r>
      <w:r>
        <w:rPr/>
        <w:t>)a] + (1 − π)(1 − s</w:t>
      </w:r>
      <w:r>
        <w:rPr>
          <w:vertAlign w:val="subscript"/>
        </w:rPr>
        <w:t>w</w:t>
      </w:r>
      <w:r>
        <w:rPr/>
        <w:t>)a, because when S is right the delegate reports S with probability s</w:t>
      </w:r>
      <w:r>
        <w:rPr>
          <w:vertAlign w:val="subscript"/>
        </w:rPr>
        <w:t>r</w:t>
      </w:r>
      <w:r>
        <w:rPr/>
        <w:t xml:space="preserve"> and otherwise reports the correct answer with probability a, and when S is wrong the delegate reports the correct answer, which is not S, with probability (1 − s</w:t>
      </w:r>
      <w:r>
        <w:rPr>
          <w:vertAlign w:val="subscript"/>
        </w:rPr>
        <w:t>w</w:t>
      </w:r>
      <w:r>
        <w:rPr/>
        <w:t>)a. Subtracting π gives V = (1 − π)(1 − s</w:t>
      </w:r>
      <w:r>
        <w:rPr>
          <w:vertAlign w:val="subscript"/>
        </w:rPr>
        <w:t>w</w:t>
      </w:r>
      <w:r>
        <w:rPr/>
        <w:t>)a − π(1 − s</w:t>
      </w:r>
      <w:r>
        <w:rPr>
          <w:vertAlign w:val="subscript"/>
        </w:rPr>
        <w:t>r</w:t>
      </w:r>
      <w:r>
        <w:rPr/>
        <w:t>)(1 − a), since π[s</w:t>
      </w:r>
      <w:r>
        <w:rPr>
          <w:vertAlign w:val="subscript"/>
        </w:rPr>
        <w:t>r</w:t>
      </w:r>
      <w:r>
        <w:rPr/>
        <w:t xml:space="preserve"> + (1 − s</w:t>
      </w:r>
      <w:r>
        <w:rPr>
          <w:vertAlign w:val="subscript"/>
        </w:rPr>
        <w:t>r</w:t>
      </w:r>
      <w:r>
        <w:rPr/>
        <w:t>)a] − π = −π(1 − s</w:t>
      </w:r>
      <w:r>
        <w:rPr>
          <w:vertAlign w:val="subscript"/>
        </w:rPr>
        <w:t>r</w:t>
      </w:r>
      <w:r>
        <w:rPr/>
        <w:t>)(1 − a). With s</w:t>
      </w:r>
      <w:r>
        <w:rPr>
          <w:vertAlign w:val="subscript"/>
        </w:rPr>
        <w:t>w</w:t>
      </w:r>
      <w:r>
        <w:rPr/>
        <w:t xml:space="preserve"> = s</w:t>
      </w:r>
      <w:r>
        <w:rPr>
          <w:vertAlign w:val="subscript"/>
        </w:rPr>
        <w:t>r</w:t>
      </w:r>
      <w:r>
        <w:rPr/>
        <w:t xml:space="preserve"> = s, V = (1 − s)[(1 − π)a − π(1 − a)] = (1 − s)(a − π). The zero of V solves (1 − π)(1 − s</w:t>
      </w:r>
      <w:r>
        <w:rPr>
          <w:vertAlign w:val="subscript"/>
        </w:rPr>
        <w:t>w</w:t>
      </w:r>
      <w:r>
        <w:rPr/>
        <w:t>)a = π(1 − s</w:t>
      </w:r>
      <w:r>
        <w:rPr>
          <w:vertAlign w:val="subscript"/>
        </w:rPr>
        <w:t>r</w:t>
      </w:r>
      <w:r>
        <w:rPr/>
        <w:t>)(1 − a).</w:t>
      </w:r>
    </w:p>
    <w:p>
      <w:pPr>
        <w:pStyle w:val="BodyText"/>
        <w:rPr/>
      </w:pPr>
      <w:r>
        <w:rPr>
          <w:i/>
          <w:iCs/>
        </w:rPr>
        <w:t>Proof of Propositions 2–4.</w:t>
      </w:r>
      <w:r>
        <w:rPr/>
        <w:t xml:space="preserve"> V = i(a − π) with i = 1 − s. The cross-partial ∂²V/∂a∂i equals one. dV/ds = −(a − π) has the sign of π − a. The loss share is 1 − V/(a − π) = s for a ≠ π.</w:t>
      </w:r>
    </w:p>
    <w:p>
      <w:pPr>
        <w:pStyle w:val="BodyText"/>
        <w:rPr/>
      </w:pPr>
      <w:r>
        <w:rPr>
          <w:i/>
          <w:iCs/>
        </w:rPr>
        <w:t>Proof of Proposition 5.</w:t>
      </w:r>
      <w:r>
        <w:rPr/>
        <w:t xml:space="preserve"> In stem i the delegate is correct with probability (1 − s</w:t>
      </w:r>
      <w:r>
        <w:rPr>
          <w:vertAlign w:val="subscript"/>
        </w:rPr>
        <w:t>i</w:t>
      </w:r>
      <w:r>
        <w:rPr/>
        <w:t>)a</w:t>
      </w:r>
      <w:r>
        <w:rPr>
          <w:vertAlign w:val="subscript"/>
        </w:rPr>
        <w:t>i</w:t>
      </w:r>
      <w:r>
        <w:rPr/>
        <w:t xml:space="preserve"> + s</w:t>
      </w:r>
      <w:r>
        <w:rPr>
          <w:vertAlign w:val="subscript"/>
        </w:rPr>
        <w:t>i</w:t>
      </w:r>
      <w:r>
        <w:rPr/>
        <w:t>·1[S correct], so averaging over the stance (right with probability π) and over stems gives E[(1 − s</w:t>
      </w:r>
      <w:r>
        <w:rPr>
          <w:vertAlign w:val="subscript"/>
        </w:rPr>
        <w:t>i</w:t>
      </w:r>
      <w:r>
        <w:rPr/>
        <w:t>)a</w:t>
      </w:r>
      <w:r>
        <w:rPr>
          <w:vertAlign w:val="subscript"/>
        </w:rPr>
        <w:t>i</w:t>
      </w:r>
      <w:r>
        <w:rPr/>
        <w:t>] + π E[s</w:t>
      </w:r>
      <w:r>
        <w:rPr>
          <w:vertAlign w:val="subscript"/>
        </w:rPr>
        <w:t>i</w:t>
      </w:r>
      <w:r>
        <w:rPr/>
        <w:t>] − π = E[(1 − s</w:t>
      </w:r>
      <w:r>
        <w:rPr>
          <w:vertAlign w:val="subscript"/>
        </w:rPr>
        <w:t>i</w:t>
      </w:r>
      <w:r>
        <w:rPr/>
        <w:t>)(a</w:t>
      </w:r>
      <w:r>
        <w:rPr>
          <w:vertAlign w:val="subscript"/>
        </w:rPr>
        <w:t>i</w:t>
      </w:r>
      <w:r>
        <w:rPr/>
        <w:t xml:space="preserve"> − π)]. Expanding, V = ā − π − E[a</w:t>
      </w:r>
      <w:r>
        <w:rPr>
          <w:vertAlign w:val="subscript"/>
        </w:rPr>
        <w:t>i</w:t>
      </w:r>
      <w:r>
        <w:rPr/>
        <w:t xml:space="preserve"> s</w:t>
      </w:r>
      <w:r>
        <w:rPr>
          <w:vertAlign w:val="subscript"/>
        </w:rPr>
        <w:t>i</w:t>
      </w:r>
      <w:r>
        <w:rPr/>
        <w:t>] + π s̄. By definition E[a</w:t>
      </w:r>
      <w:r>
        <w:rPr>
          <w:vertAlign w:val="subscript"/>
        </w:rPr>
        <w:t>i</w:t>
      </w:r>
      <w:r>
        <w:rPr/>
        <w:t xml:space="preserve"> s</w:t>
      </w:r>
      <w:r>
        <w:rPr>
          <w:vertAlign w:val="subscript"/>
        </w:rPr>
        <w:t>i</w:t>
      </w:r>
      <w:r>
        <w:rPr/>
        <w:t>] = ā s</w:t>
      </w:r>
      <w:r>
        <w:rPr>
          <w:vertAlign w:val="subscript"/>
        </w:rPr>
        <w:t>c</w:t>
      </w:r>
      <w:r>
        <w:rPr/>
        <w:t>, so V = ā(1 − s</w:t>
      </w:r>
      <w:r>
        <w:rPr>
          <w:vertAlign w:val="subscript"/>
        </w:rPr>
        <w:t>c</w:t>
      </w:r>
      <w:r>
        <w:rPr/>
        <w:t>) − π(1 − s̄). The closed form at s</w:t>
      </w:r>
      <w:r>
        <w:rPr>
          <w:vertAlign w:val="subscript"/>
        </w:rPr>
        <w:t>c</w:t>
      </w:r>
      <w:r>
        <w:rPr/>
        <w:t xml:space="preserve"> is (1 − s</w:t>
      </w:r>
      <w:r>
        <w:rPr>
          <w:vertAlign w:val="subscript"/>
        </w:rPr>
        <w:t>c</w:t>
      </w:r>
      <w:r>
        <w:rPr/>
        <w:t>)(ā − π) = ā(1 − s</w:t>
      </w:r>
      <w:r>
        <w:rPr>
          <w:vertAlign w:val="subscript"/>
        </w:rPr>
        <w:t>c</w:t>
      </w:r>
      <w:r>
        <w:rPr/>
        <w:t>) − π(1 − s</w:t>
      </w:r>
      <w:r>
        <w:rPr>
          <w:vertAlign w:val="subscript"/>
        </w:rPr>
        <w:t>c</w:t>
      </w:r>
      <w:r>
        <w:rPr/>
        <w:t>). The difference is π(s̄ − s</w:t>
      </w:r>
      <w:r>
        <w:rPr>
          <w:vertAlign w:val="subscript"/>
        </w:rPr>
        <w:t>c</w:t>
      </w:r>
      <w:r>
        <w:rPr/>
        <w:t>). Since E[a</w:t>
      </w:r>
      <w:r>
        <w:rPr>
          <w:vertAlign w:val="subscript"/>
        </w:rPr>
        <w:t>i</w:t>
      </w:r>
      <w:r>
        <w:rPr/>
        <w:t xml:space="preserve"> s</w:t>
      </w:r>
      <w:r>
        <w:rPr>
          <w:vertAlign w:val="subscript"/>
        </w:rPr>
        <w:t>i</w:t>
      </w:r>
      <w:r>
        <w:rPr/>
        <w:t>] = ā s̄ + Cov(a</w:t>
      </w:r>
      <w:r>
        <w:rPr>
          <w:vertAlign w:val="subscript"/>
        </w:rPr>
        <w:t>i</w:t>
      </w:r>
      <w:r>
        <w:rPr/>
        <w:t>, s</w:t>
      </w:r>
      <w:r>
        <w:rPr>
          <w:vertAlign w:val="subscript"/>
        </w:rPr>
        <w:t>i</w:t>
      </w:r>
      <w:r>
        <w:rPr/>
        <w:t>), s</w:t>
      </w:r>
      <w:r>
        <w:rPr>
          <w:vertAlign w:val="subscript"/>
        </w:rPr>
        <w:t>c</w:t>
      </w:r>
      <w:r>
        <w:rPr/>
        <w:t xml:space="preserve"> = s̄ + Cov/ā, so s̄ − s</w:t>
      </w:r>
      <w:r>
        <w:rPr>
          <w:vertAlign w:val="subscript"/>
        </w:rPr>
        <w:t>c</w:t>
      </w:r>
      <w:r>
        <w:rPr/>
        <w:t xml:space="preserve"> = −Cov/ā. A numerical check on 2,000 random banks agrees with the identity to machine precision, and a simulation of the report process agrees within sampling error.</w:t>
      </w:r>
    </w:p>
    <w:p>
      <w:pPr>
        <w:pStyle w:val="BodyText"/>
        <w:rPr/>
      </w:pPr>
      <w:r>
        <w:rPr>
          <w:i/>
          <w:iCs/>
        </w:rPr>
        <w:t>Proof of Proposition 6.</w:t>
      </w:r>
      <w:r>
        <w:rPr/>
        <w:t xml:space="preserve"> For a naive requester accuracy equals the probability that the report is correct. Given (x, stance), the report S is correct with posterior probability P(S correct | x) = ℓ(x)π / [ℓ(x)π + (1 − π)], which is at least 1/2 if and only if ℓ(x)π/(1 − π) ≥ 1. The rule that reports the more probable action for every (x, stance) maximizes the probability of being correct among all rules that depend on (x, stance), and is the unique maximizer up to sets of probability zero. A rule that reports S where ℓ(x)π/(1 − π) &lt; 1 reports the less probable action on that set, and accuracy falls by the posterior difference integrated over it.</w:t>
      </w:r>
    </w:p>
    <w:p>
      <w:pPr>
        <w:pStyle w:val="BodyText"/>
        <w:rPr/>
      </w:pPr>
      <w:r>
        <w:rPr>
          <w:i/>
          <w:iCs/>
        </w:rPr>
        <w:t>Proof of Proposition 7.</w:t>
      </w:r>
      <w:r>
        <w:rPr/>
        <w:t xml:space="preserve"> Let the report be r ∈ {S, not S}. With probability 1 − s the delegate reports a binary signal that equals the correct action with probability a; with probability s it reports S. The experiment with deference E</w:t>
      </w:r>
      <w:r>
        <w:rPr>
          <w:vertAlign w:val="subscript"/>
        </w:rPr>
        <w:t>s</w:t>
      </w:r>
      <w:r>
        <w:rPr/>
        <w:t xml:space="preserve"> is the non-deferential experiment E</w:t>
      </w:r>
      <w:r>
        <w:rPr>
          <w:vertAlign w:val="subscript"/>
        </w:rPr>
        <w:t>0</w:t>
      </w:r>
      <w:r>
        <w:rPr/>
        <w:t xml:space="preserve"> followed by a garbling that replaces the signal by the constant S with probability s. By Blackwell (1953), for every decision problem the value of E</w:t>
      </w:r>
      <w:r>
        <w:rPr>
          <w:vertAlign w:val="subscript"/>
        </w:rPr>
        <w:t>s</w:t>
      </w:r>
      <w:r>
        <w:rPr/>
        <w:t xml:space="preserve"> is weakly below that of E</w:t>
      </w:r>
      <w:r>
        <w:rPr>
          <w:vertAlign w:val="subscript"/>
        </w:rPr>
        <w:t>0</w:t>
      </w:r>
      <w:r>
        <w:rPr/>
        <w:t>, and the same argument orders E</w:t>
      </w:r>
      <w:r>
        <w:rPr>
          <w:vertAlign w:val="subscript"/>
        </w:rPr>
        <w:t>s</w:t>
      </w:r>
      <w:r>
        <w:rPr/>
        <w:t xml:space="preserve"> and E</w:t>
      </w:r>
      <w:r>
        <w:rPr>
          <w:vertAlign w:val="subscript"/>
        </w:rPr>
        <w:t>s</w:t>
      </w:r>
      <w:r>
        <w:rPr/>
        <w:t>’ for s &lt; s’. The inequality is strict when the signal would have changed the decision.</w:t>
      </w:r>
    </w:p>
    <w:p>
      <w:pPr>
        <w:pStyle w:val="BodyText"/>
        <w:rPr/>
      </w:pPr>
      <w:r>
        <w:rPr>
          <w:i/>
          <w:iCs/>
        </w:rPr>
        <w:t>Proof of Proposition 8.</w:t>
      </w:r>
      <w:r>
        <w:rPr/>
        <w:t xml:space="preserve"> The blinded delegate does not defer, so its value is a − δ − π. It exceeds (1 − s)(a − π) if and only if a − δ − π &gt; (1 − s)(a − π), that is, if and only if δ &lt; s(a − π). If a ≤ π the right side is nonpositive and the inequality fails for δ ≥ 0. The willingness to pay for a non-deferential version of the same delegate, in units of the requester’s accuracy, is the difference of values, (a − π) − (1 − s)(a − π) = s(a − π).</w:t>
      </w:r>
    </w:p>
    <w:p>
      <w:pPr>
        <w:pStyle w:val="BodyText"/>
        <w:rPr/>
      </w:pPr>
      <w:r>
        <w:rPr>
          <w:i/>
          <w:iCs/>
        </w:rPr>
        <w:t>Proof of Proposition 9.</w:t>
      </w:r>
      <w:r>
        <w:rPr/>
        <w:t xml:space="preserve"> V</w:t>
      </w:r>
      <w:r>
        <w:rPr>
          <w:vertAlign w:val="subscript"/>
        </w:rPr>
        <w:t>1</w:t>
      </w:r>
      <w:r>
        <w:rPr/>
        <w:t xml:space="preserve"> − V</w:t>
      </w:r>
      <w:r>
        <w:rPr>
          <w:vertAlign w:val="subscript"/>
        </w:rPr>
        <w:t>2</w:t>
      </w:r>
      <w:r>
        <w:rPr/>
        <w:t xml:space="preserve"> = (1 − s</w:t>
      </w:r>
      <w:r>
        <w:rPr>
          <w:vertAlign w:val="subscript"/>
        </w:rPr>
        <w:t>1</w:t>
      </w:r>
      <w:r>
        <w:rPr/>
        <w:t>)(a</w:t>
      </w:r>
      <w:r>
        <w:rPr>
          <w:vertAlign w:val="subscript"/>
        </w:rPr>
        <w:t>1</w:t>
      </w:r>
      <w:r>
        <w:rPr/>
        <w:t xml:space="preserve"> − π) − (1 − s</w:t>
      </w:r>
      <w:r>
        <w:rPr>
          <w:vertAlign w:val="subscript"/>
        </w:rPr>
        <w:t>2</w:t>
      </w:r>
      <w:r>
        <w:rPr/>
        <w:t>)(a</w:t>
      </w:r>
      <w:r>
        <w:rPr>
          <w:vertAlign w:val="subscript"/>
        </w:rPr>
        <w:t>2</w:t>
      </w:r>
      <w:r>
        <w:rPr/>
        <w:t xml:space="preserve"> − π) = N + π(s</w:t>
      </w:r>
      <w:r>
        <w:rPr>
          <w:vertAlign w:val="subscript"/>
        </w:rPr>
        <w:t>1</w:t>
      </w:r>
      <w:r>
        <w:rPr/>
        <w:t xml:space="preserve"> − s</w:t>
      </w:r>
      <w:r>
        <w:rPr>
          <w:vertAlign w:val="subscript"/>
        </w:rPr>
        <w:t>2</w:t>
      </w:r>
      <w:r>
        <w:rPr/>
        <w:t>) with N =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This is linear in π, so it is nonnegative on [0, 1] if and only if it is nonnegative at both endpoints. At π = 0 it equals (1 − s</w:t>
      </w:r>
      <w:r>
        <w:rPr>
          <w:vertAlign w:val="subscript"/>
        </w:rPr>
        <w:t>1</w:t>
      </w:r>
      <w:r>
        <w:rPr/>
        <w:t>)a</w:t>
      </w:r>
      <w:r>
        <w:rPr>
          <w:vertAlign w:val="subscript"/>
        </w:rPr>
        <w:t>1</w:t>
      </w:r>
      <w:r>
        <w:rPr/>
        <w:t xml:space="preserve"> − (1 − s</w:t>
      </w:r>
      <w:r>
        <w:rPr>
          <w:vertAlign w:val="subscript"/>
        </w:rPr>
        <w:t>2</w:t>
      </w:r>
      <w:r>
        <w:rPr/>
        <w:t>)a</w:t>
      </w:r>
      <w:r>
        <w:rPr>
          <w:vertAlign w:val="subscript"/>
        </w:rPr>
        <w:t>2</w:t>
      </w:r>
      <w:r>
        <w:rPr/>
        <w:t>; at π = 1 it equals −(1 − s</w:t>
      </w:r>
      <w:r>
        <w:rPr>
          <w:vertAlign w:val="subscript"/>
        </w:rPr>
        <w:t>1</w:t>
      </w:r>
      <w:r>
        <w:rPr/>
        <w:t>)(1 − a</w:t>
      </w:r>
      <w:r>
        <w:rPr>
          <w:vertAlign w:val="subscript"/>
        </w:rPr>
        <w:t>1</w:t>
      </w:r>
      <w:r>
        <w:rPr/>
        <w:t>) + (1 − s</w:t>
      </w:r>
      <w:r>
        <w:rPr>
          <w:vertAlign w:val="subscript"/>
        </w:rPr>
        <w:t>2</w:t>
      </w:r>
      <w:r>
        <w:rPr/>
        <w:t>)(1 − a</w:t>
      </w:r>
      <w:r>
        <w:rPr>
          <w:vertAlign w:val="subscript"/>
        </w:rPr>
        <w:t>2</w:t>
      </w:r>
      <w:r>
        <w:rPr/>
        <w:t>).</w:t>
      </w:r>
    </w:p>
    <w:p>
      <w:pPr>
        <w:pStyle w:val="Normal"/>
        <w:rPr/>
      </w:pPr>
      <w:bookmarkStart w:id="43" w:name="appendix-a.-proof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p>
    <w:p>
      <w:pPr>
        <w:pStyle w:val="Heading2"/>
        <w:rPr/>
      </w:pPr>
      <w:bookmarkStart w:id="44" w:name="references"/>
      <w:r>
        <w:rPr/>
        <w:t>References</w:t>
      </w:r>
    </w:p>
    <w:p>
      <w:pPr>
        <w:pStyle w:val="FirstParagraph"/>
        <w:rPr/>
      </w:pPr>
      <w:r>
        <w:rPr/>
        <w:t>References, to be verified once more against the sources:</w:t>
      </w:r>
    </w:p>
    <w:p>
      <w:pPr>
        <w:pStyle w:val="BodyText"/>
        <w:rPr/>
      </w:pPr>
      <w:r>
        <w:rPr/>
        <w:t xml:space="preserve">Aghion P, Tirole J (1997) Formal and real authority in organizations. </w:t>
      </w:r>
      <w:r>
        <w:rPr>
          <w:i/>
          <w:iCs/>
        </w:rPr>
        <w:t>Journal of Political Economy</w:t>
      </w:r>
      <w:r>
        <w:rPr/>
        <w:t xml:space="preserve"> 105(1):1–29.</w:t>
      </w:r>
    </w:p>
    <w:p>
      <w:pPr>
        <w:pStyle w:val="BodyText"/>
        <w:rPr/>
      </w:pPr>
      <w:r>
        <w:rPr/>
        <w:t xml:space="preserve">Agrawal A, Gans JS, Goldfarb A (2019) Exploring the impact of artificial intelligence: Prediction versus judgment. </w:t>
      </w:r>
      <w:r>
        <w:rPr>
          <w:i/>
          <w:iCs/>
        </w:rPr>
        <w:t>Information Economics and Policy</w:t>
      </w:r>
      <w:r>
        <w:rPr/>
        <w:t xml:space="preserve"> 47:1–6.</w:t>
      </w:r>
    </w:p>
    <w:p>
      <w:pPr>
        <w:pStyle w:val="BodyText"/>
        <w:rPr/>
      </w:pPr>
      <w:r>
        <w:rPr/>
        <w:t xml:space="preserve">Baird A, Maruping LM (2021) The next generation of research on IS use: A theoretical framework of delegation to and from agentic IS artifacts. </w:t>
      </w:r>
      <w:r>
        <w:rPr>
          <w:i/>
          <w:iCs/>
        </w:rPr>
        <w:t>MIS Quarterly</w:t>
      </w:r>
      <w:r>
        <w:rPr/>
        <w:t xml:space="preserve"> 45(1):315–341.</w:t>
      </w:r>
    </w:p>
    <w:p>
      <w:pPr>
        <w:pStyle w:val="BodyText"/>
        <w:rPr/>
      </w:pPr>
      <w:r>
        <w:rPr/>
        <w:t xml:space="preserve">Blackwell D (1953) Equivalent comparisons of experiments. </w:t>
      </w:r>
      <w:r>
        <w:rPr>
          <w:i/>
          <w:iCs/>
        </w:rPr>
        <w:t>Annals of Mathematical Statistics</w:t>
      </w:r>
      <w:r>
        <w:rPr/>
        <w:t xml:space="preserve"> 24(2):265–272.</w:t>
      </w:r>
    </w:p>
    <w:p>
      <w:pPr>
        <w:pStyle w:val="BodyText"/>
        <w:rPr/>
      </w:pPr>
      <w:r>
        <w:rPr/>
        <w:t>Board of Governors of the Federal Reserve System (2011) Supervisory guidance on model risk management. SR Letter 11-7.</w:t>
      </w:r>
    </w:p>
    <w:p>
      <w:pPr>
        <w:pStyle w:val="BodyText"/>
        <w:rPr/>
      </w:pPr>
      <w:r>
        <w:rPr/>
        <w:t xml:space="preserve">Crawford VP, Sobel J (1982) Strategic information transmission. </w:t>
      </w:r>
      <w:r>
        <w:rPr>
          <w:i/>
          <w:iCs/>
        </w:rPr>
        <w:t>Econometrica</w:t>
      </w:r>
      <w:r>
        <w:rPr/>
        <w:t xml:space="preserve"> 50(6):1431–1451.</w:t>
      </w:r>
    </w:p>
    <w:p>
      <w:pPr>
        <w:pStyle w:val="BodyText"/>
        <w:rPr/>
      </w:pPr>
      <w:r>
        <w:rPr/>
        <w:t xml:space="preserve">Dessein W (2002) Authority and communication in organizations. </w:t>
      </w:r>
      <w:r>
        <w:rPr>
          <w:i/>
          <w:iCs/>
        </w:rPr>
        <w:t>Review of Economic Studies</w:t>
      </w:r>
      <w:r>
        <w:rPr/>
        <w:t xml:space="preserve"> 69(4):811–838.</w:t>
      </w:r>
    </w:p>
    <w:p>
      <w:pPr>
        <w:pStyle w:val="BodyText"/>
        <w:rPr/>
      </w:pPr>
      <w:r>
        <w:rPr/>
        <w:t xml:space="preserve">Eisenhardt KM (1989) Agency theory: An assessment and review. </w:t>
      </w:r>
      <w:r>
        <w:rPr>
          <w:i/>
          <w:iCs/>
        </w:rPr>
        <w:t>Academy of Management Review</w:t>
      </w:r>
      <w:r>
        <w:rPr/>
        <w:t xml:space="preserve"> 14(1):57–74.</w:t>
      </w:r>
    </w:p>
    <w:p>
      <w:pPr>
        <w:pStyle w:val="BodyText"/>
        <w:rPr/>
      </w:pPr>
      <w:r>
        <w:rPr/>
        <w:t xml:space="preserve">Fügener A, Grahl J, Gregory A, Kühl N (2022) Cognitive challenges in human–artificial intelligence collaboration: Investigating the path toward productive delegation. </w:t>
      </w:r>
      <w:r>
        <w:rPr>
          <w:i/>
          <w:iCs/>
        </w:rPr>
        <w:t>Information Systems Research</w:t>
      </w:r>
      <w:r>
        <w:rPr/>
        <w:t xml:space="preserve"> 33(2):678–696.</w:t>
      </w:r>
    </w:p>
    <w:p>
      <w:pPr>
        <w:pStyle w:val="BodyText"/>
        <w:rPr/>
      </w:pPr>
      <w:r>
        <w:rPr/>
        <w:t xml:space="preserve">Hoffmann J, Borgeaud S, Mensch A, et al. (2022) Training compute-optimal large language models. </w:t>
      </w:r>
      <w:r>
        <w:rPr>
          <w:i/>
          <w:iCs/>
        </w:rPr>
        <w:t>Advances in Neural Information Processing Systems</w:t>
      </w:r>
      <w:r>
        <w:rPr/>
        <w:t xml:space="preserve"> 35.</w:t>
      </w:r>
    </w:p>
    <w:p>
      <w:pPr>
        <w:pStyle w:val="BodyText"/>
        <w:rPr/>
      </w:pPr>
      <w:r>
        <w:rPr/>
        <w:t xml:space="preserve">Jensen MC, Meckling WH (1976) Theory of the firm: Managerial behavior, agency costs and ownership structure. </w:t>
      </w:r>
      <w:r>
        <w:rPr>
          <w:i/>
          <w:iCs/>
        </w:rPr>
        <w:t>Journal of Financial Economics</w:t>
      </w:r>
      <w:r>
        <w:rPr/>
        <w:t xml:space="preserve"> 3(4):305–360.</w:t>
      </w:r>
    </w:p>
    <w:p>
      <w:pPr>
        <w:pStyle w:val="BodyText"/>
        <w:rPr/>
      </w:pPr>
      <w:r>
        <w:rPr/>
        <w:t>Kaplan J, McCandlish S, Henighan T, et al. (2020) Scaling laws for neural language models. Preprint, submitted January 23, https://arxiv.org/abs/2001.08361.</w:t>
      </w:r>
    </w:p>
    <w:p>
      <w:pPr>
        <w:pStyle w:val="BodyText"/>
        <w:rPr/>
      </w:pPr>
      <w:r>
        <w:rPr/>
        <w:t xml:space="preserve">Ouyang L, Wu J, Jiang X, et al. (2022) Training language models to follow instructions with human feedback. </w:t>
      </w:r>
      <w:r>
        <w:rPr>
          <w:i/>
          <w:iCs/>
        </w:rPr>
        <w:t>Advances in Neural Information Processing Systems</w:t>
      </w:r>
      <w:r>
        <w:rPr/>
        <w:t xml:space="preserve"> 35.</w:t>
      </w:r>
    </w:p>
    <w:p>
      <w:pPr>
        <w:pStyle w:val="BodyText"/>
        <w:rPr/>
      </w:pPr>
      <w:r>
        <w:rPr/>
        <w:t>Perez E, Ringer S, Lukošiūtė K, et al. (2022) Discovering language model behaviors with model-written evaluations. Preprint, submitted December 19, https://arxiv.org/abs/2212.09251.</w:t>
      </w:r>
    </w:p>
    <w:p>
      <w:pPr>
        <w:pStyle w:val="BodyText"/>
        <w:rPr/>
      </w:pPr>
      <w:r>
        <w:rPr/>
        <w:t xml:space="preserve">Prendergast C (1993) A theory of “yes men.” </w:t>
      </w:r>
      <w:r>
        <w:rPr>
          <w:i/>
          <w:iCs/>
        </w:rPr>
        <w:t>American Economic Review</w:t>
      </w:r>
      <w:r>
        <w:rPr/>
        <w:t xml:space="preserve"> 83(4):757–770.</w:t>
      </w:r>
    </w:p>
    <w:p>
      <w:pPr>
        <w:pStyle w:val="BodyText"/>
        <w:rPr/>
      </w:pPr>
      <w:r>
        <w:rPr/>
        <w:t xml:space="preserve">Sarker S, Chatterjee S, Xiao X, Elbanna A (2019) The sociotechnical axis of cohesion for the IS discipline: Its historical legacy and its continued relevance. </w:t>
      </w:r>
      <w:r>
        <w:rPr>
          <w:i/>
          <w:iCs/>
        </w:rPr>
        <w:t>MIS Quarterly</w:t>
      </w:r>
      <w:r>
        <w:rPr/>
        <w:t xml:space="preserve"> 43(3):695–719.</w:t>
      </w:r>
    </w:p>
    <w:p>
      <w:pPr>
        <w:pStyle w:val="BodyText"/>
        <w:rPr/>
      </w:pPr>
      <w:r>
        <w:rPr/>
        <w:t>Sharma M, Tong M, Korbak T, et al. (2023) Towards understanding sycophancy in language models. Preprint, submitted October 20, https://arxiv.org/abs/2310.13548.</w:t>
      </w:r>
    </w:p>
    <w:p>
      <w:pPr>
        <w:pStyle w:val="BodyText"/>
        <w:rPr/>
      </w:pPr>
      <w:r>
        <w:rPr/>
        <w:t xml:space="preserve">Atil B, et al. (2024) Non-determinism of “deterministic” LLM settings. Preprint, arXiv:2408.04667.</w:t>
      </w:r>
    </w:p>
    <w:p>
      <w:pPr>
        <w:pStyle w:val="BodyText"/>
        <w:rPr/>
      </w:pPr>
      <w:r>
        <w:rPr/>
        <w:t xml:space="preserve">Dietvorst BJ, Simmons JP, Massey C (2015) Algorithm aversion: People erroneously avoid algorithms after seeing them err. </w:t>
      </w:r>
      <w:r>
        <w:rPr>
          <w:i/>
          <w:iCs/>
        </w:rPr>
        <w:t>Journal of Experimental Psychology: General</w:t>
      </w:r>
      <w:r>
        <w:rPr/>
        <w:t xml:space="preserve"> 144(1):114–126.</w:t>
      </w:r>
    </w:p>
    <w:p>
      <w:pPr>
        <w:pStyle w:val="BodyText"/>
        <w:rPr/>
      </w:pPr>
      <w:r>
        <w:rPr/>
        <w:t xml:space="preserve">Laban P, Murakhovs’ka L, Xiong C, Wu CS (2023) Are you sure? Challenging LLMs leads to performance drops in the FlipFlop experiment. Preprint, arXiv:2311.08596.</w:t>
      </w:r>
    </w:p>
    <w:p>
      <w:pPr>
        <w:pStyle w:val="BodyText"/>
        <w:rPr/>
      </w:pPr>
      <w:r>
        <w:rPr/>
        <w:t xml:space="preserve">Lee JD, See KA (2004) Trust in automation: Designing for appropriate reliance. </w:t>
      </w:r>
      <w:r>
        <w:rPr>
          <w:i/>
          <w:iCs/>
        </w:rPr>
        <w:t>Human Factors</w:t>
      </w:r>
      <w:r>
        <w:rPr/>
        <w:t xml:space="preserve"> 46(1):50–80.</w:t>
      </w:r>
    </w:p>
    <w:p>
      <w:pPr>
        <w:pStyle w:val="BodyText"/>
        <w:rPr/>
      </w:pPr>
      <w:r>
        <w:rPr/>
        <w:t xml:space="preserve">Logg JM, Minson JA, Moore DA (2019) Algorithm appreciation: People prefer algorithmic to human judgment. </w:t>
      </w:r>
      <w:r>
        <w:rPr>
          <w:i/>
          <w:iCs/>
        </w:rPr>
        <w:t>Organizational Behavior and Human Decision Processes</w:t>
      </w:r>
      <w:r>
        <w:rPr/>
        <w:t xml:space="preserve"> 151:90–103.</w:t>
      </w:r>
    </w:p>
    <w:p>
      <w:pPr>
        <w:pStyle w:val="BodyText"/>
        <w:rPr/>
      </w:pPr>
      <w:r>
        <w:rPr/>
        <w:t xml:space="preserve">Parasuraman R, Riley V (1997) Humans and automation: Use, misuse, disuse, abuse. </w:t>
      </w:r>
      <w:r>
        <w:rPr>
          <w:i/>
          <w:iCs/>
        </w:rPr>
        <w:t>Human Factors</w:t>
      </w:r>
      <w:r>
        <w:rPr/>
        <w:t xml:space="preserve"> 39(2):230–253.</w:t>
      </w:r>
    </w:p>
    <w:p>
      <w:pPr>
        <w:pStyle w:val="BodyText"/>
        <w:rPr/>
      </w:pPr>
      <w:r>
        <w:rPr/>
        <w:t xml:space="preserve">Sclar M, Choi Y, Tsvetkov Y, Suhr A (2024) Quantifying language models’ sensitivity to spurious features in prompt design. </w:t>
      </w:r>
      <w:r>
        <w:rPr>
          <w:i/>
          <w:iCs/>
        </w:rPr>
        <w:t>International Conference on Learning Representations</w:t>
      </w:r>
      <w:r>
        <w:rPr/>
        <w:t>.</w:t>
      </w:r>
    </w:p>
    <w:p>
      <w:pPr>
        <w:pStyle w:val="BodyText"/>
        <w:rPr/>
      </w:pPr>
      <w:r>
        <w:rPr/>
        <w:t xml:space="preserve">Turpin M, Michael J, Perez E, Bowman SR (2023) Language models don’t always say what they think: Unfaithful explanations in chain-of-thought prompting. </w:t>
      </w:r>
      <w:r>
        <w:rPr>
          <w:i/>
          <w:iCs/>
        </w:rPr>
        <w:t>Advances in Neural Information Processing Systems</w:t>
      </w:r>
      <w:r>
        <w:rPr/>
        <w:t xml:space="preserve"> 36.</w:t>
      </w:r>
    </w:p>
    <w:p>
      <w:pPr>
        <w:pStyle w:val="BodyText"/>
        <w:rPr/>
      </w:pPr>
      <w:r>
        <w:rPr/>
        <w:t xml:space="preserve">Wei J, Huang D, Lu Y, Zhou D, Le QV (2023) Simple synthetic data reduces sycophancy in large language models. Preprint, arXiv:2308.03958.</w:t>
      </w:r>
    </w:p>
    <w:p>
      <w:pPr>
        <w:pStyle w:val="BodyText"/>
        <w:spacing w:lineRule="auto" w:line="360" w:before="0" w:after="120"/>
        <w:rPr/>
      </w:pPr>
      <w:r>
        <w:rPr/>
        <w:t xml:space="preserve">Zheng C, Zhou H, Meng F, Zhou J, Huang M (2024) Large language models are not robust multiple choice selectors. </w:t>
      </w:r>
      <w:r>
        <w:rPr>
          <w:i/>
          <w:iCs/>
        </w:rPr>
        <w:t>International Conference on Learning Representations</w:t>
      </w:r>
      <w:r>
        <w:rPr/>
        <w:t>.</w:t>
      </w:r>
      <w:bookmarkEnd w:id="0"/>
      <w:bookmarkEnd w:id="4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BodyText"/>
    <w:uiPriority w:val="9"/>
    <w:qFormat/>
    <w:pPr>
      <w:keepNext w:val="true"/>
      <w:keepLines/>
      <w:spacing w:before="280" w:after="120"/>
      <w:outlineLvl w:val="0"/>
    </w:pPr>
    <w:rPr>
      <w:rFonts w:ascii="Times New Roman" w:hAnsi="Times New Roman" w:eastAsia="Times New Roman" w:cs="Times New Roman"/>
      <w:b/>
      <w:bCs/>
      <w:i w:val="false"/>
      <w:color w:val="000000"/>
      <w:sz w:val="28"/>
      <w:szCs w:val="32"/>
    </w:rPr>
  </w:style>
  <w:style w:type="paragraph" w:styleId="Heading2">
    <w:name w:val="Heading 2"/>
    <w:basedOn w:val="Normal"/>
    <w:next w:val="BodyText"/>
    <w:uiPriority w:val="9"/>
    <w:unhideWhenUsed/>
    <w:qFormat/>
    <w:pPr>
      <w:keepNext w:val="true"/>
      <w:keepLines/>
      <w:spacing w:before="280" w:after="120"/>
      <w:outlineLvl w:val="1"/>
    </w:pPr>
    <w:rPr>
      <w:rFonts w:ascii="Times New Roman" w:hAnsi="Times New Roman" w:eastAsia="Times New Roman" w:cs="Times New Roman"/>
      <w:b/>
      <w:bCs/>
      <w:i w:val="false"/>
      <w:color w:val="000000"/>
      <w:sz w:val="24"/>
      <w:szCs w:val="28"/>
    </w:rPr>
  </w:style>
  <w:style w:type="paragraph" w:styleId="Heading3">
    <w:name w:val="Heading 3"/>
    <w:basedOn w:val="Normal"/>
    <w:next w:val="BodyText"/>
    <w:uiPriority w:val="9"/>
    <w:unhideWhenUsed/>
    <w:qFormat/>
    <w:pPr>
      <w:keepNext w:val="true"/>
      <w:keepLines/>
      <w:spacing w:before="280" w:after="120"/>
      <w:outlineLvl w:val="2"/>
    </w:pPr>
    <w:rPr>
      <w:rFonts w:ascii="Times New Roman" w:hAnsi="Times New Roman" w:eastAsia="Times New Roman" w:cs="Times New Roman"/>
      <w:b/>
      <w:bCs/>
      <w:i/>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360" w:before="0" w:after="120"/>
    </w:pPr>
    <w:rPr>
      <w:rFonts w:ascii="Times New Roman" w:hAnsi="Times New Roman" w:eastAsia="Times New Roman" w:cs="Times New Roman"/>
      <w:color w:val="000000"/>
      <w:sz w:val="24"/>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pPr>
    <w:rPr>
      <w:rFonts w:ascii="Times New Roman" w:hAnsi="Times New Roman" w:eastAsia="Times New Roman" w:cs="Times New Roman"/>
      <w:color w:val="000000"/>
      <w:sz w:val="24"/>
    </w:rPr>
  </w:style>
  <w:style w:type="paragraph" w:styleId="Compact" w:customStyle="1">
    <w:name w:val="Compact"/>
    <w:basedOn w:val="BodyText"/>
    <w:qFormat/>
    <w:pPr>
      <w:spacing w:lineRule="auto" w:line="360" w:before="0" w:after="120"/>
    </w:pPr>
    <w:rPr>
      <w:rFonts w:ascii="Times New Roman" w:hAnsi="Times New Roman" w:eastAsia="Times New Roman" w:cs="Times New Roman"/>
      <w:color w:val="000000"/>
      <w:sz w:val="24"/>
    </w:rPr>
  </w:style>
  <w:style w:type="paragraph" w:styleId="Title">
    <w:name w:val="Title"/>
    <w:basedOn w:val="Normal"/>
    <w:next w:val="BodyText"/>
    <w:qFormat/>
    <w:pPr>
      <w:keepNext w:val="true"/>
      <w:keepLines/>
      <w:spacing w:before="0" w:after="120"/>
      <w:jc w:val="center"/>
    </w:pPr>
    <w:rPr>
      <w:rFonts w:ascii="Times New Roman" w:hAnsi="Times New Roman" w:eastAsia="Times New Roman" w:cs="Times New Roman"/>
      <w:b/>
      <w:bCs/>
      <w:i w:val="false"/>
      <w:color w:val="000000"/>
      <w:sz w:val="3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lineRule="auto" w:line="360" w:before="0" w:after="120"/>
      <w:ind w:hanging="0" w:left="480" w:right="480"/>
    </w:pPr>
    <w:rPr>
      <w:rFonts w:ascii="Times New Roman" w:hAnsi="Times New Roman" w:eastAsia="Times New Roman" w:cs="Times New Roman"/>
      <w:color w:val="000000"/>
      <w:sz w:val="24"/>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880</Words>
  <Characters>4584</Characters>
  <CharactersWithSpaces>5415</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2026-10-22T04:27:31Z</dcterms:created>
  <dc:creator/>
  <dc:description/>
  <dc:language>en-US</dc:language>
  <cp:lastModifiedBy/>
  <dcterms:modified xsi:type="dcterms:W3CDTF">2026-10-22T05:09:38Z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