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Counting</w:t>
      </w:r>
      <w:r>
        <w:t xml:space="preserve"> </w:t>
      </w:r>
      <w:r>
        <w:t xml:space="preserve">What</w:t>
      </w:r>
      <w:r>
        <w:t xml:space="preserve"> </w:t>
      </w:r>
      <w:r>
        <w:t xml:space="preserve">Machines</w:t>
      </w:r>
      <w:r>
        <w:t xml:space="preserve"> </w:t>
      </w:r>
      <w:r>
        <w:t xml:space="preserve">Cannot</w:t>
      </w:r>
      <w:r>
        <w:t xml:space="preserve"> </w:t>
      </w:r>
      <w:r>
        <w:t xml:space="preserve">Fake:</w:t>
      </w:r>
      <w:r>
        <w:t xml:space="preserve"> </w:t>
      </w:r>
      <w:r>
        <w:t xml:space="preserve">A</w:t>
      </w:r>
      <w:r>
        <w:t xml:space="preserve"> </w:t>
      </w:r>
      <w:r>
        <w:t xml:space="preserve">Poisson-Based,</w:t>
      </w:r>
      <w:r>
        <w:t xml:space="preserve"> </w:t>
      </w:r>
      <w:r>
        <w:t xml:space="preserve">White-Box</w:t>
      </w:r>
      <w:r>
        <w:t xml:space="preserve"> </w:t>
      </w:r>
      <w:r>
        <w:t xml:space="preserve">Framework</w:t>
      </w:r>
      <w:r>
        <w:t xml:space="preserve"> </w:t>
      </w:r>
      <w:r>
        <w:t xml:space="preserve">for</w:t>
      </w:r>
      <w:r>
        <w:t xml:space="preserve"> </w:t>
      </w:r>
      <w:r>
        <w:t xml:space="preserve">Assessing</w:t>
      </w:r>
      <w:r>
        <w:t xml:space="preserve"> </w:t>
      </w:r>
      <w:r>
        <w:t xml:space="preserve">the</w:t>
      </w:r>
      <w:r>
        <w:t xml:space="preserve"> </w:t>
      </w:r>
      <w:r>
        <w:t xml:space="preserve">Quality</w:t>
      </w:r>
      <w:r>
        <w:t xml:space="preserve"> </w:t>
      </w:r>
      <w:r>
        <w:t xml:space="preserve">of</w:t>
      </w:r>
      <w:r>
        <w:t xml:space="preserve"> </w:t>
      </w:r>
      <w:r>
        <w:t xml:space="preserve">LLM-Generated</w:t>
      </w:r>
      <w:r>
        <w:t xml:space="preserve"> </w:t>
      </w:r>
      <w:r>
        <w:t xml:space="preserve">Scholarly</w:t>
      </w:r>
      <w:r>
        <w:t xml:space="preserve"> </w:t>
      </w:r>
      <w:r>
        <w:t xml:space="preserve">Text</w:t>
      </w:r>
    </w:p>
    <w:p>
      <w:pPr>
        <w:pStyle w:val="Subtitle"/>
      </w:pPr>
      <w:r>
        <w:t xml:space="preserve">Research</w:t>
      </w:r>
      <w:r>
        <w:t xml:space="preserve"> </w:t>
      </w:r>
      <w:r>
        <w:t xml:space="preserve">Proposal</w:t>
      </w:r>
      <w:r>
        <w:t xml:space="preserve"> </w:t>
      </w:r>
      <w:r>
        <w:t xml:space="preserve">(Empirical</w:t>
      </w:r>
      <w:r>
        <w:t xml:space="preserve"> </w:t>
      </w:r>
      <w:r>
        <w:t xml:space="preserve">Study,</w:t>
      </w:r>
      <w:r>
        <w:t xml:space="preserve"> </w:t>
      </w:r>
      <w:r>
        <w:t xml:space="preserve">Information</w:t>
      </w:r>
      <w:r>
        <w:t xml:space="preserve"> </w:t>
      </w:r>
      <w:r>
        <w:t xml:space="preserve">Systems)</w:t>
      </w:r>
    </w:p>
    <w:bookmarkStart w:id="20" w:name="abstract"/>
    <w:p>
      <w:pPr>
        <w:pStyle w:val="Heading1"/>
      </w:pPr>
      <w:r>
        <w:t xml:space="preserve">Abstract</w:t>
      </w:r>
    </w:p>
    <w:p>
      <w:pPr>
        <w:pStyle w:val="FirstParagraph"/>
      </w:pPr>
      <w:r>
        <w:t xml:space="preserve">Large language models (LLMs) now produce scholarly papers and business reports that are hard to tell apart from human writing, and they produce them at almost no cost. For organizations that depend on document repositories, such as publishers, preprint servers, and research-integrity offices, this shifts the problem from writing to auditing. The two dominant auditing approaches both have drawbacks. LLM-as-a-judge is expensive and inherits the biases of the judging model. Embedding-based metrics such as MAUVE and BERTScore reward semantic similarity but say little about the finer statistical texture of a corpus. This proposal develops a lightweight, interpretable alternative. We treat the occurrence of selected linguistic events (special punctuation, discourse markers, passive constructions, and nominalizations) as count processes and measure how far a document set departs from a Poisson reference established on human-authored text. The resulting</w:t>
      </w:r>
      <w:r>
        <w:t xml:space="preserve"> </w:t>
      </w:r>
      <w:r>
        <w:rPr>
          <w:iCs/>
          <w:i/>
        </w:rPr>
        <w:t xml:space="preserve">Poisson-Score</w:t>
      </w:r>
      <w:r>
        <w:t xml:space="preserve"> </w:t>
      </w:r>
      <w:r>
        <w:t xml:space="preserve">is evaluated on three fronts: how well it detects synthetic papers (effectiveness), what it costs to run at scale (efficiency), and whether it helps human reviewers decide better when it is shown to them (decision quality). We describe a 10,000-document benchmark drawn from arXiv and PubMed, goodness-of-fit and dispersion analyses, and a randomized three-condition experiment with domain experts. The study aims to show that explainable, low-cost statistical evidence is a practical component of information quality governance.</w:t>
      </w:r>
    </w:p>
    <w:p>
      <w:pPr>
        <w:pStyle w:val="BodyText"/>
      </w:pPr>
      <w:r>
        <w:rPr>
          <w:bCs/>
          <w:b/>
        </w:rPr>
        <w:t xml:space="preserve">Keywords:</w:t>
      </w:r>
      <w:r>
        <w:t xml:space="preserve"> </w:t>
      </w:r>
      <w:r>
        <w:t xml:space="preserve">information quality, synthetic text detection, Poisson process, explainable analytics, design science, human–AI decision making</w:t>
      </w:r>
    </w:p>
    <w:bookmarkEnd w:id="20"/>
    <w:bookmarkStart w:id="21" w:name="introduction"/>
    <w:p>
      <w:pPr>
        <w:pStyle w:val="Heading1"/>
      </w:pPr>
      <w:r>
        <w:t xml:space="preserve">1. Introduction</w:t>
      </w:r>
    </w:p>
    <w:p>
      <w:pPr>
        <w:pStyle w:val="FirstParagraph"/>
      </w:pPr>
      <w:r>
        <w:t xml:space="preserve">Fluent, well-formatted text used to be a reasonable signal of effort. That is no longer true. Contemporary LLMs can draft an abstract, a literature review, or a quarterly business report in seconds, and the output usually reads well enough to pass a casual inspection. Much of this text is harmless. Some of it is not: fabricated studies, padded manuscripts, and machine-written reports can enter the record, be cited, and eventually be acted on. We regard this as an information integrity problem in the information systems sense. The question is not only whether a model can detect fakes, but whether an organization can afford to screen at scale and whether the people who make the final call can understand and trust the evidence they are given.</w:t>
      </w:r>
    </w:p>
    <w:p>
      <w:pPr>
        <w:pStyle w:val="BodyText"/>
      </w:pPr>
      <w:r>
        <w:t xml:space="preserve">Current practice is uneven on both counts. The most common approach is to ask a strong model to grade a document, the so-called LLM-as-a-judge. This is costly when millions of documents are involved, and the verdict depends on prompt wording and on the judge’s own stylistic preferences, so it is difficult to defend as objective. A second approach compares texts in embedding space, using measures such as MAUVE or BERTScore. These capture whether two sets of documents</w:t>
      </w:r>
      <w:r>
        <w:t xml:space="preserve"> </w:t>
      </w:r>
      <w:r>
        <w:rPr>
          <w:iCs/>
          <w:i/>
        </w:rPr>
        <w:t xml:space="preserve">mean</w:t>
      </w:r>
      <w:r>
        <w:t xml:space="preserve"> </w:t>
      </w:r>
      <w:r>
        <w:t xml:space="preserve">similar things. They are much less sensitive to whether the documents</w:t>
      </w:r>
      <w:r>
        <w:t xml:space="preserve"> </w:t>
      </w:r>
      <w:r>
        <w:rPr>
          <w:iCs/>
          <w:i/>
        </w:rPr>
        <w:t xml:space="preserve">behave</w:t>
      </w:r>
      <w:r>
        <w:t xml:space="preserve"> </w:t>
      </w:r>
      <w:r>
        <w:t xml:space="preserve">alike at a micro level, for example how often a semicolon appears in a paragraph or how evenly a connective is spread across a section. A corpus can look semantically faithful and still be statistically too tidy.</w:t>
      </w:r>
    </w:p>
    <w:p>
      <w:pPr>
        <w:pStyle w:val="BodyText"/>
      </w:pPr>
      <w:r>
        <w:t xml:space="preserve">We start from a simple observation. Human authors do not control the frequency of small linguistic events. Nobody decides to use three parentheses in this paragraph and none in the next. These events accumulate as a by-product of content, habit, and context, which is the kind of setting in which count models work well. A language model, by contrast, is trained to make each next token locally probable, and sampling controls such as temperature and nucleus truncation can flatten or regularize how often certain forms recur. If this is right, machine-written text should leave a detectable trace in the dispersion of event counts, even when its surface quality is high.</w:t>
      </w:r>
    </w:p>
    <w:p>
      <w:pPr>
        <w:pStyle w:val="BodyText"/>
      </w:pPr>
      <w:r>
        <w:t xml:space="preserve">This proposal builds on that idea in three steps. First, we define a set of countable events in English academic prose. Second, we construct a Poisson-based reference from human-written papers and quantify how far other documents deviate from it. Third, we ask whether this evidence is useful in the way information systems research cares about: whether it detects what it should, whether it is cheaper to operate than the alternatives, and whether it improves the decisions of the people who rely on it. The contribution is therefore not a new classifier. It is a test of whether a transparent statistical lens can serve as a practical layer in information quality management.</w:t>
      </w:r>
    </w:p>
    <w:bookmarkEnd w:id="21"/>
    <w:bookmarkStart w:id="22" w:name="conceptual-background"/>
    <w:p>
      <w:pPr>
        <w:pStyle w:val="Heading1"/>
      </w:pPr>
      <w:r>
        <w:t xml:space="preserve">2. Conceptual Background</w:t>
      </w:r>
    </w:p>
    <w:p>
      <w:pPr>
        <w:pStyle w:val="FirstParagraph"/>
      </w:pPr>
      <w:r>
        <w:rPr>
          <w:bCs/>
          <w:b/>
        </w:rPr>
        <w:t xml:space="preserve">Information quality and governance.</w:t>
      </w:r>
      <w:r>
        <w:t xml:space="preserve"> </w:t>
      </w:r>
      <w:r>
        <w:t xml:space="preserve">Research on information quality has long treated accuracy, completeness, and credibility as properties that organizations must monitor actively rather than assume. Generative AI strains this view because producing plausible content is now cheaper than checking it. Auditing therefore becomes an economic decision as much as a technical one, and cost per document is a legitimate outcome variable alongside detection performance.</w:t>
      </w:r>
    </w:p>
    <w:p>
      <w:pPr>
        <w:pStyle w:val="BodyText"/>
      </w:pPr>
      <w:r>
        <w:rPr>
          <w:bCs/>
          <w:b/>
        </w:rPr>
        <w:t xml:space="preserve">Detection of machine-generated text.</w:t>
      </w:r>
      <w:r>
        <w:t xml:space="preserve"> </w:t>
      </w:r>
      <w:r>
        <w:t xml:space="preserve">Existing detectors fall roughly into three families: supervised classifiers, probability-based methods that use a model’s own likelihoods, and judge-style evaluation by a second model. Most are opaque, they tend to degrade when the generator changes, and they rarely tell a human reviewer</w:t>
      </w:r>
      <w:r>
        <w:t xml:space="preserve"> </w:t>
      </w:r>
      <w:r>
        <w:rPr>
          <w:iCs/>
          <w:i/>
        </w:rPr>
        <w:t xml:space="preserve">why</w:t>
      </w:r>
      <w:r>
        <w:t xml:space="preserve"> </w:t>
      </w:r>
      <w:r>
        <w:t xml:space="preserve">a document is suspect. Our approach gives up some raw flexibility in exchange for a score that can be traced back to specific, countable features.</w:t>
      </w:r>
    </w:p>
    <w:p>
      <w:pPr>
        <w:pStyle w:val="BodyText"/>
      </w:pPr>
      <w:r>
        <w:rPr>
          <w:bCs/>
          <w:b/>
        </w:rPr>
        <w:t xml:space="preserve">Count processes in text.</w:t>
      </w:r>
      <w:r>
        <w:t xml:space="preserve"> </w:t>
      </w:r>
      <w:r>
        <w:t xml:space="preserve">The Poisson distribution describes the number of independent events in a fixed window when events occur at a constant average rate. Its defining property is that the variance equals the mean. Real text will rarely meet this assumption perfectly, because topic shifts and section structure create clustering. We therefore do not claim that human writing is exactly Poisson. The working claim is narrower and testable: after conditioning on document type and section, human-authored counts are close enough to a Poisson (or mildly over-dispersed) reference to serve as a stable baseline, and machine-generated counts depart from that baseline in a systematic way, either by being more clustered or more evenly spaced than human text.</w:t>
      </w:r>
    </w:p>
    <w:p>
      <w:pPr>
        <w:pStyle w:val="BodyText"/>
      </w:pPr>
      <w:r>
        <w:rPr>
          <w:bCs/>
          <w:b/>
        </w:rPr>
        <w:t xml:space="preserve">Explainability and decision support.</w:t>
      </w:r>
      <w:r>
        <w:t xml:space="preserve"> </w:t>
      </w:r>
      <w:r>
        <w:t xml:space="preserve">Studies of human–AI collaboration repeatedly find that an accurate but unexplained recommendation does not reliably improve human judgment, and may encourage over-reliance. Evidence that a reviewer can inspect, such as</w:t>
      </w:r>
      <w:r>
        <w:t xml:space="preserve"> </w:t>
      </w:r>
      <w:r>
        <w:t xml:space="preserve">“</w:t>
      </w:r>
      <w:r>
        <w:t xml:space="preserve">this paper uses connectives at unusually regular intervals</w:t>
      </w:r>
      <w:r>
        <w:t xml:space="preserve">”</w:t>
      </w:r>
      <w:r>
        <w:t xml:space="preserve">, offers something to reason with. Whether this actually helps is an empirical question that we address directly.</w:t>
      </w:r>
    </w:p>
    <w:bookmarkEnd w:id="22"/>
    <w:bookmarkStart w:id="23" w:name="domain-and-event-definitions"/>
    <w:p>
      <w:pPr>
        <w:pStyle w:val="Heading1"/>
      </w:pPr>
      <w:r>
        <w:t xml:space="preserve">3. Domain and Event Definitions</w:t>
      </w:r>
    </w:p>
    <w:p>
      <w:pPr>
        <w:pStyle w:val="FirstParagraph"/>
      </w:pPr>
      <w:r>
        <w:t xml:space="preserve">We focus on English-language scientific and academic papers. The genre is highly conventional, the conventions are well documented, and large collections of verified human-authored text are openly available. These properties make it a demanding but fair test bed. Three families of events are counted per fixed-length text window (for example, per 500 tokens, with section type recorded).</w:t>
      </w:r>
    </w:p>
    <w:p>
      <w:pPr>
        <w:numPr>
          <w:ilvl w:val="0"/>
          <w:numId w:val="1001"/>
        </w:numPr>
      </w:pPr>
      <w:r>
        <w:rPr>
          <w:bCs/>
          <w:b/>
        </w:rPr>
        <w:t xml:space="preserve">Special punctuation and symbols.</w:t>
      </w:r>
      <w:r>
        <w:t xml:space="preserve"> </w:t>
      </w:r>
      <w:r>
        <w:t xml:space="preserve">Parentheses, square brackets, semicolons, quotation marks, and mathematical notation. Academic writers use these for citations, qualifications, and formulas in ways that depend on content. We expect LLM output to handle them in a more uniform or more concentrated pattern than human authors do.</w:t>
      </w:r>
    </w:p>
    <w:p>
      <w:pPr>
        <w:numPr>
          <w:ilvl w:val="0"/>
          <w:numId w:val="1001"/>
        </w:numPr>
      </w:pPr>
      <w:r>
        <w:rPr>
          <w:bCs/>
          <w:b/>
        </w:rPr>
        <w:t xml:space="preserve">Discourse markers.</w:t>
      </w:r>
      <w:r>
        <w:t xml:space="preserve"> </w:t>
      </w:r>
      <w:r>
        <w:t xml:space="preserve">Connectives such as</w:t>
      </w:r>
      <w:r>
        <w:t xml:space="preserve"> </w:t>
      </w:r>
      <w:r>
        <w:rPr>
          <w:iCs/>
          <w:i/>
        </w:rPr>
        <w:t xml:space="preserve">furthermore</w:t>
      </w:r>
      <w:r>
        <w:t xml:space="preserve">,</w:t>
      </w:r>
      <w:r>
        <w:t xml:space="preserve"> </w:t>
      </w:r>
      <w:r>
        <w:rPr>
          <w:iCs/>
          <w:i/>
        </w:rPr>
        <w:t xml:space="preserve">moreover</w:t>
      </w:r>
      <w:r>
        <w:t xml:space="preserve">,</w:t>
      </w:r>
      <w:r>
        <w:t xml:space="preserve"> </w:t>
      </w:r>
      <w:r>
        <w:rPr>
          <w:iCs/>
          <w:i/>
        </w:rPr>
        <w:t xml:space="preserve">therefore</w:t>
      </w:r>
      <w:r>
        <w:t xml:space="preserve">,</w:t>
      </w:r>
      <w:r>
        <w:t xml:space="preserve"> </w:t>
      </w:r>
      <w:r>
        <w:rPr>
          <w:iCs/>
          <w:i/>
        </w:rPr>
        <w:t xml:space="preserve">in contrast</w:t>
      </w:r>
      <w:r>
        <w:t xml:space="preserve">, and</w:t>
      </w:r>
      <w:r>
        <w:t xml:space="preserve"> </w:t>
      </w:r>
      <w:r>
        <w:rPr>
          <w:iCs/>
          <w:i/>
        </w:rPr>
        <w:t xml:space="preserve">crucially</w:t>
      </w:r>
      <w:r>
        <w:t xml:space="preserve">. These link claims and arguments. Our expectation is that LLMs insert them at more regular intervals and at higher overall rates than human authors, partly to maintain smooth surface coherence.</w:t>
      </w:r>
    </w:p>
    <w:p>
      <w:pPr>
        <w:numPr>
          <w:ilvl w:val="0"/>
          <w:numId w:val="1001"/>
        </w:numPr>
      </w:pPr>
      <w:r>
        <w:rPr>
          <w:bCs/>
          <w:b/>
        </w:rPr>
        <w:t xml:space="preserve">Passive voice and nominalization.</w:t>
      </w:r>
      <w:r>
        <w:t xml:space="preserve"> </w:t>
      </w:r>
      <w:r>
        <w:t xml:space="preserve">Passive constructions (a form of</w:t>
      </w:r>
      <w:r>
        <w:t xml:space="preserve"> </w:t>
      </w:r>
      <w:r>
        <w:rPr>
          <w:iCs/>
          <w:i/>
        </w:rPr>
        <w:t xml:space="preserve">be</w:t>
      </w:r>
      <w:r>
        <w:t xml:space="preserve"> </w:t>
      </w:r>
      <w:r>
        <w:t xml:space="preserve">plus a past participle) and nominalized forms (words ending in</w:t>
      </w:r>
      <w:r>
        <w:t xml:space="preserve"> </w:t>
      </w:r>
      <w:r>
        <w:rPr>
          <w:iCs/>
          <w:i/>
        </w:rPr>
        <w:t xml:space="preserve">-tion</w:t>
      </w:r>
      <w:r>
        <w:t xml:space="preserve">,</w:t>
      </w:r>
      <w:r>
        <w:t xml:space="preserve"> </w:t>
      </w:r>
      <w:r>
        <w:rPr>
          <w:iCs/>
          <w:i/>
        </w:rPr>
        <w:t xml:space="preserve">-ment</w:t>
      </w:r>
      <w:r>
        <w:t xml:space="preserve">,</w:t>
      </w:r>
      <w:r>
        <w:t xml:space="preserve"> </w:t>
      </w:r>
      <w:r>
        <w:rPr>
          <w:iCs/>
          <w:i/>
        </w:rPr>
        <w:t xml:space="preserve">-ity</w:t>
      </w:r>
      <w:r>
        <w:t xml:space="preserve">). Both are hallmarks of academic English, and their frequency within paragraphs offers a view of stylistic habit that is hard to control deliberately.</w:t>
      </w:r>
    </w:p>
    <w:p>
      <w:pPr>
        <w:pStyle w:val="FirstParagraph"/>
      </w:pPr>
      <w:r>
        <w:t xml:space="preserve">For each family we compute the observed mean and variance of counts across windows and summarize departure from Poisson behavior through a dispersion index (variance divided by mean) and a likelihood-based distance between the document’s count distribution and the human reference. The Poisson-Score aggregates these distances into a single value between 0 and 1, while the per-feature components remain available for inspection. All tokenization, window, and feature-list choices will be fixed and registered before the evaluation data are examined.</w:t>
      </w:r>
    </w:p>
    <w:bookmarkEnd w:id="23"/>
    <w:bookmarkStart w:id="24" w:name="research-questions"/>
    <w:p>
      <w:pPr>
        <w:pStyle w:val="Heading1"/>
      </w:pPr>
      <w:r>
        <w:t xml:space="preserve">4. Research Questions</w:t>
      </w:r>
    </w:p>
    <w:p>
      <w:pPr>
        <w:pStyle w:val="FirstParagraph"/>
      </w:pPr>
      <w:r>
        <w:t xml:space="preserve">Our questions follow the three concerns that matter to information systems management: whether the approach works, whether it is affordable, and whether people make better decisions with it.</w:t>
      </w:r>
    </w:p>
    <w:p>
      <w:pPr>
        <w:pStyle w:val="BodyText"/>
      </w:pPr>
      <w:r>
        <w:rPr>
          <w:bCs/>
          <w:b/>
        </w:rPr>
        <w:t xml:space="preserve">RQ1 (Effectiveness).</w:t>
      </w:r>
      <w:r>
        <w:t xml:space="preserve"> </w:t>
      </w:r>
      <w:r>
        <w:t xml:space="preserve">To what extent does the Poisson-Score identify LLM-generated academic papers, and does it capture distributional distortion that black-box metrics (LLM-as-a-judge, MAUVE, BERTScore) miss?</w:t>
      </w:r>
    </w:p>
    <w:p>
      <w:pPr>
        <w:pStyle w:val="BodyText"/>
      </w:pPr>
      <w:r>
        <w:rPr>
          <w:bCs/>
          <w:b/>
        </w:rPr>
        <w:t xml:space="preserve">RQ2 (Cost efficiency).</w:t>
      </w:r>
      <w:r>
        <w:t xml:space="preserve"> </w:t>
      </w:r>
      <w:r>
        <w:t xml:space="preserve">Relative to LLM-as-a-judge, how much does a Poisson-based screening step reduce latency and monetary cost per document in a large-scale auditing workflow?</w:t>
      </w:r>
    </w:p>
    <w:p>
      <w:pPr>
        <w:pStyle w:val="BodyText"/>
      </w:pPr>
      <w:r>
        <w:rPr>
          <w:bCs/>
          <w:b/>
        </w:rPr>
        <w:t xml:space="preserve">RQ3 (Decision quality).</w:t>
      </w:r>
      <w:r>
        <w:t xml:space="preserve"> </w:t>
      </w:r>
      <w:r>
        <w:t xml:space="preserve">When human reviewers are assisted by an information system, does adding explainable Poisson-based evidence improve their accuracy in identifying fabricated papers, compared with no assistance and with an unexplained AI score?</w:t>
      </w:r>
    </w:p>
    <w:p>
      <w:pPr>
        <w:pStyle w:val="BodyText"/>
      </w:pPr>
      <w:r>
        <w:t xml:space="preserve">We expect, but will not assume, that the Poisson-Score will add detection power beyond existing metrics (H1), that it will be substantially cheaper to run (H2), and that reviewers given the explainable score will outperform those given either no score or a black-box score (H3). Where results go the other way, we will report them in full.</w:t>
      </w:r>
    </w:p>
    <w:bookmarkEnd w:id="24"/>
    <w:bookmarkStart w:id="28" w:name="empirical-design"/>
    <w:p>
      <w:pPr>
        <w:pStyle w:val="Heading1"/>
      </w:pPr>
      <w:r>
        <w:t xml:space="preserve">5. Empirical Design</w:t>
      </w:r>
    </w:p>
    <w:bookmarkStart w:id="25" w:name="data"/>
    <w:p>
      <w:pPr>
        <w:pStyle w:val="Heading2"/>
      </w:pPr>
      <w:r>
        <w:t xml:space="preserve">5.1 Data</w:t>
      </w:r>
    </w:p>
    <w:p>
      <w:pPr>
        <w:pStyle w:val="FirstParagraph"/>
      </w:pPr>
      <w:r>
        <w:t xml:space="preserve">We will randomly sample 5,000 English-language papers from arXiv and PubMed through their public APIs, stratified by field so that medicine, computer science, and other areas are all represented. For each sampled paper, four contemporary LLMs (GPT-4o, Claude 3.5, Llama 3, and Mistral) will generate a paper on the same topic, giving a matched synthetic set. Together with the human sample, this yields a benchmark of roughly 10,000 documents. Generation prompts will vary in sophistication so that results do not depend on a single prompting style. To limit the risk that some</w:t>
      </w:r>
      <w:r>
        <w:t xml:space="preserve"> </w:t>
      </w:r>
      <w:r>
        <w:t xml:space="preserve">“</w:t>
      </w:r>
      <w:r>
        <w:t xml:space="preserve">human</w:t>
      </w:r>
      <w:r>
        <w:t xml:space="preserve">”</w:t>
      </w:r>
      <w:r>
        <w:t xml:space="preserve"> </w:t>
      </w:r>
      <w:r>
        <w:t xml:space="preserve">papers are themselves partly machine-written, we will draw human papers from a period before widespread LLM use and document this choice.</w:t>
      </w:r>
    </w:p>
    <w:bookmarkEnd w:id="25"/>
    <w:bookmarkStart w:id="26" w:name="statistical-model"/>
    <w:p>
      <w:pPr>
        <w:pStyle w:val="Heading2"/>
      </w:pPr>
      <w:r>
        <w:t xml:space="preserve">5.2 Statistical Model</w:t>
      </w:r>
    </w:p>
    <w:p>
      <w:pPr>
        <w:pStyle w:val="FirstParagraph"/>
      </w:pPr>
      <w:r>
        <w:t xml:space="preserve">The relationship between the Poisson-Score and each system-level outcome is estimated with the following specification, where</w:t>
      </w:r>
      <w:r>
        <w:t xml:space="preserve"> </w:t>
      </w:r>
      <w:r>
        <w:rPr>
          <w:iCs/>
          <w:i/>
        </w:rPr>
        <w:t xml:space="preserve">i</w:t>
      </w:r>
      <w:r>
        <w:t xml:space="preserve"> </w:t>
      </w:r>
      <w:r>
        <w:t xml:space="preserve">indexes documents (or document sets) and</w:t>
      </w:r>
      <w:r>
        <w:t xml:space="preserve"> </w:t>
      </w:r>
      <w:r>
        <w:rPr>
          <w:iCs/>
          <w:i/>
        </w:rPr>
        <w:t xml:space="preserve">t</w:t>
      </w:r>
      <w:r>
        <w:t xml:space="preserve"> </w:t>
      </w:r>
      <w:r>
        <w:t xml:space="preserve">indexes evaluation rounds:</w:t>
      </w:r>
    </w:p>
    <w:p>
      <w:pPr>
        <w:pStyle w:val="BodyText"/>
      </w:pPr>
      <m:oMathPara>
        <m:oMathParaPr>
          <m:jc m:val="center"/>
        </m:oMathParaPr>
        <m:oMath>
          <m:sSub>
            <m:e>
              <m:r>
                <m:rPr>
                  <m:nor/>
                  <m:sty m:val="p"/>
                </m:rPr>
                <m:t>Outcome</m:t>
              </m:r>
            </m:e>
            <m:sub>
              <m:r>
                <m:t>i</m:t>
              </m:r>
              <m:r>
                <m:rPr>
                  <m:sty m:val="p"/>
                </m:rPr>
                <m:t>,</m:t>
              </m:r>
              <m:r>
                <m:t>t</m:t>
              </m:r>
            </m:sub>
          </m:sSub>
          <m:r>
            <m:rPr>
              <m:sty m:val="p"/>
            </m:rPr>
            <m:t>=</m:t>
          </m:r>
          <m:sSub>
            <m:e>
              <m:r>
                <m:t>β</m:t>
              </m:r>
            </m:e>
            <m:sub>
              <m:r>
                <m:t>0</m:t>
              </m:r>
            </m:sub>
          </m:sSub>
          <m:r>
            <m:rPr>
              <m:sty m:val="p"/>
            </m:rPr>
            <m:t>+</m:t>
          </m:r>
          <m:sSub>
            <m:e>
              <m:r>
                <m:t>β</m:t>
              </m:r>
            </m:e>
            <m:sub>
              <m:r>
                <m:t>1</m:t>
              </m:r>
            </m:sub>
          </m:sSub>
          <m:r>
            <m:t> </m:t>
          </m:r>
          <m:sSub>
            <m:e>
              <m:r>
                <m:rPr>
                  <m:nor/>
                  <m:sty m:val="p"/>
                </m:rPr>
                <m:t>PoissonScore</m:t>
              </m:r>
            </m:e>
            <m:sub>
              <m:r>
                <m:t>i</m:t>
              </m:r>
              <m:r>
                <m:rPr>
                  <m:sty m:val="p"/>
                </m:rPr>
                <m:t>,</m:t>
              </m:r>
              <m:r>
                <m:t>t</m:t>
              </m:r>
            </m:sub>
          </m:sSub>
          <m:r>
            <m:rPr>
              <m:sty m:val="p"/>
            </m:rPr>
            <m:t>+</m:t>
          </m:r>
          <m:sSub>
            <m:e>
              <m:r>
                <m:t>β</m:t>
              </m:r>
            </m:e>
            <m:sub>
              <m:r>
                <m:t>2</m:t>
              </m:r>
            </m:sub>
          </m:sSub>
          <m:r>
            <m:t> </m:t>
          </m:r>
          <m:sSub>
            <m:e>
              <m:r>
                <m:rPr>
                  <m:nor/>
                  <m:sty m:val="p"/>
                </m:rPr>
                <m:t>Controls</m:t>
              </m:r>
            </m:e>
            <m:sub>
              <m:r>
                <m:t>i</m:t>
              </m:r>
              <m:r>
                <m:rPr>
                  <m:sty m:val="p"/>
                </m:rPr>
                <m:t>,</m:t>
              </m:r>
              <m:r>
                <m:t>t</m:t>
              </m:r>
            </m:sub>
          </m:sSub>
          <m:r>
            <m:rPr>
              <m:sty m:val="p"/>
            </m:rPr>
            <m:t>+</m:t>
          </m:r>
          <m:sSub>
            <m:e>
              <m:r>
                <m:t>ε</m:t>
              </m:r>
            </m:e>
            <m:sub>
              <m:r>
                <m:t>i</m:t>
              </m:r>
              <m:r>
                <m:rPr>
                  <m:sty m:val="p"/>
                </m:rPr>
                <m:t>,</m:t>
              </m:r>
              <m:r>
                <m:t>t</m:t>
              </m:r>
            </m:sub>
          </m:sSub>
        </m:oMath>
      </m:oMathPara>
    </w:p>
    <w:p>
      <w:pPr>
        <w:pStyle w:val="FirstParagraph"/>
      </w:pPr>
      <w:r>
        <w:t xml:space="preserve">Table 1 summarizes the variables. Detection outcomes are modeled with logistic or linear specifications as appropriate, and standard errors are clustered by topic.</w:t>
      </w:r>
    </w:p>
    <w:p>
      <w:pPr>
        <w:pStyle w:val="TableCaption"/>
      </w:pPr>
      <w:r>
        <w:t xml:space="preserve">Table 1. Variables and measurement</w:t>
      </w:r>
    </w:p>
    <w:tbl>
      <w:tblPr>
        <w:tblStyle w:val="Table"/>
        <w:tblW w:type="pct" w:w="5000"/>
        <w:tblLook w:firstRow="1" w:lastRow="0" w:firstColumn="0" w:lastColumn="0" w:noHBand="0" w:noVBand="0" w:val="0020"/>
        <w:jc w:val="start"/>
        <w:tblCaption w:val="Table 1. Variables and measurement"/>
      </w:tblPr>
      <w:tblGrid>
        <w:gridCol w:w="516"/>
        <w:gridCol w:w="1893"/>
        <w:gridCol w:w="5509"/>
      </w:tblGrid>
      <w:tr>
        <w:trPr>
          <w:tblHeader w:val="true"/>
        </w:trPr>
        <w:tc>
          <w:tcPr/>
          <w:p>
            <w:pPr>
              <w:pStyle w:val="Compact"/>
              <w:jc w:val="left"/>
            </w:pPr>
            <w:r>
              <w:t xml:space="preserve">Role</w:t>
            </w:r>
          </w:p>
        </w:tc>
        <w:tc>
          <w:tcPr/>
          <w:p>
            <w:pPr>
              <w:pStyle w:val="Compact"/>
              <w:jc w:val="left"/>
            </w:pPr>
            <w:r>
              <w:t xml:space="preserve">Variable</w:t>
            </w:r>
          </w:p>
        </w:tc>
        <w:tc>
          <w:tcPr/>
          <w:p>
            <w:pPr>
              <w:pStyle w:val="Compact"/>
              <w:jc w:val="left"/>
            </w:pPr>
            <w:r>
              <w:t xml:space="preserve">Measurement</w:t>
            </w:r>
          </w:p>
        </w:tc>
      </w:tr>
      <w:tr>
        <w:tc>
          <w:tcPr/>
          <w:p>
            <w:pPr>
              <w:pStyle w:val="Compact"/>
              <w:jc w:val="left"/>
            </w:pPr>
            <w:r>
              <w:t xml:space="preserve">Independent</w:t>
            </w:r>
          </w:p>
        </w:tc>
        <w:tc>
          <w:tcPr/>
          <w:p>
            <w:pPr>
              <w:pStyle w:val="Compact"/>
              <w:jc w:val="left"/>
            </w:pPr>
            <w:r>
              <w:t xml:space="preserve">Poisson-Score</w:t>
            </w:r>
          </w:p>
        </w:tc>
        <w:tc>
          <w:tcPr/>
          <w:p>
            <w:pPr>
              <w:pStyle w:val="Compact"/>
              <w:jc w:val="left"/>
            </w:pPr>
            <w:r>
              <w:t xml:space="preserve">Distance (0–1) between a document’s event-count distribution and the human Poisson reference</w:t>
            </w:r>
          </w:p>
        </w:tc>
      </w:tr>
      <w:tr>
        <w:tc>
          <w:tcPr/>
          <w:p>
            <w:pPr>
              <w:pStyle w:val="Compact"/>
              <w:jc w:val="left"/>
            </w:pPr>
            <w:r>
              <w:t xml:space="preserve">Dependent</w:t>
            </w:r>
          </w:p>
        </w:tc>
        <w:tc>
          <w:tcPr/>
          <w:p>
            <w:pPr>
              <w:pStyle w:val="Compact"/>
              <w:jc w:val="left"/>
            </w:pPr>
            <w:r>
              <w:t xml:space="preserve">Detection Accuracy</w:t>
            </w:r>
          </w:p>
        </w:tc>
        <w:tc>
          <w:tcPr/>
          <w:p>
            <w:pPr>
              <w:pStyle w:val="Compact"/>
              <w:jc w:val="left"/>
            </w:pPr>
            <w:r>
              <w:t xml:space="preserve">Discrimination of synthetic papers (AUC, F1)</w:t>
            </w:r>
          </w:p>
        </w:tc>
      </w:tr>
      <w:tr>
        <w:tc>
          <w:tcPr/>
          <w:p>
            <w:pPr>
              <w:pStyle w:val="Compact"/>
              <w:jc w:val="left"/>
            </w:pPr>
            <w:r>
              <w:t xml:space="preserve">Dependent</w:t>
            </w:r>
          </w:p>
        </w:tc>
        <w:tc>
          <w:tcPr/>
          <w:p>
            <w:pPr>
              <w:pStyle w:val="Compact"/>
              <w:jc w:val="left"/>
            </w:pPr>
            <w:r>
              <w:t xml:space="preserve">System Efficiency</w:t>
            </w:r>
          </w:p>
        </w:tc>
        <w:tc>
          <w:tcPr/>
          <w:p>
            <w:pPr>
              <w:pStyle w:val="Compact"/>
              <w:jc w:val="left"/>
            </w:pPr>
            <w:r>
              <w:t xml:space="preserve">Documents processed per second; cost per document (USD)</w:t>
            </w:r>
          </w:p>
        </w:tc>
      </w:tr>
      <w:tr>
        <w:tc>
          <w:tcPr/>
          <w:p>
            <w:pPr>
              <w:pStyle w:val="Compact"/>
              <w:jc w:val="left"/>
            </w:pPr>
            <w:r>
              <w:t xml:space="preserve">Dependent</w:t>
            </w:r>
          </w:p>
        </w:tc>
        <w:tc>
          <w:tcPr/>
          <w:p>
            <w:pPr>
              <w:pStyle w:val="Compact"/>
              <w:jc w:val="left"/>
            </w:pPr>
            <w:r>
              <w:t xml:space="preserve">User Accuracy</w:t>
            </w:r>
          </w:p>
        </w:tc>
        <w:tc>
          <w:tcPr/>
          <w:p>
            <w:pPr>
              <w:pStyle w:val="Compact"/>
              <w:jc w:val="left"/>
            </w:pPr>
            <w:r>
              <w:t xml:space="preserve">Final correct-classification rate of human reviewers</w:t>
            </w:r>
          </w:p>
        </w:tc>
      </w:tr>
      <w:tr>
        <w:tc>
          <w:tcPr/>
          <w:p>
            <w:pPr>
              <w:pStyle w:val="Compact"/>
              <w:jc w:val="left"/>
            </w:pPr>
            <w:r>
              <w:t xml:space="preserve">Control</w:t>
            </w:r>
          </w:p>
        </w:tc>
        <w:tc>
          <w:tcPr/>
          <w:p>
            <w:pPr>
              <w:pStyle w:val="Compact"/>
              <w:jc w:val="left"/>
            </w:pPr>
            <w:r>
              <w:t xml:space="preserve">LLM Type</w:t>
            </w:r>
          </w:p>
        </w:tc>
        <w:tc>
          <w:tcPr/>
          <w:p>
            <w:pPr>
              <w:pStyle w:val="Compact"/>
              <w:jc w:val="left"/>
            </w:pPr>
            <w:r>
              <w:t xml:space="preserve">Generating model (GPT-4o, Claude 3.5, Llama 3, Mistral)</w:t>
            </w:r>
          </w:p>
        </w:tc>
      </w:tr>
      <w:tr>
        <w:tc>
          <w:tcPr/>
          <w:p>
            <w:pPr>
              <w:pStyle w:val="Compact"/>
              <w:jc w:val="left"/>
            </w:pPr>
            <w:r>
              <w:t xml:space="preserve">Control</w:t>
            </w:r>
          </w:p>
        </w:tc>
        <w:tc>
          <w:tcPr/>
          <w:p>
            <w:pPr>
              <w:pStyle w:val="Compact"/>
              <w:jc w:val="left"/>
            </w:pPr>
            <w:r>
              <w:t xml:space="preserve">Domain / Topic</w:t>
            </w:r>
          </w:p>
        </w:tc>
        <w:tc>
          <w:tcPr/>
          <w:p>
            <w:pPr>
              <w:pStyle w:val="Compact"/>
              <w:jc w:val="left"/>
            </w:pPr>
            <w:r>
              <w:t xml:space="preserve">Academic subfield (e.g., medicine, computer science)</w:t>
            </w:r>
          </w:p>
        </w:tc>
      </w:tr>
      <w:tr>
        <w:tc>
          <w:tcPr/>
          <w:p>
            <w:pPr>
              <w:pStyle w:val="Compact"/>
              <w:jc w:val="left"/>
            </w:pPr>
            <w:r>
              <w:t xml:space="preserve">Control</w:t>
            </w:r>
          </w:p>
        </w:tc>
        <w:tc>
          <w:tcPr/>
          <w:p>
            <w:pPr>
              <w:pStyle w:val="Compact"/>
              <w:jc w:val="left"/>
            </w:pPr>
            <w:r>
              <w:t xml:space="preserve">Prompt Complexity</w:t>
            </w:r>
          </w:p>
        </w:tc>
        <w:tc>
          <w:tcPr/>
          <w:p>
            <w:pPr>
              <w:pStyle w:val="Compact"/>
              <w:jc w:val="left"/>
            </w:pPr>
            <w:r>
              <w:t xml:space="preserve">Level of detail and sophistication in the generation prompt</w:t>
            </w:r>
          </w:p>
        </w:tc>
      </w:tr>
    </w:tbl>
    <w:bookmarkEnd w:id="26"/>
    <w:bookmarkStart w:id="27" w:name="validation-procedure"/>
    <w:p>
      <w:pPr>
        <w:pStyle w:val="Heading2"/>
      </w:pPr>
      <w:r>
        <w:t xml:space="preserve">5.3 Validation Procedure</w:t>
      </w:r>
    </w:p>
    <w:p>
      <w:pPr>
        <w:pStyle w:val="FirstParagraph"/>
      </w:pPr>
      <w:r>
        <w:t xml:space="preserve">The evaluation proceeds in three stages, designed so that each stage can fail visibly.</w:t>
      </w:r>
    </w:p>
    <w:p>
      <w:pPr>
        <w:pStyle w:val="BodyText"/>
      </w:pPr>
      <w:r>
        <w:rPr>
          <w:iCs/>
          <w:i/>
        </w:rPr>
        <w:t xml:space="preserve">Stage 1: Benchmark comparison.</w:t>
      </w:r>
      <w:r>
        <w:t xml:space="preserve"> </w:t>
      </w:r>
      <w:r>
        <w:t xml:space="preserve">We compare the Poisson-Score with LLM-as-a-judge, MAUVE, and BERTScore on identical data using AUC and F1, and test whether the Poisson-Score adds explanatory power when combined with them. Performance will also be reported on generators held out from calibration, to see whether the approach generalizes to models it has not seen.</w:t>
      </w:r>
    </w:p>
    <w:p>
      <w:pPr>
        <w:pStyle w:val="BodyText"/>
      </w:pPr>
      <w:r>
        <w:rPr>
          <w:iCs/>
          <w:i/>
        </w:rPr>
        <w:t xml:space="preserve">Stage 2: Goodness-of-fit and dispersion analysis.</w:t>
      </w:r>
      <w:r>
        <w:t xml:space="preserve"> </w:t>
      </w:r>
      <w:r>
        <w:t xml:space="preserve">Before relying on the Poisson reference, we test how well human-authored counts fit it using chi-squared goodness-of-fit tests, supported by dispersion indices and visual diagnostics. Where human text is mildly over-dispersed, we will use a negative binomial reference instead and say so. We then quantify how synthetic text departs from the reference, in numbers and in plots, for each LLM and each event family.</w:t>
      </w:r>
    </w:p>
    <w:p>
      <w:pPr>
        <w:pStyle w:val="BodyText"/>
      </w:pPr>
      <w:r>
        <w:rPr>
          <w:iCs/>
          <w:i/>
        </w:rPr>
        <w:t xml:space="preserve">Stage 3: Human-in-the-loop experiment.</w:t>
      </w:r>
      <w:r>
        <w:t xml:space="preserve"> </w:t>
      </w:r>
      <w:r>
        <w:t xml:space="preserve">We will recruit 30 to 50 researchers and peer reviewers and randomly assign them to one of three conditions: no indicator (Group A), a black-box AI score (Group B), or an explainable Poisson-based score with feature-level explanations (Group C). Participants classify a balanced set of real and fabricated papers, and their accuracy is compared across groups with ANOVA, with follow-up contrasts and effect sizes. Given the modest sample, we will conduct an a priori power analysis, consider a within-subject component to raise power, and record confidence and time-on-task as secondary outcomes.</w:t>
      </w:r>
    </w:p>
    <w:bookmarkEnd w:id="27"/>
    <w:bookmarkEnd w:id="28"/>
    <w:bookmarkStart w:id="29" w:name="expected-contributions"/>
    <w:p>
      <w:pPr>
        <w:pStyle w:val="Heading1"/>
      </w:pPr>
      <w:r>
        <w:t xml:space="preserve">6. Expected Contributions</w:t>
      </w:r>
    </w:p>
    <w:p>
      <w:pPr>
        <w:pStyle w:val="FirstParagraph"/>
      </w:pPr>
      <w:r>
        <w:t xml:space="preserve">For research, the study offers a clear test of whether count-process regularities in language can serve as an indicator of machine authorship, along with an honest account of where those regularities hold and where they break down. It also adds to work on explainable decision support by measuring, rather than assuming, the benefit of interpretable evidence to human reviewers.</w:t>
      </w:r>
    </w:p>
    <w:p>
      <w:pPr>
        <w:pStyle w:val="BodyText"/>
      </w:pPr>
      <w:r>
        <w:t xml:space="preserve">For practice, it provides publishers, repositories, and integrity offices with a screening layer that is cheap enough to run on every submission and transparent enough to explain to an author. A sensible deployment would use the Poisson-Score as a first filter and send flagged documents to costlier or human review, which is an arrangement that can be evaluated in terms of cost per correctly flagged document.</w:t>
      </w:r>
    </w:p>
    <w:bookmarkEnd w:id="29"/>
    <w:bookmarkStart w:id="30" w:name="limitations-and-threats-to-validity"/>
    <w:p>
      <w:pPr>
        <w:pStyle w:val="Heading1"/>
      </w:pPr>
      <w:r>
        <w:t xml:space="preserve">7. Limitations and Threats to Validity</w:t>
      </w:r>
    </w:p>
    <w:p>
      <w:pPr>
        <w:pStyle w:val="FirstParagraph"/>
      </w:pPr>
      <w:r>
        <w:t xml:space="preserve">Several caveats apply, and we plan to address each openly. Human text is not perfectly Poisson, so the reference must be established empirically and may differ across fields and sections. Adversaries who know the method can paraphrase or post-edit text to reduce the signal, so the score should be viewed as one component of a defense, not a stand-alone solution. The benchmark covers four generators and one genre in English, and results may not carry over to other languages, text types, or future models. Finally, the human experiment uses a small expert sample; we will present it as evidence of direction and magnitude and not as a definitive estimate.</w:t>
      </w:r>
    </w:p>
    <w:bookmarkEnd w:id="30"/>
    <w:bookmarkStart w:id="31" w:name="references"/>
    <w:p>
      <w:pPr>
        <w:pStyle w:val="Heading1"/>
      </w:pPr>
      <w:r>
        <w:t xml:space="preserve">References</w:t>
      </w:r>
    </w:p>
    <w:p>
      <w:pPr>
        <w:pStyle w:val="FirstParagraph"/>
      </w:pPr>
      <w:r>
        <w:rPr>
          <w:iCs/>
          <w:i/>
        </w:rPr>
        <w:t xml:space="preserve">To be added. The reference list will cover work on information quality, machine-generated text detection, MAUVE and BERTScore, LLM-as-a-judge evaluation, count-data models for text, and explainable AI in decision support.</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 What Machines Cannot Fake: A Poisson-Based, White-Box Framework for Assessing the Quality of LLM-Generated Scholarly Text</dc:title>
  <dc:creator/>
  <cp:keywords/>
  <dcterms:created xsi:type="dcterms:W3CDTF">2026-10-07T02:00:48Z</dcterms:created>
  <dcterms:modified xsi:type="dcterms:W3CDTF">2026-10-07T02:00:48Z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Research Proposal (Empirical Study, Information Systems)</vt:lpwstr>
  </property>
</Properties>
</file>