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t>Manuscript: "Is the Sampling Temperature the Agent's Decision State? A Reference-Based Indicator and Its Comparison with Entropy, Calibration and Semantic Entropy"</w:t>
      </w:r>
    </w:p>
    <w:p>
      <w:r>
        <w:t>We thank the reviewer for a careful and constructive report. Every point below was addressed either by a change in the theory, by new experiments, or, where we could not do what was asked, by narrowing our claims and saying so. New and changed text in the revised manuscript is marked in blue. All new experiments are run with the code in the repository folder teff/ (Appendix F), and every number quoted below is produced by it.</w:t>
      </w:r>
    </w:p>
    <w:p>
      <w:pPr>
        <w:pStyle w:val="Heading1"/>
      </w:pPr>
      <w:r>
        <w:t>Summary of what changed</w:t>
      </w:r>
    </w:p>
    <w:p>
      <w:pPr>
        <w:pStyle w:val="ListBullet"/>
      </w:pPr>
      <w:r>
        <w:t>Theory (Section 3.3): T_eff is no longer described as separating preference scaling from decision randomness. We show that only their ratio is identified (T_eff converges to T/a), characterise the estimator as a quasi-likelihood, add a distributional estimator and a fit/residual measure, and give alternative reference constructions. A stylised model gives the condition for an interior accuracy peak (Section 3.4).</w:t>
      </w:r>
    </w:p>
    <w:p>
      <w:pPr>
        <w:pStyle w:val="ListBullet"/>
      </w:pPr>
      <w:r>
        <w:t>New experiments (Sections 4.7, 5.8-5.12): four further models (Qwen2.5-0.5B, Qwen2.5-1.5B, Llama-3.2-1B, SmolLM2-1.7B) on one stack and precision, three wordings of each distortion including a dominant-response contamination, reference-based log-likelihood and divergence baselines, full-vocabulary free generation, entailment-clustered semantic entropy, run-time measurements, interval and threshold sensitivity, and attractor strengths without post-hoc selection.</w:t>
      </w:r>
    </w:p>
    <w:p>
      <w:pPr>
        <w:pStyle w:val="ListBullet"/>
      </w:pPr>
      <w:r>
        <w:t>The conclusions became more cautious. The new evidence does not rescue T_eff as a detector, and the revised abstract, discussion and conclusions say so.</w:t>
      </w:r>
    </w:p>
    <w:p>
      <w:pPr>
        <w:pStyle w:val="ListBullet"/>
      </w:pPr>
      <w:r>
        <w:t>What we could not do: re-run the 3B and 7B models of the main text, add models above 2B parameters, and supply the Stage A and B scripts (see Points 7).</w:t>
      </w:r>
    </w:p>
    <w:p>
      <w:pPr>
        <w:pStyle w:val="Heading1"/>
      </w:pPr>
      <w:r>
        <w:t>Point 1: Identification of the effective temperature and the choice of reference</w:t>
      </w:r>
    </w:p>
    <w:p>
      <w:pPr>
        <w:ind w:left="280"/>
      </w:pPr>
      <w:r>
        <w:rPr>
          <w:i/>
          <w:color w:val="555555"/>
        </w:rPr>
        <w:t>Eq. (2) estimates the effective temperature using clean-context logits, but changes in logit scale can also change the estimated temperature without changing the actual sampling setting. Please explain how the method distinguishes context-induced preference scaling from genuine changes in decision randomness. [...] The clean reference is calculated using the same generated history, which may already contain repeated wrong tokens. Table 9 shows that this reference becomes saturated during fully locked trajectories. Please examine alternative reference construction strategies and explain how the proposed method can deal with this failure.</w:t>
      </w:r>
    </w:p>
    <w:p>
      <w:r>
        <w:rPr>
          <w:b/>
        </w:rPr>
        <w:t xml:space="preserve">Reply, theory. </w:t>
      </w:r>
      <w:r>
        <w:t>The reviewer is right, and we have changed the claim and not only its justification. If the context rescales the sampling logits, z = a v, the choice distribution is p(y | v, T/a), so choice data identify only the ratio of the two; T_eff converges to T/a. The method therefore cannot separate a context-induced change of scale from a change of randomness, and we no longer say it does. In our protocol the sampler is not a free unknown (the operator sets T, the logits are observable, and the draws are exactly those of Eq. 1), so a gap between T_eff and T is attributable to the effect of the context on the logits. T_eff/T = 1/a is the temperature-equivalent of that effect. When the context also reorders the candidates, Eq. (2) is a quasi-likelihood whose maximiser is the KL-projection of the sampling distribution onto the one-parameter family generated by the reference, and the minimised divergence is what no rescaling can reproduce (Section 3.3).</w:t>
      </w:r>
    </w:p>
    <w:p>
      <w:r>
        <w:rPr>
          <w:b/>
        </w:rPr>
        <w:t xml:space="preserve">Reply, evidence. </w:t>
      </w:r>
      <w:r>
        <w:t>In a simulation T_eff recovered T/a within 12% for pure rescaling, and a pure reordering drove the estimate to the grid bound with a log-likelihood at the uniform value, which is why the fit is now reported with the estimate (Appendix E, S1). In the real pressured cells the best rescaling removed on average only 26% of the divergence between the sampling distribution and the reference (Section 5.9), so most of the context effect is a change of ordering that T_eff cannot represent.</w:t>
      </w:r>
    </w:p>
    <w:p>
      <w:r>
        <w:rPr>
          <w:b/>
        </w:rPr>
        <w:t xml:space="preserve">Reply, alternative references. </w:t>
      </w:r>
      <w:r>
        <w:t>We compared three references (Section 3.3, Table 14): the same-history reference of the main text, a gold-repaired reference (history replaced by the correct prefix ending at the item last produced; it needs the task order) and a de-duplicated reference (runs of repeated items collapsed; label-free). A position-blind reference was tried and discarded, because in these tasks it always predicts the attractor. On 25 fully locked cells (clean prompt, T = 0.15, lock-in of at least 0.90, four models), 3 were identified with the same-history reference, 25 with the repaired reference and 25 with the de-duplicated one. Under the repaired references the locked agent gave the chosen item a median log-probability of about -93 nats per step, against 0.00 for the same-history reference, so the lock is conspicuous. The signal is carried by the reference log-likelihood and not by the fitted temperature, which is meaningless at such a misfit.</w:t>
      </w:r>
    </w:p>
    <w:p>
      <w:r>
        <w:t>We state plainly that the proposed estimator itself does not deal with the failure: with the same-history reference it remains blind (Section 5.6 is unchanged), and the repaired references register capture by the history whatever the prompt says, which is a different construct from T_eff as defined. They also do not improve the detection of distorted prompts (mean AUC of the log-likelihood 0.62, 0.61 and 0.63 for the three references, Table 14). We say this in Sections 3.3, 5.10 and 6.1.</w:t>
      </w:r>
    </w:p>
    <w:p>
      <w:pPr>
        <w:pStyle w:val="Heading1"/>
      </w:pPr>
      <w:r>
        <w:t>Point 2: Saturation threshold, confidence intervals and six choices per trajectory</w:t>
      </w:r>
    </w:p>
    <w:p>
      <w:pPr>
        <w:ind w:left="280"/>
      </w:pPr>
      <w:r>
        <w:rPr>
          <w:i/>
          <w:color w:val="555555"/>
        </w:rPr>
        <w:t>Section 4.4 flags the estimator as unidentified when the mean reference probability exceeds 0.999. This threshold seems rather arbitrary. Please provide sensitivity analysis and confidence intervals of the estimated temperature. It is still unclear how reliable the estimates are with only six choices per trajectory.</w:t>
      </w:r>
    </w:p>
    <w:p>
      <w:r>
        <w:rPr>
          <w:b/>
        </w:rPr>
        <w:t xml:space="preserve">Reply, threshold. </w:t>
      </w:r>
      <w:r>
        <w:t>We now report profile-likelihood intervals and trajectory bootstrap intervals, and we replaced the fixed threshold by an interval rule (identified if the 95% interval is bounded away from the grid ends and its upper bound is at most four times its lower bound; the 0.999 rule is kept as a secondary flag). Sensitivity: of 540 grid cells, 87 were not identified at 0.99, 70 at 0.999 and 57 at 0.9999, and 97 under the interval rule (Table 16). In simulation the interval at a mean reference probability of 0.988 already spans a factor of about 68 while the 0.999 rule still calls the cell identified (Table E2).</w:t>
      </w:r>
    </w:p>
    <w:p>
      <w:r>
        <w:rPr>
          <w:b/>
        </w:rPr>
        <w:t xml:space="preserve">Reply, six choices. </w:t>
      </w:r>
      <w:r>
        <w:t>Six choices: in simulation the interval has near-nominal coverage (0.95) but a median upper-to-lower ratio of 5.6; with 36 choices 1.8 and with 240 choices 1.2 (Table E1). In the real trajectories the median ratio was 9.2 and 92% exceeded 4, against 1.29 for a pooled cell (Table 15). We conclude, and now state, that trajectory-level estimates are not usable on their own and only pooled estimates should be interpreted. The distributional estimator in Section 3.3 removes the draw noise but not this limitation, since it still rests on six histories.</w:t>
      </w:r>
    </w:p>
    <w:p>
      <w:pPr>
        <w:pStyle w:val="Heading1"/>
      </w:pPr>
      <w:r>
        <w:t>Point 3: Comparison with reference-based measures; candidate-restricted sampling</w:t>
      </w:r>
    </w:p>
    <w:p>
      <w:pPr>
        <w:ind w:left="280"/>
      </w:pPr>
      <w:r>
        <w:rPr>
          <w:i/>
          <w:color w:val="555555"/>
        </w:rPr>
        <w:t>Table 8 shows that the proposed indicator detects only 6 of 15 pressured cells, while ordinary token entropy detects 10 of 16. [...] Please compare with reference-based log-likelihood and distribution-divergence measures to show whether temperature fitting provides any additional value. The experiments restrict sampling to the first tokens of predefined candidate items. [...] Please explain how this restriction affects the temperature interpretation and include a more realistic generation task.</w:t>
      </w:r>
    </w:p>
    <w:p>
      <w:r>
        <w:t>Section 5.9 and Table 13 add the reference log-likelihood, KL(sampling || reference), the distributional estimator and the residual divergence. Pooled over four models and three pressure wordings, pressure was flagged by the reference log-likelihood in 40/74 cells, by entropy in 37/74, by KL in 27/74, by T_eff in 17/74 and by the distributional estimator in 12/74. The temperature fit therefore adds nothing as a detector. Its value is interpretive: it says what share of a context effect is a change of scale. A caveat is stated in the text: in a clean cell the reference equals the sampling distribution, so KL is exactly zero and its AUC of 1.00 (and the high AUC of the distributional estimator) are artefacts of the matched design, not results.</w:t>
      </w:r>
    </w:p>
    <w:p>
      <w:r>
        <w:t>Restriction and a realistic task (Section 5.12): we added full-vocabulary free generation (20 completions of up to 24 tokens, no truncation, reference over the same vocabulary) for two models and two tasks. The restriction changes the quantity estimated: for the first token the restricted and full-vocabulary estimates differ, and at T = 2.0 the full-vocabulary estimate is pinned at the nominal temperature in every condition and carries no information, because tens of thousands of tail tokens dominate the likelihood. In free generation T_eff flagged none of the distorted cells. We say that the temperature reading is tied to the support on which it is computed. The free-generation task is still a controlled list task, not an open-ended assistant task.</w:t>
      </w:r>
    </w:p>
    <w:p>
      <w:pPr>
        <w:pStyle w:val="Heading1"/>
      </w:pPr>
      <w:r>
        <w:t>Point 4: Attractor strengths chosen on the same models; semantic evaluation and representation reliability</w:t>
      </w:r>
    </w:p>
    <w:p>
      <w:pPr>
        <w:ind w:left="280"/>
      </w:pPr>
      <w:r>
        <w:rPr>
          <w:i/>
          <w:color w:val="555555"/>
        </w:rPr>
        <w:t>Section 4.1 selects attractor strengths after probing the same models used in the main experiments. [...] Please validate the findings using independently selected attractor strengths and examine the cases where strong attractors also show interior peaks. The discussion of semantic evaluation and representation reliability could be expanded a little. Related studies such as ROUGE-SEM [...] and MCRSpell [...] may provide useful perspectives [...].</w:t>
      </w:r>
    </w:p>
    <w:p>
      <w:r>
        <w:t>Section 5.11 and Table 17: we ran the full a-priori grid of 12 run lengths for three models and three tasks, with no selection, and selected the regimes in two ways, on the main prompt and on a different wording of the instruction with fresh trajectories. Selected on the main prompt, sticky attractors showed an interior peak in 7 of 9 model-task pairs, weak in 1 and strong in 2; selected on the other wording the counts were 3, 3 and 0. So the clean pattern of the main text depends on how the strengths are selected, and we now say that H2 is supported only in the weak form (interior peaks for a minority of run lengths, without a sharp boundary). The strong attractors with interior peaks are listed in Section 5.11; the peaks lie inside the grid and have low accuracy. The stylised model in Section 3.4 gives the existence condition for a peak (Delta &lt; (K-2)g) and explains why strength is continuous and task-dependent; we checked it numerically.</w:t>
      </w:r>
    </w:p>
    <w:p>
      <w:r>
        <w:t>We expanded the discussion of semantic equivalence and representation reliability in Section 2.2, with references [20-23]. [AUTHORS TO DECIDE: the two cited papers are only loosely related to this study and share an author; keep the sentence only if you consider them relevant.]</w:t>
      </w:r>
    </w:p>
    <w:p>
      <w:pPr>
        <w:pStyle w:val="Heading1"/>
      </w:pPr>
      <w:r>
        <w:t>Point 5: One prompt template, mostly negative-sentiment contamination, and H3</w:t>
      </w:r>
    </w:p>
    <w:p>
      <w:pPr>
        <w:ind w:left="280"/>
      </w:pPr>
      <w:r>
        <w:rPr>
          <w:i/>
          <w:color w:val="555555"/>
        </w:rPr>
        <w:t>The pressure and contamination experiments use only one prompt template, and the contamination text is mainly negative sentiment. H3 is not fully examined because the dominant-response-related contamination condition is missing. Please test additional prompt formulations and make the conclusions about contamination more careful.</w:t>
      </w:r>
    </w:p>
    <w:p>
      <w:r>
        <w:t>Section 4.7, Appendix D and Tables 11 and 12: each distortion now has three wordings (pressure P0, P1, P2; contamination C0, C1 and C2, a dominant-response contamination stating that the planted item was the accepted answer) for three models, and the original wordings for a fourth. Pressure raised T_eff in a minority of cells and the sign changed with wording in one model; contamination did not raise it. The dominant-response text changed the choices strongly (lock-in 0.37 to 0.51) but not T_eff, and adding it to pressure did not strengthen the pressure effect, so H3 remains unsupported in the case that was missing. The conclusions about contamination are now explicitly limited to these wordings, to small models and to this task (Sections 5.8, 6.4 and 7).</w:t>
      </w:r>
    </w:p>
    <w:p>
      <w:pPr>
        <w:pStyle w:val="Heading1"/>
      </w:pPr>
      <w:r>
        <w:t>Point 6: Semantic entropy baseline; computational overhead</w:t>
      </w:r>
    </w:p>
    <w:p>
      <w:pPr>
        <w:ind w:left="280"/>
      </w:pPr>
      <w:r>
        <w:rPr>
          <w:i/>
          <w:color w:val="555555"/>
        </w:rPr>
        <w:t>The semantic entropy baseline is reduced to exact matching of complete outputs. [...] Please include a more faithful implementation on open-ended responses. [...] Please report the actual runtime and computational overhead. [...]</w:t>
      </w:r>
    </w:p>
    <w:p>
      <w:r>
        <w:t>Section 5.12 and Table 18: for the free-generation cells we cluster the 20 completions of a cell with an entailment model (DeBERTa-large MNLI, both directions, given the task instruction), as in Farquhar et al., and compute the entropy over the clusters, with bootstrap intervals that re-cluster. Clustering reduced the number of distinct completions drastically, so the exact-match version was a poor proxy, but the clustered entropy was also a weak detector. We did not validate the entailment model on repetitive list-like text, and the implementation is a discrete-entropy version on 20 samples for two models and two tasks, not a full replication on a hallucination benchmark.</w:t>
      </w:r>
    </w:p>
    <w:p>
      <w:r>
        <w:t>Cost (Table 19): the reference pass takes about 95% of the sampling pass (it doubles the forward-pass cost), the entailment calls took about 122 s per cell against 16 s of sampling, and fitting is negligible for the candidate-restricted task (about 10 ms per cell) but not for the full vocabulary. Since the fitted temperature flagged fewer distorted cells than entropy, which is free, we say that the extra computation is hard to justify as a detector (Section 6.1).</w:t>
      </w:r>
    </w:p>
    <w:p>
      <w:pPr>
        <w:pStyle w:val="Heading1"/>
      </w:pPr>
      <w:r>
        <w:t>Point 7: Small models, mixed inference stacks, and missing scripts</w:t>
      </w:r>
    </w:p>
    <w:p>
      <w:pPr>
        <w:ind w:left="280"/>
      </w:pPr>
      <w:r>
        <w:rPr>
          <w:i/>
          <w:color w:val="555555"/>
        </w:rPr>
        <w:t>The model comparison is limited mainly to small language models, and Qwen2.5-7B uses a different inference framework and quantization setting. Please add more controlled cross-model experiments and provide the missing scripts from Stages A and B. [...]</w:t>
      </w:r>
    </w:p>
    <w:p>
      <w:r>
        <w:t>Controlled comparison: all four new models were run in 32-bit floating point with the same library on the same CPU, so they differ only in the model. They are two Qwen2.5 sizes, Llama-3.2-1B and SmolLM2-1.7B. All are below 2B parameters, because the experiments were run on a CPU-only machine; we did not re-run the 3B models or Qwen2.5-7B and we cannot make claims about models above 7B. Section 6.4 says so, and the conclusions are restricted to small models and to this task family. The abstract, discussion and conclusions now restrict the claims accordingly.</w:t>
      </w:r>
    </w:p>
    <w:p>
      <w:r>
        <w:t>Scripts: the code for the revision study is in teff/ with the per-trajectory results. The scripts of Stages A and B are not part of the Supplementary Materials. We therefore report Tables 4 and 5 in the revised manuscript only as an illustration of the estimator, state that they cannot be reproduced from the Supplementary Materials, and rest no conclusion on them (Section 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