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calibrating the mean to a historical average repairs the mean, but a baseline that uses no model information fits as well or better, so in this task the model supplies a level and little else. Promotion effects have the right sign in most settings, yet their size varies by an order of magnitude with model and prompt, and the absolute lift in purchase probability is overstated in 15 of 16 configurations (median about ninefold). Treating the simulator as a decision-support artifact at the interface of information systems and marketing analytics, we show why the Poisson–gamma result becomes a managerial problem when heterogeneity is generated instead of estimated, read the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explain why a familiar statistical result becomes a new managerial problem when behavior is generated rather than estimated (a bound set by the firm’s data assets, a validation paradox, silent failure, and shifting components), and we add a result on customer concentration (Proposition 3). Fifth,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(smallest 1.03), but in individual seeds its interval includes or touches one in a few cells (GPT-4o-mini with the anchor for visits, 1.01 [1.00, 1.03] in the first seed, where the model answered about 10% regardless of the email, and Sonnet 5 with the anchor for purchases, 1.09 [0.96, 1.25], 1.02 [0.91, 1.15], and 1.05 [0.91, 1.20] in the three seeds).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interval -0.001 to +0.006) is only 0.4 times the real one; this model also rates the visit lift at 0.4 times the real value and its no-email purchase probability (0.045)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bookmarkStart w:id="57"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42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Gemini 3.1 Flash-Lite, Mistral Large 4) do not escape the collapse of direct answers, and none of them supplies a reliably accurate mean for the hybrid design: the mean matched in 13 of 48 cells, and the cells in which all four statistics matched were scattered across models and prompts.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0.063 predicts about</w:t>
      </w:r>
      <w:r>
        <w:t xml:space="preserve"> </w:t>
      </w:r>
      <m:oMath>
        <m:r>
          <m:rPr>
            <m:sty m:val="p"/>
          </m:rPr>
          <m:t>+</m:t>
        </m:r>
        <m:r>
          <m:t>2.1</m:t>
        </m:r>
      </m:oMath>
      <w:r>
        <w:t xml:space="preserve"> </w:t>
      </w:r>
      <w:r>
        <w:t xml:space="preserve">per customer, a profit of about 213,000. The gap between forecast and outcome is therefore about 280,000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60"/>
    <w:bookmarkStart w:id="61" w:name="X94616b3a30dccc1fe21684587130f01609b39ab"/>
    <w:p>
      <w:pPr>
        <w:pStyle w:val="Heading2"/>
      </w:pPr>
      <w:r>
        <w:t xml:space="preserve">6.5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although a baseline that uses the historical mean alone does about as well.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5"/>
    <w:bookmarkStart w:id="66"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6"/>
    <w:bookmarkStart w:id="67"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7"/>
    <w:bookmarkStart w:id="68"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2026-10-17T11:25:06Z</dcterms:created>
  <dcterms:modified xsi:type="dcterms:W3CDTF">2026-10-17T11:25:06Z</dcterms:modified>
</cp:coreProperties>
</file>

<file path=docProps/custom.xml><?xml version="1.0" encoding="utf-8"?>
<Properties xmlns="http://schemas.openxmlformats.org/officeDocument/2006/custom-properties" xmlns:vt="http://schemas.openxmlformats.org/officeDocument/2006/docPropsVTypes"/>
</file>