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before="0"/>
      </w:pPr>
      <w:r>
        <w:rPr>
          <w:b w:val="0"/>
        </w:rPr>
        <w:t>[Date]</w:t>
      </w:r>
    </w:p>
    <w:p>
      <w:pPr>
        <w:spacing w:after="140" w:before="0"/>
      </w:pPr>
      <w:r>
        <w:rPr>
          <w:b w:val="0"/>
        </w:rPr>
        <w:t>[Name], Editor-in-Chief</w:t>
        <w:br/>
        <w:t>Journal of Interactive Marketing</w:t>
      </w:r>
    </w:p>
    <w:p>
      <w:pPr>
        <w:spacing w:after="140" w:before="0"/>
      </w:pPr>
      <w:r>
        <w:rPr>
          <w:b/>
        </w:rPr>
        <w:t>Re: Submission of "When Can Marketers Trust Synthetic Consumers? Validity Regions and a Validation Protocol for LLM Digital Twins in Digital Experimentation"</w:t>
      </w:r>
    </w:p>
    <w:p>
      <w:pPr>
        <w:spacing w:after="100" w:before="0"/>
      </w:pPr>
      <w:r>
        <w:rPr>
          <w:b w:val="0"/>
        </w:rPr>
        <w:t>Dear Editor,</w:t>
      </w:r>
    </w:p>
    <w:p>
      <w:pPr>
        <w:spacing w:after="100" w:before="0"/>
      </w:pPr>
      <w:r>
        <w:rPr>
          <w:b w:val="0"/>
        </w:rPr>
        <w:t>We submit the enclosed manuscript for consideration as a [article type] in the Journal of Interactive Marketing. Marketers increasingly use LLM-based "synthetic consumers" to pre-screen defaults, choice sets, and headlines before spending customer traffic, yet it is unclear when such agents are informative. We propose a validity-region account (textual channel, cost insensitivity, novelty, reasoning-regime match) and test seven propositions in studies preregistered at AsPredicted (#320110, #320124): a confirmatory twin study with five model families and three persona architectures, a reasoning-effort by temperature grid, and a field test on 999 public headline A/B tests.</w:t>
      </w:r>
    </w:p>
    <w:p>
      <w:pPr>
        <w:spacing w:after="100" w:before="0"/>
      </w:pPr>
      <w:r>
        <w:rPr>
          <w:b w:val="0"/>
        </w:rPr>
        <w:t>Three findings matter for practice. (1) Default effects reverse with paradigm familiarity: twins overstate the canonical organ-donation default and understate a novel default. (2) More reasoning reduces factual errors but increases cue-based bias, contrary to our registered prediction. (3) In the field test, twins beat chance by about nine percentage points only without a persona and compress effects (slope about 0.26). Because error profiles change between model generations, we offer a version-specific validation protocol.</w:t>
      </w:r>
    </w:p>
    <w:p>
      <w:pPr>
        <w:spacing w:after="100" w:before="0"/>
      </w:pPr>
      <w:r>
        <w:rPr>
          <w:b w:val="0"/>
        </w:rPr>
        <w:t>The work extends recent evaluations of digital twins (Peng et al., 2026) and of LLM prediction of headline tests (Persson et al., 2026; Maiorano, 2026) by testing a falsifiable account out of sample and by reporting rejected predictions on equal footing. All confirmatory analysis code was committed before outputs were analyzed; one multiplicity-correction indexing error was corrected without changing any verdict and is documented.</w:t>
      </w:r>
    </w:p>
    <w:p>
      <w:pPr>
        <w:spacing w:after="100" w:before="0"/>
      </w:pPr>
      <w:r>
        <w:rPr>
          <w:b w:val="0"/>
        </w:rPr>
        <w:t>Files: title page; anonymized main document; Web Appendix (PDF); replication package (code, prompts, summary results, raw model outputs). No new human-subject data were collected; all human data are public secondary data. In line with the journal's generative-AI policy, an AI model (Claude, Anthropic) wrote most of the code, executed the analyses, and drafted the text under our direction; this is disclosed in the main document and the title page, and we take responsibility for the content. [Authors to confirm.] The manuscript is not under review elsewhere, and all authors approved the submission. Suggested reviewers: [names].</w:t>
      </w:r>
    </w:p>
    <w:p>
      <w:pPr>
        <w:spacing w:after="140" w:before="0"/>
      </w:pPr>
      <w:r>
        <w:rPr>
          <w:b w:val="0"/>
        </w:rPr>
        <w:t>Thank you for considering our work.</w:t>
      </w:r>
    </w:p>
    <w:p>
      <w:pPr>
        <w:spacing w:after="0" w:before="0"/>
      </w:pPr>
      <w:r>
        <w:rPr>
          <w:b w:val="0"/>
        </w:rPr>
        <w:t>Sincerely,</w:t>
        <w:br/>
        <w:t>[Corresponding author, affiliation, email], on behalf of all authors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