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E-Companion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Do</w:t>
      </w:r>
      <w:r>
        <w:t xml:space="preserve"> </w:t>
      </w:r>
      <w:r>
        <w:t xml:space="preserve">Influencers</w:t>
      </w:r>
      <w:r>
        <w:t xml:space="preserve"> </w:t>
      </w:r>
      <w:r>
        <w:t xml:space="preserve">Pay?</w:t>
      </w:r>
      <w:r>
        <w:t xml:space="preserve"> </w:t>
      </w:r>
      <w:r>
        <w:t xml:space="preserve">Limited</w:t>
      </w:r>
      <w:r>
        <w:t xml:space="preserve"> </w:t>
      </w:r>
      <w:r>
        <w:t xml:space="preserve">Attention,</w:t>
      </w:r>
      <w:r>
        <w:t xml:space="preserve"> </w:t>
      </w:r>
      <w:r>
        <w:t xml:space="preserve">Engagement</w:t>
      </w:r>
      <w:r>
        <w:t xml:space="preserve"> </w:t>
      </w:r>
      <w:r>
        <w:t xml:space="preserve">Elasticity,</w:t>
      </w:r>
      <w:r>
        <w:t xml:space="preserve"> </w:t>
      </w:r>
      <w:r>
        <w:t xml:space="preserve">and</w:t>
      </w:r>
      <w:r>
        <w:t xml:space="preserve"> </w:t>
      </w:r>
      <w:r>
        <w:t xml:space="preserve">Simulation-Based</w:t>
      </w:r>
      <w:r>
        <w:t xml:space="preserve"> </w:t>
      </w:r>
      <w:r>
        <w:t xml:space="preserve">Pre-Tests</w:t>
      </w:r>
      <w:r>
        <w:t xml:space="preserve"> </w:t>
      </w:r>
      <w:r>
        <w:t xml:space="preserve">for</w:t>
      </w:r>
      <w:r>
        <w:t xml:space="preserve"> </w:t>
      </w:r>
      <w:r>
        <w:t xml:space="preserve">Seeding</w:t>
      </w:r>
      <w:r>
        <w:t xml:space="preserve"> </w:t>
      </w:r>
      <w:r>
        <w:t xml:space="preserve">Decisions</w:t>
      </w:r>
      <w:r>
        <w:t xml:space="preserve">”</w:t>
      </w:r>
    </w:p>
    <w:bookmarkStart w:id="20" w:name="X1b345330c0e8ca6b659de4cb3b5b1fb835c4733"/>
    <w:p>
      <w:pPr>
        <w:pStyle w:val="Heading1"/>
      </w:pPr>
      <w:r>
        <w:t xml:space="preserve">E-Companion A. Simulation Settings and Assumptions</w:t>
      </w:r>
    </w:p>
    <w:p>
      <w:pPr>
        <w:pStyle w:val="FirstParagraph"/>
      </w:pPr>
      <w:r>
        <w:rPr>
          <w:bCs/>
          <w:b/>
        </w:rPr>
        <w:t xml:space="preserve">Table A.1. Simulation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Stimulus scale</w:t>
            </w:r>
            <w:r>
              <w:t xml:space="preserve"> </w:t>
            </w: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Stimulus decay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exponential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Stimulus cap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saturation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exposure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Multiplied by</w:t>
            </w:r>
            <w: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10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10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elasticity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 (base); 0–0.5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to all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 visibility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Multiplies exposure 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Recency weight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age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nor/>
                      <m:sty m:val="p"/>
                    </m:rPr>
                    <m:t> h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 comment and retweet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Circadian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+ evening Gaussian at chronotype (sd 2.2 h) + 0.45 × midday Gaussian at 12.5 h (sd 1.8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to mean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 at each urge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excited / angry / happy / indifferent with p = .20 / .15 / .30 / 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&lt; 0.10: 0.25; &lt; 0.30: 0.50; else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agents, preferential attachment, 3 follows per new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h warm-up; 48 h after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at 18:00 unless 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 seed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outside the top 5% by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order until budget is spent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Volume-matching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schedulers only</w:t>
            </w:r>
          </w:p>
        </w:tc>
      </w:tr>
    </w:tbl>
    <w:p>
      <w:pPr>
        <w:pStyle w:val="BodyText"/>
      </w:pPr>
      <w:r>
        <w:rPr>
          <w:iCs/>
          <w:i/>
        </w:rPr>
        <w:t xml:space="preserve">Rule-based urge function.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hour of day,</w:t>
      </w:r>
      <w:r>
        <w:t xml:space="preserve"> </w:t>
      </w:r>
      <m:oMath>
        <m:r>
          <m:rPr>
            <m:nor/>
            <m:sty m:val="p"/>
          </m:rPr>
          <m:t>leisure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19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1</m:t>
        </m:r>
      </m:oMath>
      <w:r>
        <w:t xml:space="preserve">, 0.5 if</w:t>
      </w:r>
      <w:r>
        <w:t xml:space="preserve"> </w:t>
      </w:r>
      <m:oMath>
        <m:r>
          <m:t>11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&lt;</m:t>
        </m:r>
        <m:r>
          <m:t>14</m:t>
        </m:r>
      </m:oMath>
      <w:r>
        <w:t xml:space="preserve">, and 0 otherwise;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number of feed items in the last hour on topics with interest weight</w:t>
      </w:r>
      <w:r>
        <w:t xml:space="preserve"> </w:t>
      </w:r>
      <m:oMath>
        <m:r>
          <m:rPr>
            <m:sty m:val="p"/>
          </m:rPr>
          <m:t>≥</m:t>
        </m:r>
        <m:r>
          <m:t>0.10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the relevance level of the latest item;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 notification and 0 otherwise;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 emotion bonus of 0.8 (excited), 0.6 (angry), 0.4 (happy), or</w:t>
      </w:r>
      <w:r>
        <w:t xml:space="preserve"> </w:t>
      </w:r>
      <m:oMath>
        <m:r>
          <m:rPr>
            <m:sty m:val="p"/>
          </m:rPr>
          <m:t>−</m:t>
        </m:r>
        <m:r>
          <m:t>0.6</m:t>
        </m:r>
      </m:oMath>
      <w:r>
        <w:t xml:space="preserve"> </w:t>
      </w:r>
      <w:r>
        <w:t xml:space="preserve">(indifferent), the rating is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nor/>
            <m:sty m:val="p"/>
          </m:rPr>
          <m:t>clip</m:t>
        </m:r>
        <m:d>
          <m:dPr>
            <m:begChr m:val="("/>
            <m:endChr m:val=")"/>
            <m:sepChr m:val=""/>
            <m:grow/>
          </m:dPr>
          <m:e>
            <m:r>
              <m:t>1.0</m:t>
            </m:r>
            <m:r>
              <m:rPr>
                <m:sty m:val="p"/>
              </m:rPr>
              <m:t>+</m:t>
            </m:r>
            <m:r>
              <m:t>1.0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leisure</m:t>
            </m:r>
            <m:r>
              <m:rPr>
                <m:sty m:val="p"/>
              </m:rPr>
              <m:t>+</m:t>
            </m:r>
            <m:r>
              <m:t>0.4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{</m:t>
            </m:r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+</m:t>
            </m:r>
            <m:r>
              <m:t>0.5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ℓ</m:t>
            </m:r>
            <m:r>
              <m:rPr>
                <m:sty m:val="p"/>
              </m:rPr>
              <m:t>+</m:t>
            </m:r>
            <m:r>
              <m:t>0.8</m:t>
            </m:r>
            <m:r>
              <m:rPr>
                <m:sty m:val="p"/>
              </m:rPr>
              <m:t>⋅</m:t>
            </m:r>
            <m:r>
              <m:t>ν</m:t>
            </m:r>
            <m:r>
              <m:rPr>
                <m:sty m:val="p"/>
              </m:rPr>
              <m:t>+</m:t>
            </m:r>
            <m:r>
              <m:t>e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5</m:t>
            </m:r>
          </m:e>
        </m:d>
      </m:oMath>
      <w:r>
        <w:t xml:space="preserve">. For notifications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is set to 1.</w:t>
      </w:r>
    </w:p>
    <w:bookmarkEnd w:id="20"/>
    <w:bookmarkStart w:id="21" w:name="Xe51bd51513c53c49efa5f0f6864d47573e3bb1f"/>
    <w:p>
      <w:pPr>
        <w:pStyle w:val="Heading1"/>
      </w:pPr>
      <w:r>
        <w:t xml:space="preserve">E-Companion B. Validation of the Estimation Procedure on Synthetic Data</w:t>
      </w:r>
    </w:p>
    <w:p>
      <w:pPr>
        <w:pStyle w:val="FirstParagraph"/>
      </w:pPr>
      <w:r>
        <w:t xml:space="preserve">To check that the procedure in Section 6 recovers known parameters, we generated synthetic campaign data with the structure of an influencer-campaign dataset with timestamps: 400 authors with follower counts drawn log-uniformly between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, assigned to six products, 15 posts per author over 60 days, author and product random effects, post-level noise, log-normal reply delays (median 0.8 h, log-sd 1.2), and interaction times thinned by a known daily profile with an evening peak at 21:30. Table B.1 reports the results for two true values of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Table B.1. Recovery of Known Parameters on Synthetic Data (6,000 Posts)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True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PPML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[95% CI]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on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oMath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Fitted evening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 TV (flat 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Held-out</w:t>
            </w:r>
            <w:r>
              <w:t xml:space="preserve"> </w:t>
            </w:r>
            <m:oMath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−0.017 [−0.096, 0.063]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 (0.293)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0.283 [0.199, 0.366]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 (0.276)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Note.</w:t>
      </w:r>
      <w:r>
        <w:t xml:space="preserve"> </w:t>
      </w:r>
      <w:r>
        <w:t xml:space="preserve">TV = total variation distance between the fitted profile from three calibration products and the observed hourly distribution in three held-out products; the value for a flat profile is shown in parentheses. The fitted reply-delay median was 0.86 h and 0.74 h in the two cases, against a generating value of 0.8 h.</w:t>
      </w:r>
    </w:p>
    <w:p>
      <w:pPr>
        <w:pStyle w:val="BodyText"/>
      </w:pPr>
      <w:r>
        <w:t xml:space="preserve">The PPML confidence interval contained the true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both cases, although the point estimate for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t xml:space="preserve">was somewhat low (0.28). OLS on the log-transformed count was far off in both cases (0.82 when the true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was 0 and 0.94 when it was 0.35), because adding one to the count distorts the relation between interactions and audience size. The daily profile fitted on calibration products reproduced the held-out profile well when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0.97</m:t>
        </m:r>
      </m:oMath>
      <w:r>
        <w:t xml:space="preserve">) and less well when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0.86</m:t>
        </m:r>
      </m:oMath>
      <w:r>
        <w:t xml:space="preserve">), but in both cases far more closely than a flat profile. Two features of the real data are not represented here: the synthetic data include posts with no interactions and only accounts with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followers, so this exercise does not test the estimator under the zero truncation and account selection present in SAGraph, which Section 6 of the main text addresses with the zero-truncated model and a discussion of bias. Because the public SAGraph release lacks timestamps, only the elasticity part of the procedure could be applied to real data.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E-Companion to “Do Influencers Pay? Limited Attention, Engagement Elasticity, and Simulation-Based Pre-Tests for Seeding Decisions”</dc:title>
  <dc:creator/>
  <cp:keywords/>
  <dcterms:created xsi:type="dcterms:W3CDTF">2026-10-24T22:47:01Z</dcterms:created>
  <dcterms:modified xsi:type="dcterms:W3CDTF">2026-10-24T22:47:01Z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