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(two</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two generators (GPT-4o, 245 papers; Claude Sonnet 5.5, 152 papers), we report four findings. First, human text is not Poisson: for punctuation events, 36–49% of documents reject the Poisson null because of over-dispersion. Second, a single Poisson-distance index performs near chance (AUC 0.52–0.54), but a vector of event rates and dispersion indices separates human from machine text well when the detector is trained and tested on the same generator (AUC 0.99 for GPT-4o, 0.91 for Claude). Third, this performance does not transfer: a detector trained on one generator reaches only 0.73 (GPT-4o to Claude) and 0.81 (Claude to GPT-4o) on the other. Fourth, dispersion transfers better than event rates, which differ in sign across generators; this is the clearest support we find for the count-process idea. Screening costs nothing per document and runs at about 160 documents per second on one CPU core. The evidence is limited to two commercial generators and one genre, and we do not test adversarial editing, comparison with black-box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28"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two generators through a commercial API gateway: GPT-4o and Claude Sonnet 5.5.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Because Claude wrote longer papers, all documents are truncated to the same length before analysis (Section 3.3). Both sets passed the length requirement.</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evaluation"/>
    <w:p>
      <w:pPr>
        <w:pStyle w:val="Heading2"/>
      </w:pPr>
      <w:r>
        <w:t xml:space="preserve">3.5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The analysis code, prompts, and generated papers are in the project repository; the human papers can be re-collected with the included script.</w:t>
      </w:r>
    </w:p>
    <w:bookmarkEnd w:id="27"/>
    <w:bookmarkEnd w:id="28"/>
    <w:bookmarkStart w:id="36" w:name="results"/>
    <w:p>
      <w:pPr>
        <w:pStyle w:val="Heading1"/>
      </w:pPr>
      <w:r>
        <w:t xml:space="preserve">4. Results</w:t>
      </w:r>
    </w:p>
    <w:bookmarkStart w:id="32"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980"/>
        <w:gridCol w:w="1980"/>
        <w:gridCol w:w="1980"/>
        <w:gridCol w:w="1980"/>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both generators (medians 0.76 and 1.10, against 1.67 in human text), meaning they are spread more evenly. Passive constructions and quotation marks are more dispersed in both (passive 2.51 and 1.79 against 1.20; quotation marks 3.00 and 2.00 against 1.30). These directions agree across the two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0" name="Picture"/>
            <a:graphic>
              <a:graphicData uri="http://schemas.openxmlformats.org/drawingml/2006/picture">
                <pic:pic>
                  <pic:nvPicPr>
                    <pic:cNvPr descr="fig_dispersion.png" id="31" name="Picture"/>
                    <pic:cNvPicPr>
                      <a:picLocks noChangeArrowheads="1" noChangeAspect="1"/>
                    </pic:cNvPicPr>
                  </pic:nvPicPr>
                  <pic:blipFill>
                    <a:blip r:embed="rId2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2"/>
    <w:bookmarkStart w:id="33" w:name="detection-within-a-generator-rq2"/>
    <w:p>
      <w:pPr>
        <w:pStyle w:val="Heading2"/>
      </w:pPr>
      <w:r>
        <w:t xml:space="preserve">4.2 Detection within a generator (RQ2)</w:t>
      </w:r>
    </w:p>
    <w:p>
      <w:pPr>
        <w:pStyle w:val="FirstParagraph"/>
      </w:pPr>
      <w:r>
        <w:t xml:space="preserve">The single-index Poisson-Score performs close to chance: AUC 0.54 for GPT-4o and 0.52 for Claude. Treating its fourteen components as separate predictors changes the picture. With human papers and one generator, cross-validated logistic regression reaches AUC 0.987 for GPT-4o and 0.913 for Claude (Table 3, diagonal). Detection is clearly easier for GPT-4o than for Claude.</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980"/>
        <w:gridCol w:w="1980"/>
        <w:gridCol w:w="1980"/>
        <w:gridCol w:w="1980"/>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r>
    </w:tbl>
    <w:bookmarkEnd w:id="33"/>
    <w:bookmarkStart w:id="34"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4"/>
    <w:bookmarkStart w:id="35" w:name="cost-rq3"/>
    <w:p>
      <w:pPr>
        <w:pStyle w:val="Heading2"/>
      </w:pPr>
      <w:r>
        <w:t xml:space="preserve">4.4 Cost (RQ3)</w:t>
      </w:r>
    </w:p>
    <w:p>
      <w:pPr>
        <w:pStyle w:val="FirstParagraph"/>
      </w:pPr>
      <w:r>
        <w:t xml:space="preserve">Computing all events and indices took about 6 milliseconds per document on one CPU core (roughly 160 documents per second) with no external service calls, so the marginal monetary cost is zero. For context on the generation side, producing one paper through four requests cost about US$0.04 and 38 seconds on average for GPT-4o, and about US$0.13 and 100 seconds for Claude, through the gateway we used. We did not run an LLM-as-a-judge baseline, so we cannot report a measured cost or latency ratio between the two screening methods; any such comparison would depend on the judge model, prompt length, and pricing at the time.</w:t>
      </w:r>
    </w:p>
    <w:bookmarkEnd w:id="35"/>
    <w:bookmarkEnd w:id="36"/>
    <w:bookmarkStart w:id="37"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The result is less discouraging for the count-process idea than for the rate-based version. Dispersion generalizes better than rates, and the direction of several dispersion differences agrees across two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A screen that models human text alone, and flags departures from it without training on any generator, may also transfer better; we have not tested this.</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37"/>
    <w:bookmarkStart w:id="38"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Two generators, both commercial.</w:t>
      </w:r>
      <w:r>
        <w:t xml:space="preserve"> </w:t>
      </w:r>
      <w:r>
        <w:t xml:space="preserve">The findings come from GPT-4o and Claude Sonnet 5.5. The large cross-generator drop is itself a warning that results for other models, including open-weight ones and future releases, may differ.</w:t>
      </w:r>
    </w:p>
    <w:p>
      <w:pPr>
        <w:numPr>
          <w:ilvl w:val="0"/>
          <w:numId w:val="1002"/>
        </w:numPr>
        <w:pStyle w:val="Compact"/>
      </w:pPr>
      <w:r>
        <w:rPr>
          <w:bCs/>
          <w:b/>
        </w:rPr>
        <w:t xml:space="preserve">Sample sizes.</w:t>
      </w:r>
      <w:r>
        <w:t xml:space="preserve"> </w:t>
      </w:r>
      <w:r>
        <w:t xml:space="preserve">The Claude sample (152) is smaller than the GPT-4o sample (245)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No black-box baselines and no reviewer experiment.</w:t>
      </w:r>
      <w:r>
        <w:t xml:space="preserve"> </w:t>
      </w:r>
      <w:r>
        <w:t xml:space="preserve">We did not compare against LLM-as-a-judge, MAUVE, or BERTScore, and we did not test whether explainable evidence improves human decisions. Claims about relative advantage over those methods are therefore not supported by this study.</w:t>
      </w:r>
    </w:p>
    <w:bookmarkEnd w:id="38"/>
    <w:bookmarkStart w:id="39" w:name="planned-extensions"/>
    <w:p>
      <w:pPr>
        <w:pStyle w:val="Heading1"/>
      </w:pPr>
      <w:r>
        <w:t xml:space="preserve">7. Planned Extensions</w:t>
      </w:r>
    </w:p>
    <w:p>
      <w:pPr>
        <w:pStyle w:val="FirstParagraph"/>
      </w:pPr>
      <w:r>
        <w:t xml:space="preserve">Four steps would turn this pilot into a test of the full proposal. (i) Add further generators, especially open-weight models, and evaluate each as held out, together with a negative binomial reference and a human-only (one-class) detector that uses no generator data. (ii) Run MAUVE, BERTScore, and an LLM-as-a-judge baseline on identical documents, recording latency and cost. (iii) Test robustness to paraphrasing and light human editing.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39"/>
    <w:bookmarkStart w:id="40"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The evidence is limited to two generators and one genre, and whether the approach helps human reviewers or outperforms black-box metrics remains untested.</w:t>
      </w:r>
    </w:p>
    <w:bookmarkEnd w:id="40"/>
    <w:bookmarkStart w:id="41"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2026-10-07T07:05:50Z</dcterms:created>
  <dcterms:modified xsi:type="dcterms:W3CDTF">2026-10-07T07:05:50Z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(two generators; human-subject experiment not yet conducted)</vt:lpwstr>
  </property>
</Properties>
</file>