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2"/>
          <w:szCs w:val="32"/>
        </w:rPr>
        <w:t xml:space="preserve">Tracing Generative AI in Knowledge-Work Artifacts: Evidence from the Text of U.S. Patent Applications</w:t>
      </w:r>
    </w:p>
    <w:p>
      <w:pPr>
        <w:spacing w:after="480"/>
        <w:jc w:val="center"/>
      </w:pPr>
      <w:r>
        <w:rPr>
          <w:i/>
          <w:iCs/>
          <w:sz w:val="22"/>
          <w:szCs w:val="22"/>
        </w:rPr>
        <w:t xml:space="preserve">Manuscript prepared for submission to Information Systems Research</w:t>
      </w:r>
    </w:p>
    <w:p>
      <w:pPr>
        <w:spacing w:after="480"/>
        <w:jc w:val="center"/>
      </w:pPr>
      <w:r>
        <w:rPr>
          <w:sz w:val="22"/>
          <w:szCs w:val="22"/>
        </w:rPr>
        <w:t xml:space="preserve">[Author names and affiliations — to be added after blind-review preparation]</w:t>
      </w:r>
    </w:p>
    <w:p>
      <w:pPr>
        <w:spacing w:after="120"/>
      </w:pPr>
      <w:r>
        <w:rPr>
          <w:b/>
          <w:bCs/>
        </w:rPr>
        <w:t xml:space="preserve">Abstract</w:t>
      </w:r>
    </w:p>
    <w:p>
      <w:pPr>
        <w:spacing w:after="0" w:line="480"/>
        <w:ind w:firstLine="0"/>
        <w:jc w:val="left"/>
      </w:pPr>
      <w:r>
        <w:t xml:space="preserve">Generative AI is widely expected to change how knowledge workers produce documents, yet evidence on actual diffusion is mostly based on surveys, firm-level adoption proxies, or small samples of platforms that reveal little about the artifacts workers produce. We study the diffusion of large language model (LLM)-assisted drafting in a setting where the output is public, time-stamped, and produced under strong incentives: the specifications of U.S. patent applications. We build a detection procedure that treats LLMs as generators of reference text rather than as judges, estimate the share of LLM-drafted-like text at the group level with a distributional mixture model, and validate it on known mixtures, held-out generators, and a placebo period. Using about 30,000 applications from fifteen weekly publication files (2021–2026), we find no detectable LLM-drafted text before the public release of ChatGPT and in applications filed through early 2023. A break appears with filings of the second quarter of 2023, and the estimated share rises to roughly 3–5 percent of applications filed in late 2025. Estimated levels are higher among U.S. applicants and small firms and vary across technology sections, patterns that we interpret through theories of technology adoption. The measure captures LLM drafting, not light editing, and we discuss what it can and cannot identify for research on AI and innovation.</w:t>
      </w:r>
    </w:p>
    <w:p>
      <w:pPr>
        <w:spacing w:after="0" w:line="480"/>
        <w:ind w:firstLine="0"/>
        <w:jc w:val="left"/>
      </w:pPr>
      <w:r>
        <w:rPr>
          <w:b/>
          <w:bCs/>
        </w:rPr>
        <w:t xml:space="preserve">Keywords: </w:t>
      </w:r>
      <w:r>
        <w:t xml:space="preserve">generative AI; large language models; diffusion; knowledge work; machine-text detection; patents; digital traces</w:t>
      </w:r>
    </w:p>
    <w:p>
      <w:r>
        <w:br w:type="page"/>
      </w:r>
    </w:p>
    <w:p>
      <w:pPr>
        <w:pStyle w:val="Heading1"/>
        <w:spacing w:after="120" w:before="360" w:line="480"/>
      </w:pPr>
      <w:r>
        <w:t xml:space="preserve">1. Introduction</w:t>
      </w:r>
    </w:p>
    <w:p>
      <w:pPr>
        <w:spacing w:after="0" w:line="480"/>
        <w:ind w:firstLine="480"/>
        <w:jc w:val="left"/>
      </w:pPr>
      <w:r>
        <w:t xml:space="preserve">Whether and how fast generative artificial intelligence spreads through knowledge work is among the most consequential open questions for information systems (IS) research. Experimental and field studies report sizable gains in the productivity of writers, programmers, and customer-support agents who are given access to large language models (LLMs) (Brynjolfsson et al. 2025, Noy and Zhang 2023, Dell’Acqua et al. 2023), and they also warn of reduced diversity in what people produce with such tools (Doshi and Hauser 2024). Yet the effects found in controlled settings depend on a prior question that the literature has addressed only indirectly: how widely are these tools actually used in the production of real work products? Surveys are subject to social-desirability and recall bias, and firm-level proxies such as software installations, job postings, or occupational exposure indices (Eloundou et al. 2024) reveal that workers could use LLMs, not whether a given document was in fact produced with their help.</w:t>
      </w:r>
    </w:p>
    <w:p>
      <w:pPr>
        <w:spacing w:after="0" w:line="480"/>
        <w:ind w:firstLine="480"/>
        <w:jc w:val="left"/>
      </w:pPr>
      <w:r>
        <w:t xml:space="preserve">This paper takes a different route. Instead of asking people or firms, we examine the artifact itself. We study the specifications of U.S. patent applications, a class of knowledge-work output with three useful properties. First, patent applications are public and time-stamped, and the United States has published them in a consistent format for decades, which gives us a long pre-LLM baseline. Second, they are long, technically dense documents written under strong incentives, so changes in their language are not easily dismissed as casual experimentation. Third, drafting patent specifications is costly, repetitive work, exactly the kind of task for which generative AI is expected to lower costs. If LLM-assisted drafting leaves a statistical trace in word choice, that trace can be estimated and tied to when a document was filed, who filed it, and what it is about.</w:t>
      </w:r>
    </w:p>
    <w:p>
      <w:pPr>
        <w:spacing w:after="0" w:line="480"/>
        <w:ind w:firstLine="480"/>
        <w:jc w:val="left"/>
      </w:pPr>
      <w:r>
        <w:t xml:space="preserve">Measuring that trace is not trivial. Asking an LLM whether a text was written by an LLM is unreliable, and document-level detectors perform poorly on formulaic legal language and on text written by non-native English speakers (Liang et al. 2023, Sadasivan et al. 2023). We therefore follow the logic of population-level estimation (Liang et al. 2024, 2025): rather than classifying individual documents, we estimate the share of LLM-drafted-like text in a group of documents by comparing the group’s word-occurrence pattern with those of a human reference corpus and a machine reference corpus. We build the human reference from applications published before the release of ChatGPT and the machine reference from rewrites produced by six different LLMs under three prompt types that mimic realistic uses. Using several generators prevents the detector from learning the style of any one model, and the prompt types let us ask what the method can and cannot see.</w:t>
      </w:r>
    </w:p>
    <w:p>
      <w:pPr>
        <w:spacing w:after="0" w:line="480"/>
        <w:ind w:firstLine="480"/>
        <w:jc w:val="left"/>
      </w:pPr>
      <w:r>
        <w:t xml:space="preserve">We make four contributions. First, we provide, to our knowledge, one of the first large-scale, artifact-based measurements of the diffusion of generative AI into a real knowledge-work setting. The estimated share of LLM-drafted-like text is indistinguishable from zero for applications filed before the release of ChatGPT and for those filed in its first quarters, breaks upward with filings of the second quarter of 2023, and reaches roughly 3 to 5 percent of applications filed in late 2025. Second, we document heterogeneity: estimated levels are higher among U.S. applicants than non-U.S. applicants, higher among small than large organizations, and differ across technology sections. Third, we interpret the patterns through theories of technology adoption and diffusion, deriving four expectations about timing, organizational size, institutional environment, and task fit, and we assess them against the evidence. Fourth, we give a validated procedure and an explicit account of its limits. The procedure detects text that an LLM drafted or expanded, but not human text that an LLM lightly polished. That boundary determines what any study built on such measures can claim, and we argue that it matters for the growing literature on AI and innovation.</w:t>
      </w:r>
    </w:p>
    <w:p>
      <w:pPr>
        <w:spacing w:after="0" w:line="480"/>
        <w:ind w:firstLine="480"/>
        <w:jc w:val="left"/>
      </w:pPr>
      <w:r>
        <w:t xml:space="preserve">We are careful about what we do not claim. Our evidence is descriptive. We do not estimate effects of AI use on the quantity or novelty of inventions, we cannot separate inventors from the attorneys who usually draft specifications (application publications do not list the drafting law firm), and our measure is an estimated share of documents that resemble machine drafts, not a count of users. We treat these as boundary conditions and discuss them in Section 6.</w:t>
      </w:r>
    </w:p>
    <w:p>
      <w:pPr>
        <w:spacing w:after="0" w:line="480"/>
        <w:ind w:firstLine="480"/>
        <w:jc w:val="left"/>
      </w:pPr>
      <w:r>
        <w:t xml:space="preserve">The remainder of the paper is organized as follows. Section 2 reviews related work and sets out expectations. Section 3 describes the data and the measurement procedure. Section 4 reports validation. Section 5 presents the results on prevalence, heterogeneity, and robustness. Section 6 discusses implications and limitations, and Section 7 concludes.</w:t>
      </w:r>
    </w:p>
    <w:p>
      <w:pPr>
        <w:pStyle w:val="Heading1"/>
        <w:spacing w:after="120" w:before="360" w:line="480"/>
      </w:pPr>
      <w:r>
        <w:t xml:space="preserve">2. Background and Expectations</w:t>
      </w:r>
    </w:p>
    <w:p>
      <w:pPr>
        <w:pStyle w:val="Heading2"/>
        <w:spacing w:after="120" w:before="240" w:line="480"/>
      </w:pPr>
      <w:r>
        <w:t xml:space="preserve">2.1 Generative AI and the production of documents</w:t>
      </w:r>
    </w:p>
    <w:p>
      <w:pPr>
        <w:spacing w:after="0" w:line="480"/>
        <w:ind w:firstLine="480"/>
        <w:jc w:val="left"/>
      </w:pPr>
      <w:r>
        <w:t xml:space="preserve">A growing body of work shows that access to generative AI changes how people produce text and code. In a field study of customer-support agents, access to an AI assistant raised productivity, with the largest gains for less experienced workers (Brynjolfsson et al. 2025). In an online experiment on professional writing tasks, access to ChatGPT shortened completion time and raised quality (Noy and Zhang 2023), and a field experiment with consultants found large gains inside, and losses outside, what the authors call the jagged technological frontier of AI capabilities (Dell’Acqua et al. 2023). In a creativity experiment, stories written with AI-generated ideas were rated as more creative individually but were more similar to one another (Doshi and Hauser 2024). Work in the IS tradition examines how people delegate tasks to AI and the cognitive challenges that arise (Fügener et al. 2022). These studies establish what can happen when people use generative AI. They are silent on how many actually do so in their ordinary work, which is the question we take up.</w:t>
      </w:r>
    </w:p>
    <w:p>
      <w:pPr>
        <w:pStyle w:val="Heading2"/>
        <w:spacing w:after="120" w:before="240" w:line="480"/>
      </w:pPr>
      <w:r>
        <w:t xml:space="preserve">2.2 Measuring AI use</w:t>
      </w:r>
    </w:p>
    <w:p>
      <w:pPr>
        <w:spacing w:after="0" w:line="480"/>
        <w:ind w:firstLine="480"/>
        <w:jc w:val="left"/>
      </w:pPr>
      <w:r>
        <w:t xml:space="preserve">Most evidence on AI diffusion in firms comes from proxies. Occupational exposure indices (Felten et al. 2021, Eloundou et al. 2024) classify tasks by their susceptibility to automation by AI, adoption surveys ask firms or workers about use, and recent studies exploit the timing of AI product installations to compare adopting and non-adopting firms (Acharya et al. 2026). Each approach observes access or intention rather than use in a specific piece of work. A complementary literature estimates the prevalence of LLM-modified text in specific corpora, such as scientific peer reviews and a range of consumer and corporate communications, using distributional methods that avoid classifying single documents (Liang et al. 2024, 2025). Document-level detectors, including zero-shot methods based on token probabilities (Hans et al. 2024, Mitchell et al. 2023), are more convenient but less reliable, and they have been shown to misclassify the writing of non-native speakers (Liang et al. 2023). Our approach builds on the distributional tradition and adapts it to a setting where documents are long, formulaic, and written by a mix of native and non-native authors and translators.</w:t>
      </w:r>
    </w:p>
    <w:p>
      <w:pPr>
        <w:pStyle w:val="Heading2"/>
        <w:spacing w:after="120" w:before="240" w:line="480"/>
      </w:pPr>
      <w:r>
        <w:t xml:space="preserve">2.3 Patents as digital artifacts</w:t>
      </w:r>
    </w:p>
    <w:p>
      <w:pPr>
        <w:spacing w:after="0" w:line="480"/>
        <w:ind w:firstLine="480"/>
        <w:jc w:val="left"/>
      </w:pPr>
      <w:r>
        <w:t xml:space="preserve">Patents are a standard source of data on innovation (Griliches 1990, Hall et al. 2001). Their classification codes and citations have long been used to measure technological activity and novelty, for instance through the novelty of combinations of technology classes (Weitzman 1998, Uzzi et al. 2013). Here we use patents differently, as a source of texts. A patent application consists of a specification that describes the invention in detail, claims that define the legal scope, and an abstract. Specifications are typically drafted by patent attorneys or agents on the basis of an invention disclosure supplied by the inventors, which means that a text-based measure reflects primarily the drafting stage of the process. This is both a limitation, because it does not capture AI use in inventing as such, and a strength, because drafting is the stage at which the cost-reducing logic of generative AI is most plausible.</w:t>
      </w:r>
    </w:p>
    <w:p>
      <w:pPr>
        <w:pStyle w:val="Heading2"/>
        <w:spacing w:after="120" w:before="240" w:line="480"/>
      </w:pPr>
      <w:r>
        <w:t xml:space="preserve">2.4 Adoption and diffusion of information technology innovations</w:t>
      </w:r>
    </w:p>
    <w:p>
      <w:pPr>
        <w:spacing w:after="0" w:line="480"/>
        <w:ind w:firstLine="480"/>
        <w:jc w:val="left"/>
      </w:pPr>
      <w:r>
        <w:t xml:space="preserve">Research on the adoption of information technology offers mid-range theories that tell us where to expect variation in the use of a new tool. We draw on four. Diffusion of innovations theory (Rogers 2003) explains the pace and shape of adoption through the perceived attributes of an innovation: its relative advantage, its compatibility with existing practices and values, its complexity, and its trialability and observability. Diffusion typically follows an S-shaped path (Bass 1969), and in organizations acquisition of a technology can run ahead of its deployment in routine work, a pattern described as an assimilation gap (Fichman and Kemerer 1997). The technology–organization–environment (TOE) framework (Tornatzky and Fleischer 1990) locates the determinants of organizational adoption in the characteristics of the technology, in organizational attributes such as size, slack resources, and capabilities, and in the competitive and regulatory environment; related work on absorptive capacity (Cohen and Levinthal 1990) stresses that an organization’s ability to recognize, assimilate, and apply new tools depends on its prior knowledge. Institutional theory (DiMaggio and Powell 1983) adds that adoption in professional fields responds to coercive pressure from regulators, normative pressure from professional standards, and mimetic pressure from peers, and may precede evidence of benefit. Finally, task–technology fit (Goodhue and Thompson 1995) holds that use and performance depend on the correspondence between task requirements and technology capabilities, which complements the user-acceptance literature in which perceived usefulness and ease of use predict intention to use (Davis 1989, Venkatesh et al. 2003).</w:t>
      </w:r>
    </w:p>
    <w:p>
      <w:pPr>
        <w:spacing w:after="0" w:line="480"/>
        <w:ind w:firstLine="480"/>
        <w:jc w:val="left"/>
      </w:pPr>
      <w:r>
        <w:t xml:space="preserve">Applied to patent drafting, these theories yield sharper predictions than they would for a generic office technology, because drafting combines features that push adoption in opposite directions. Relative advantage is plausibly high: specifications are long, formulaic, and costly to produce, and general-purpose LLMs excel at turning structured inputs into fluent prose. Trialability and ease of use are also high, because chat-based LLMs are freely available and need no integration. Compatibility, however, is problematic. Invention disclosures are confidential before filing, and passing them to a third-party service raises concerns about confidentiality, privilege, and, in some circumstances, novelty. Practitioners owe duties of candor and good faith to the patent office and confidentiality to their clients, and the patent office’s guidance on the use of AI-based tools was issued only in April 2024 (U.S. Patent and Trademark Office 2024), well into our observation period. These features suggest that adoption should be gradual and uneven and should depend on organizational arrangements that determine who bears the risk and who decides.</w:t>
      </w:r>
    </w:p>
    <w:p>
      <w:pPr>
        <w:pStyle w:val="Heading2"/>
        <w:spacing w:after="120" w:before="240" w:line="480"/>
      </w:pPr>
      <w:r>
        <w:t xml:space="preserve">2.5 Expectations</w:t>
      </w:r>
    </w:p>
    <w:p>
      <w:pPr>
        <w:spacing w:after="0" w:line="480"/>
        <w:ind w:firstLine="480"/>
        <w:jc w:val="left"/>
      </w:pPr>
      <w:r>
        <w:t xml:space="preserve">From these theories we derive four expectations. Our study is descriptive, so we do not state formal hypotheses, and we label the corresponding analyses as exploratory.</w:t>
      </w:r>
    </w:p>
    <w:p>
      <w:pPr>
        <w:spacing w:after="0" w:line="480"/>
        <w:ind w:firstLine="480"/>
        <w:jc w:val="left"/>
      </w:pPr>
      <w:r>
        <w:rPr>
          <w:b/>
          <w:bCs/>
        </w:rPr>
        <w:t xml:space="preserve">Expectation 1 (timing and shape). </w:t>
      </w:r>
      <w:r>
        <w:t xml:space="preserve">Diffusion of innovations theory, together with the compatibility barriers described above, implies that LLM-assisted drafting should be absent before capable LLMs became publicly available (the release of ChatGPT on November 30, 2022), that onset should lag the release by months rather than weeks, because awareness, trial, and the formation of firm policy take time, and that the increase should be gradual rather than abrupt. Because applications are published about eighteen months after filing, the trace should appear in filing-date series from about mid-2023 and in publication-date series from about 2024.</w:t>
      </w:r>
    </w:p>
    <w:p>
      <w:pPr>
        <w:spacing w:after="0" w:line="480"/>
        <w:ind w:firstLine="480"/>
        <w:jc w:val="left"/>
      </w:pPr>
      <w:r>
        <w:rPr>
          <w:b/>
          <w:bCs/>
        </w:rPr>
        <w:t xml:space="preserve">Expectation 2 (organizational size). </w:t>
      </w:r>
      <w:r>
        <w:t xml:space="preserve">The TOE framework and the absorptive-capacity argument point in two opposing directions. A resource view predicts more use by large organizations, which have slack, in-house technical and legal expertise, and prior investments that raise their capacity to evaluate and integrate new tools (Damanpour 1992). A relative-advantage view predicts the opposite: the benefit of a cost-reducing drafting tool is greatest where drafting capacity is the binding constraint, as for small applicants that cannot absorb fixed drafting costs through in-house teams, while large organizations face approval layers, confidentiality and compliance policies, panels of outside counsel with established templates, and greater reputational exposure, all of which slow deployment because they reduce compatibility. The net direction is therefore an empirical question. A related expectation, higher use among small organizations, was stated in our research plan before the data were analyzed, but we did not pre-register it, and we treat the comparison as informative about which mechanism dominates in patent drafting, not as a test of either theory.</w:t>
      </w:r>
    </w:p>
    <w:p>
      <w:pPr>
        <w:spacing w:after="0" w:line="480"/>
        <w:ind w:firstLine="480"/>
        <w:jc w:val="left"/>
      </w:pPr>
      <w:r>
        <w:rPr>
          <w:b/>
          <w:bCs/>
        </w:rPr>
        <w:t xml:space="preserve">Expectation 3 (institutional and linguistic environment). </w:t>
      </w:r>
      <w:r>
        <w:t xml:space="preserve">Institutional theory implies that exposure to peers’ practices and to regulators’ signals shapes adoption. Applicants whose practitioners work in English within the U.S. system are most directly exposed to the tools, to peer behavior, and to the signals of the U.S. patent office, and LLMs are strongest in English. Filings by applicants from other jurisdictions typically pass through translation and foreign-associate workflows that add intermediaries and may delay or mask adoption. We therefore expect higher measured use among applicants located only in the United States. Because translated text may also be harder for a detector to classify, the data cannot fully separate lower adoption from lower detectability, and this expectation can be tested only weakly.</w:t>
      </w:r>
    </w:p>
    <w:p>
      <w:pPr>
        <w:spacing w:after="0" w:line="480"/>
        <w:ind w:firstLine="480"/>
        <w:jc w:val="left"/>
      </w:pPr>
      <w:r>
        <w:rPr>
          <w:b/>
          <w:bCs/>
        </w:rPr>
        <w:t xml:space="preserve">Expectation 4 (task–technology fit across technologies). </w:t>
      </w:r>
      <w:r>
        <w:t xml:space="preserve">Task–technology fit is highest when the task is to turn structured inputs, such as an invention disclosure or claim language, into conventional prose, and lowest when the specification is carried by figures, formulas, chemical structures, or tables. We therefore expect larger increases in technology sections where descriptions consist mainly of functional prose (physics and computing, and electricity) and smaller increases where specifications rely on drawings, structural formulas, and sequence listings (chemistry, and mechanical engineering).</w:t>
      </w:r>
    </w:p>
    <w:p>
      <w:pPr>
        <w:pStyle w:val="Heading1"/>
        <w:spacing w:after="120" w:before="360" w:line="480"/>
      </w:pPr>
      <w:r>
        <w:t xml:space="preserve">3. Data and Measurement</w:t>
      </w:r>
    </w:p>
    <w:p>
      <w:pPr>
        <w:pStyle w:val="Heading2"/>
        <w:spacing w:after="120" w:before="240" w:line="480"/>
      </w:pPr>
      <w:r>
        <w:t xml:space="preserve">3.1 Patent application data</w:t>
      </w:r>
    </w:p>
    <w:p>
      <w:pPr>
        <w:spacing w:after="0" w:line="480"/>
        <w:ind w:firstLine="480"/>
        <w:jc w:val="left"/>
      </w:pPr>
      <w:r>
        <w:t xml:space="preserve">We use the weekly publication files of U.S. patent applications distributed in XML format by the U.S. Patent and Trademark Office (USPTO) through its Open Data Portal. Each weekly file contains the full text and bibliographic data of the applications published that week, typically between 5,000 and 10,000 utility applications. We selected fifteen weekly files at roughly half-year intervals: six published before ChatGPT’s release (April 2021 through October 2022), which serve as the baseline and as placebo points, and nine published afterwards (April 2023 through October 2026). From each file we randomly sampled about 2,000 utility applications whose description exceeded 3,000 characters. The analysis sample contains 29,786 applications: 11,905 from baseline weeks and 17,881 from later weeks. A small number of documents could not be parsed (at most 2.5 percent of a weekly file, and none in most files), and we excluded them.</w:t>
      </w:r>
    </w:p>
    <w:p>
      <w:pPr>
        <w:spacing w:after="0" w:line="480"/>
        <w:ind w:firstLine="480"/>
        <w:jc w:val="left"/>
      </w:pPr>
      <w:r>
        <w:t xml:space="preserve">For each application we extract the description text, the filing date, the countries of the named applicants, the main Cooperative Patent Classification (CPC) section, the name of the first-named applicant organization, and the number of applications that organization had published in the same weekly file. We classify an application as having non-U.S. applicants if at least one applicant is located outside the United States, and we classify organizations that published ten or more applications in a week as large and the rest as small; individual applicants form a separate class that we do not analyze further. The weekly count is a coarse proxy for organizational size, and we use it only to compare broad groups. Application publications do not contain information on the attorney or law firm that drafted the specification, so we cannot condition on it.</w:t>
      </w:r>
    </w:p>
    <w:p>
      <w:pPr>
        <w:spacing w:after="0" w:line="480"/>
        <w:ind w:firstLine="480"/>
        <w:jc w:val="left"/>
      </w:pPr>
      <w:r>
        <w:t xml:space="preserve">For each application we draw one random passage of about 1,100 words from the description, using sentence boundaries, and discard passages longer than 1,650 words, such as tables and sequence listings. We normalize text identically for all documents, human and machine: we remove markup, paragraph numbers, all-capitals section headings, markdown symbols, and typical chatbot preambles, and we separate numerals that were attached to neighboring words by the parsing of the source files. Without this step a detector can separate the two corpora by formatting artifacts unrelated to writing style.</w:t>
      </w:r>
    </w:p>
    <w:p>
      <w:pPr>
        <w:pStyle w:val="Heading2"/>
        <w:spacing w:after="120" w:before="240" w:line="480"/>
      </w:pPr>
      <w:r>
        <w:t xml:space="preserve">3.2 Reference corpora</w:t>
      </w:r>
    </w:p>
    <w:p>
      <w:pPr>
        <w:spacing w:after="0" w:line="480"/>
        <w:ind w:firstLine="480"/>
        <w:jc w:val="left"/>
      </w:pPr>
      <w:r>
        <w:t xml:space="preserve">The human reference corpus consists of applications published before ChatGPT’s release. Our baseline weeks supply the human model against which later weeks are compared; the weeks are scored out of fold, as described below, so that each baseline document is evaluated by a model that never saw it.</w:t>
      </w:r>
    </w:p>
    <w:p>
      <w:pPr>
        <w:spacing w:after="0" w:line="480"/>
        <w:ind w:firstLine="480"/>
        <w:jc w:val="left"/>
      </w:pPr>
      <w:r>
        <w:t xml:space="preserve">The machine reference corpus was generated from a random sample of 2021 applications drawn from a separate source (the PatentsView long-text files), which were drawn independently of the weekly samples; the chance that a source passage belongs to the analysis sample is negligible. We rewrote passages of about 1,100 words with six LLMs from different developers (Llama 4 Maverick, Qwen 3.8 Flash, DeepSeek V4.1 Flash, Gemini 3.8 Flash, GPT-6.1 Sol, and Claude Opus 5.5), accessed through a commercial aggregator in October 2026, under three prompt types that mimic realistic uses: polishing a draft passage, expanding a short summary into a specification passage, and drafting a passage from an invention disclosure. Each generator–prompt combination was applied to hundreds of passages, which yielded 7,188 usable rewrites from the six generators; a seventh model that was rate-limited contributed 235 additional rewrites that we use only as supplementary material. We split source passages into a training half and a test half so that the machine model never saw the passages it is later evaluated on. All generation settings, model identifiers, and prompts are archived and reported in the online appendix.</w:t>
      </w:r>
    </w:p>
    <w:p>
      <w:pPr>
        <w:pStyle w:val="Heading2"/>
        <w:spacing w:after="120" w:before="240" w:line="480"/>
      </w:pPr>
      <w:r>
        <w:t xml:space="preserve">3.3 Estimating the share of LLM-drafted-like text</w:t>
      </w:r>
    </w:p>
    <w:p>
      <w:pPr>
        <w:spacing w:after="0" w:line="480"/>
        <w:ind w:firstLine="480"/>
        <w:jc w:val="left"/>
      </w:pPr>
      <w:r>
        <w:t xml:space="preserve">Let each document be represented by the binary occurrence of each word in a fixed vocabulary of the 6,000 most frequent words that appear in at least fifteen machine documents; restricting the vocabulary this way removes words that occur only in the human corpus because of residual parsing artifacts. Let p denote the vector of word-occurrence probabilities in human text and q the corresponding vector in machine text, with q averaged with equal weight over generators. For a group of documents we assume that each document is drawn from the human distribution with probability 1 − α and from the machine distribution with probability α, and we estimate α by maximum likelihood. The estimator follows the logic of distributional estimation of LLM-modified content (Liang et al. 2024) with the simplifying assumption of independent word occurrences, which we know is violated in real text. We therefore do not take the point estimate at face value but calibrate it: we create synthetic groups with known machine shares by mixing held-out human documents with held-out machine documents, compute the average estimate for each true share, and invert this mapping. The resulting calibrated share can be interpreted as the share of documents that resemble machine drafts of the kind in our reference corpus. We report both the raw estimate, denoted α-hat, and the calibrated share, and we obtain 95 percent intervals by bootstrapping documents.</w:t>
      </w:r>
    </w:p>
    <w:p>
      <w:pPr>
        <w:spacing w:after="0" w:line="480"/>
        <w:ind w:firstLine="480"/>
        <w:jc w:val="left"/>
      </w:pPr>
      <w:r>
        <w:t xml:space="preserve">Because human writing differs systematically across groups of applicants and technologies, a single human model would attribute these differences to AI. We therefore build separate human models for each stratum: applicants with U.S. addresses only versus applicants with at least one non-U.S. address, and, in the specification we regard as most conservative, the same split crossed with the CPC section of the application (strata with fewer than 150 baseline documents fall back to the applicant-group model). Every document is scored against the model of its own stratum, so that changes in the mix of applicants or technologies are not mistaken for changes in writing.</w:t>
      </w:r>
    </w:p>
    <w:p>
      <w:pPr>
        <w:spacing w:after="0" w:line="480"/>
        <w:ind w:firstLine="480"/>
        <w:jc w:val="left"/>
      </w:pPr>
      <w:r>
        <w:t xml:space="preserve">What the procedure identifies deserves emphasis. The detector responds to the word-choice pattern of text that an LLM drafted or expanded. As we show next, it does not respond to human-written text that an LLM merely polished. The measure is therefore best read as the share of applications whose specification passages resemble LLM drafts, not as the share of applicants who use LLMs.</w:t>
      </w:r>
    </w:p>
    <w:p>
      <w:pPr>
        <w:pStyle w:val="Heading1"/>
        <w:spacing w:after="120" w:before="360" w:line="480"/>
      </w:pPr>
      <w:r>
        <w:t xml:space="preserve">4. Validation</w:t>
      </w:r>
    </w:p>
    <w:p>
      <w:pPr>
        <w:spacing w:after="0" w:line="480"/>
        <w:ind w:firstLine="480"/>
        <w:jc w:val="left"/>
      </w:pPr>
      <w:r>
        <w:t xml:space="preserve">We validated the procedure on text from 2021 applications in the PatentsView files, using human passages that were not sources of any rewrite and machine rewrites whose source passages were held out of training. Four results are most relevant for interpretation.</w:t>
      </w:r>
    </w:p>
    <w:p>
      <w:pPr>
        <w:spacing w:after="0" w:line="480"/>
        <w:ind w:firstLine="480"/>
        <w:jc w:val="left"/>
      </w:pPr>
      <w:r>
        <w:rPr>
          <w:b/>
          <w:bCs/>
        </w:rPr>
        <w:t xml:space="preserve">Detection of known mixtures. </w:t>
      </w:r>
      <w:r>
        <w:t xml:space="preserve">When we mix human and machine documents in known proportions, the estimator recovers the direction and approximate size of the share but compresses it. Table 1 shows the calibration used in the main analysis. A group with a true machine share of 10 percent yields an average estimate of 0.104, and a group with a true share of 20 percent yields 0.185, while the estimate for groups of human documents alone is 0.018. With 100 documents in a group, the procedure detected a 10 percent share about two-thirds of the time and a 5 percent share only rarely, and it detected a 25 percent share essentially always. Estimates at the level of large pooled samples, as used below, are considerably more precise.</w:t>
      </w:r>
    </w:p>
    <w:p>
      <w:pPr>
        <w:spacing w:after="0" w:line="480"/>
        <w:ind w:firstLine="480"/>
        <w:jc w:val="left"/>
      </w:pPr>
      <w:r>
        <w:rPr>
          <w:b/>
          <w:bCs/>
        </w:rPr>
        <w:t xml:space="preserve">Generalization across generators. </w:t>
      </w:r>
      <w:r>
        <w:t xml:space="preserve">When we trained the machine model on five generators and tested on mixtures containing text from the sixth, held-out generator at a 25 percent share, the estimates ranged from 0.17 to 0.22, similar to the 0.18–0.21 obtained when the generator was included in training. The procedure therefore does not appear to rely on the idiosyncrasies of a single model.</w:t>
      </w:r>
    </w:p>
    <w:p>
      <w:pPr>
        <w:spacing w:after="0" w:line="480"/>
        <w:ind w:firstLine="480"/>
        <w:jc w:val="left"/>
      </w:pPr>
      <w:r>
        <w:rPr>
          <w:b/>
          <w:bCs/>
        </w:rPr>
        <w:t xml:space="preserve">Drafting versus polishing. </w:t>
      </w:r>
      <w:r>
        <w:t xml:space="preserve">The most important validation result concerns prompt type. For groups consisting entirely of text produced under the drafting and expansion prompts, the average estimate was above 0.92. For groups consisting entirely of polished human text, it was 0.07, close to the human baseline. The procedure thus identifies text that an LLM wrote, not text that an LLM edited. We use only the drafting and expansion rewrites to build the machine model for the main analysis, and we interpret all results accordingly.</w:t>
      </w:r>
    </w:p>
    <w:p>
      <w:pPr>
        <w:spacing w:after="0" w:line="480"/>
        <w:ind w:firstLine="480"/>
        <w:jc w:val="left"/>
      </w:pPr>
      <w:r>
        <w:rPr>
          <w:b/>
          <w:bCs/>
        </w:rPr>
        <w:t xml:space="preserve">Placebo period. </w:t>
      </w:r>
      <w:r>
        <w:t xml:space="preserve">Applying the procedure to applications published in the six baseline weeks, scored out of fold, yields estimates that are stable and close to zero (Section 5.1). </w:t>
      </w:r>
    </w:p>
    <w:p>
      <w:pPr>
        <w:keepNext/>
        <w:spacing w:after="80" w:before="240"/>
      </w:pPr>
      <w:r>
        <w:rPr>
          <w:b/>
          <w:bCs/>
        </w:rPr>
        <w:t xml:space="preserve">Table 1.</w:t>
      </w:r>
      <w:r>
        <w:t xml:space="preserve"> Calibration of the estimator. Mean estimate for synthetic groups of 400 documents with a known share of machine documents (held-out human and machine documents; main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left"/>
            </w:pPr>
            <w:r>
              <w:rPr>
                <w:b/>
                <w:bCs/>
                <w:sz w:val="18"/>
                <w:szCs w:val="18"/>
              </w:rPr>
              <w:t xml:space="preserve">True machine share</w:t>
            </w:r>
          </w:p>
        </w:tc>
        <w:tc>
          <w:tcPr>
            <w:tcW w:type="dxa" w:w="348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Mean estimate (α-hat)</w:t>
            </w:r>
          </w:p>
        </w:tc>
        <w:tc>
          <w:tcPr>
            <w:tcW w:type="dxa" w:w="348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Interpretation</w:t>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0.00</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0.018</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human-only baseline level</w:t>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0.05</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0.061</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detected rarely in 100-document groups</w:t>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0.10</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0.104</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about two-thirds detected in 100-document groups</w:t>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0.20</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0.185</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0.30</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0.262</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0.50</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0.425</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estimates compress at high shares</w:t>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1.00</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0.839</w:t>
            </w:r>
          </w:p>
        </w:tc>
        <w:tc>
          <w:tcPr>
            <w:tcW w:type="dxa" w:w="34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pure machine text (drafting and expansion prompts)</w:t>
            </w:r>
          </w:p>
        </w:tc>
      </w:tr>
    </w:tbl>
    <w:p>
      <w:pPr>
        <w:spacing w:after="240"/>
      </w:pPr>
    </w:p>
    <w:p>
      <w:pPr>
        <w:pStyle w:val="Heading1"/>
        <w:spacing w:after="120" w:before="360" w:line="480"/>
      </w:pPr>
      <w:r>
        <w:t xml:space="preserve">5. Results</w:t>
      </w:r>
    </w:p>
    <w:p>
      <w:pPr>
        <w:pStyle w:val="Heading2"/>
        <w:spacing w:after="120" w:before="240" w:line="480"/>
      </w:pPr>
      <w:r>
        <w:t xml:space="preserve">5.1 Prevalence by publication week</w:t>
      </w:r>
    </w:p>
    <w:p>
      <w:pPr>
        <w:spacing w:after="0" w:line="480"/>
        <w:ind w:firstLine="480"/>
        <w:jc w:val="left"/>
      </w:pPr>
      <w:r>
        <w:t xml:space="preserve">Table 2 and Figure 1 show the estimates for each of the fifteen weekly samples. The six baseline weeks, published between April 2021 and October 2022, are flat: the estimates range from 0.014 to 0.024 in the specification with group-by-CPC strata, and the calibrated shares are at most 0.7 percent. Applications published in 2023 do not differ from the baseline (0.016 and 0.015). Estimates rise from 2024 publications onward (0.019 and 0.025), continue through 2025 (0.028 and 0.032), and reach 0.044, 0.047, and 0.042 in the three weeks of 2026, which correspond to calibrated shares between 2.7 and 3.3 percent. The 95 percent bootstrap intervals of all three 2026 weeks lie entirely above the intervals of every baseline week. When the human model is stratified only by applicant group, and not by CPC section, the pattern is the same but the latest levels are somewhat higher (0.052, 0.046, and 0.061; calibrated shares of 3.1 to 5.0 percent), which indicates that part of the level in that specification, up to about a third in the last week (0.061 versus 0.042), reflects the changing mix of technologies rather than writing.</w:t>
      </w:r>
    </w:p>
    <w:p>
      <w:pPr>
        <w:keepNext/>
        <w:spacing w:after="80" w:before="240"/>
      </w:pPr>
      <w:r>
        <w:rPr>
          <w:b/>
          <w:bCs/>
        </w:rPr>
        <w:t xml:space="preserve">Table 2.</w:t>
      </w:r>
      <w:r>
        <w:t xml:space="preserve"> Estimated share of LLM-drafted-like text by publication week (human model by applicant group and CPC section; baseline weeks scored out of fold). Calibrated share maps the estimate to the share of machine-draft-like documents using the calibration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50"/>
        <w:gridCol w:w="1700"/>
        <w:gridCol w:w="1550"/>
        <w:gridCol w:w="1700"/>
        <w:gridCol w:w="1560"/>
      </w:tblGrid>
      <w:tr>
        <w:trPr>
          <w:tblHeader/>
        </w:trPr>
        <w:tc>
          <w:tcPr>
            <w:tcW w:type="dxa" w:w="13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left"/>
            </w:pPr>
            <w:r>
              <w:rPr>
                <w:b/>
                <w:bCs/>
                <w:sz w:val="18"/>
                <w:szCs w:val="18"/>
              </w:rPr>
              <w:t xml:space="preserve">Publication week</w:t>
            </w:r>
          </w:p>
        </w:tc>
        <w:tc>
          <w:tcPr>
            <w:tcW w:type="dxa" w:w="155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Type</w:t>
            </w:r>
          </w:p>
        </w:tc>
        <w:tc>
          <w:tcPr>
            <w:tcW w:type="dxa" w:w="17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Documents</w:t>
            </w:r>
          </w:p>
        </w:tc>
        <w:tc>
          <w:tcPr>
            <w:tcW w:type="dxa" w:w="155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α-hat (group × CPC)</w:t>
            </w:r>
          </w:p>
        </w:tc>
        <w:tc>
          <w:tcPr>
            <w:tcW w:type="dxa" w:w="17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95% interval</w:t>
            </w:r>
          </w:p>
        </w:tc>
        <w:tc>
          <w:tcPr>
            <w:tcW w:type="dxa" w:w="156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Calibrated share</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2021-04-08</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baseline</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1,985</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0.019</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0.013–0.025</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0.002</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2021-10-07</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baseline</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1,987</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0.021</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0.015–0.026</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0.004</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2022-01-13</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baseline</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1,976</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0.024</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0.018–0.031</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0.007</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2022-03-31</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baseline</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1,987</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0.014</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0.010–0.020</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0.000</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2022-06-09</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baseline</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1,984</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0.009–0.020</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0.000</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2022-10-06</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baseline</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1,986</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0.010–0.020</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0.000</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2023-04-06</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post</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1,992</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0.016</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0.010–0.021</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0.000</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2023-10-05</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post</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1,988</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0.010–0.020</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0.000</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2024-04-04</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post</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1,985</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0.019</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0.014–0.024</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0.002</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2024-10-03</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post</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1,984</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0.018–0.031</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0.008</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2025-04-03</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post</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1,983</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0.028</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0.022–0.035</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0.011</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2025-10-02</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post</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1,986</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0.032</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0.023–0.040</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0.016</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2026-01-08</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post</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1,991</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0.044</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0.037–0.051</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0.030</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2026-04-09</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post</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1,987</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0.047</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0.040–0.055</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0.033</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2026-10-08</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post</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1,985</w:t>
            </w:r>
          </w:p>
        </w:tc>
        <w:tc>
          <w:tcPr>
            <w:tcW w:type="dxa" w:w="15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0.042</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0.033–0.051</w:t>
            </w:r>
          </w:p>
        </w:tc>
        <w:tc>
          <w:tcPr>
            <w:tcW w:type="dxa" w:w="15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0.027</w:t>
            </w:r>
          </w:p>
        </w:tc>
      </w:tr>
    </w:tbl>
    <w:p>
      <w:pPr>
        <w:spacing w:after="240"/>
      </w:pPr>
    </w:p>
    <w:p>
      <w:pPr>
        <w:spacing w:after="60" w:before="120"/>
        <w:jc w:val="center"/>
      </w:pPr>
      <w:r>
        <w:drawing>
          <wp:inline distT="0" distB="0" distL="0" distR="0">
            <wp:extent cx="5715000" cy="1800225"/>
            <wp:effectExtent t="0" r="0" b="0" l="0"/>
            <wp:docPr id="1" name="Figure 1: prevalence by publication week" descr="Figure 1: prevalence by publication week" title="Figure 1: prevalence by publication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00225"/>
                    </a:xfrm>
                    <a:prstGeom prst="rect">
                      <a:avLst/>
                    </a:prstGeom>
                  </pic:spPr>
                </pic:pic>
              </a:graphicData>
            </a:graphic>
          </wp:inline>
        </w:drawing>
      </w:r>
    </w:p>
    <w:p>
      <w:pPr>
        <w:spacing w:after="240" w:line="240"/>
        <w:ind w:firstLine="0"/>
        <w:jc w:val="left"/>
      </w:pPr>
      <w:r>
        <w:rPr>
          <w:b/>
          <w:bCs/>
        </w:rPr>
        <w:t xml:space="preserve">Figure 1. </w:t>
      </w:r>
      <w:r>
        <w:t xml:space="preserve">Estimated share of LLM-drafted-like text by publication week, overall and by applicant group and organization size (human model by applicant group). Shaded: published before December 2022. Band: 95 percent bootstrap interval.</w:t>
      </w:r>
    </w:p>
    <w:p>
      <w:pPr>
        <w:pStyle w:val="Heading2"/>
        <w:spacing w:after="120" w:before="240" w:line="480"/>
      </w:pPr>
      <w:r>
        <w:t xml:space="preserve">5.2 Prevalence by filing quarter</w:t>
      </w:r>
    </w:p>
    <w:p>
      <w:pPr>
        <w:spacing w:after="0" w:line="480"/>
        <w:ind w:firstLine="480"/>
        <w:jc w:val="left"/>
      </w:pPr>
      <w:r>
        <w:t xml:space="preserve">Expectation 1 concerns timing, and it is the filing-date series that speaks to it most directly. Publication dates lag filing dates by about eighteen months, so the weekly curve understates how early the change occurred. Because the data contain filing dates, we also pool all documents and group them by filing quarter (Figure 2 and Table 3). Applications filed from the first quarter of 2019 through the third quarter of 2022 are flat, with a document-weighted mean of 0.018 to 0.020. Applications filed in the two quarters that followed the release of ChatGPT are, if anything, below this level (0.009 to 0.013). A break appears with the second quarter of 2023, about six months after the release: the estimate is 0.028 in the specification with group-by-CPC strata, corresponds to a calibrated share of about one percent, and then rises on average by about 0.8 percentage points in the calibrated share every half year, with noise from quarter to quarter, reaching 0.059 (calibrated share 5.0 percent) in the last quarter of 2025. The two most recent filing quarters (2026) are based on few and early-published applications, which are unlikely to be representative, and we do not interpret them.</w:t>
      </w:r>
    </w:p>
    <w:p>
      <w:pPr>
        <w:keepNext/>
        <w:spacing w:after="80" w:before="240"/>
      </w:pPr>
      <w:r>
        <w:rPr>
          <w:b/>
          <w:bCs/>
        </w:rPr>
        <w:t xml:space="preserve">Table 3.</w:t>
      </w:r>
      <w:r>
        <w:t xml:space="preserve"> Document-weighted mean of the estimate by filing period (all weeks pooled). The last row rests on few, early-published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580"/>
        <w:gridCol w:w="2580"/>
      </w:tblGrid>
      <w:tr>
        <w:trPr>
          <w:tblHeader/>
        </w:trPr>
        <w:tc>
          <w:tcPr>
            <w:tcW w:type="dxa" w:w="27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left"/>
            </w:pPr>
            <w:r>
              <w:rPr>
                <w:b/>
                <w:bCs/>
                <w:sz w:val="18"/>
                <w:szCs w:val="18"/>
              </w:rPr>
              <w:t xml:space="preserve">Filing period</w:t>
            </w:r>
          </w:p>
        </w:tc>
        <w:tc>
          <w:tcPr>
            <w:tcW w:type="dxa" w:w="15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Documents</w:t>
            </w:r>
          </w:p>
        </w:tc>
        <w:tc>
          <w:tcPr>
            <w:tcW w:type="dxa" w:w="258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α-hat (group)</w:t>
            </w:r>
          </w:p>
        </w:tc>
        <w:tc>
          <w:tcPr>
            <w:tcW w:type="dxa" w:w="258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α-hat (group × CPC)</w:t>
            </w:r>
          </w:p>
        </w:tc>
      </w:tr>
      <w:tr>
        <w:trPr>
          <w:tblHeader w:val="false"/>
        </w:trPr>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2019Q1–2022Q3</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14,811</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0.020</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0.018</w:t>
            </w:r>
          </w:p>
        </w:tc>
      </w:tr>
      <w:tr>
        <w:trPr>
          <w:tblHeader w:val="false"/>
        </w:trPr>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2022Q4–2023Q1</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2,188</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0.009</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0.013</w:t>
            </w:r>
          </w:p>
        </w:tc>
      </w:tr>
      <w:tr>
        <w:trPr>
          <w:tblHeader w:val="false"/>
        </w:trPr>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2023Q2–2024Q2</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5,467</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0.033</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0.028</w:t>
            </w:r>
          </w:p>
        </w:tc>
      </w:tr>
      <w:tr>
        <w:trPr>
          <w:tblHeader w:val="false"/>
        </w:trPr>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2024Q3–2025Q1</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2,774</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0.040</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0.037</w:t>
            </w:r>
          </w:p>
        </w:tc>
      </w:tr>
      <w:tr>
        <w:trPr>
          <w:tblHeader w:val="false"/>
        </w:trPr>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2025Q2–2025Q4</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3,196</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0.053</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0.046</w:t>
            </w:r>
          </w:p>
        </w:tc>
      </w:tr>
      <w:tr>
        <w:trPr>
          <w:tblHeader w:val="false"/>
        </w:trPr>
        <w:tc>
          <w:tcPr>
            <w:tcW w:type="dxa" w:w="2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2026Q1–2026Q2</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914</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0.061</w:t>
            </w:r>
          </w:p>
        </w:tc>
        <w:tc>
          <w:tcPr>
            <w:tcW w:type="dxa" w:w="258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0.041</w:t>
            </w:r>
          </w:p>
        </w:tc>
      </w:tr>
    </w:tbl>
    <w:p>
      <w:pPr>
        <w:spacing w:after="240"/>
      </w:pPr>
    </w:p>
    <w:p>
      <w:pPr>
        <w:spacing w:after="60" w:before="120"/>
        <w:jc w:val="center"/>
      </w:pPr>
      <w:r>
        <w:drawing>
          <wp:inline distT="0" distB="0" distL="0" distR="0">
            <wp:extent cx="5715000" cy="2390775"/>
            <wp:effectExtent t="0" r="0" b="0" l="0"/>
            <wp:docPr id="1" name="Figure 2: prevalence by filing quarter" descr="Figure 2: prevalence by filing quarter" title="Figure 2: prevalence by filing qu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240" w:line="240"/>
        <w:ind w:firstLine="0"/>
        <w:jc w:val="left"/>
      </w:pPr>
      <w:r>
        <w:rPr>
          <w:b/>
          <w:bCs/>
        </w:rPr>
        <w:t xml:space="preserve">Figure 2. </w:t>
      </w:r>
      <w:r>
        <w:t xml:space="preserve">Estimated share of LLM-drafted-like text by filing quarter. Blue: human model by applicant group; orange: by applicant group and CPC section. Bands: 95 percent bootstrap intervals.</w:t>
      </w:r>
    </w:p>
    <w:p>
      <w:pPr>
        <w:pStyle w:val="Heading2"/>
        <w:spacing w:after="120" w:before="240" w:line="480"/>
      </w:pPr>
      <w:r>
        <w:t xml:space="preserve">5.3 Heterogeneity</w:t>
      </w:r>
    </w:p>
    <w:p>
      <w:pPr>
        <w:spacing w:after="0" w:line="480"/>
        <w:ind w:firstLine="480"/>
        <w:jc w:val="left"/>
      </w:pPr>
      <w:r>
        <w:t xml:space="preserve">Expectations 2 to 4 concern heterogeneity. Table 4 compares the average of the weekly estimates in the six baseline weeks with the average in the three 2026 weeks for four groups. All four groups rise, but the rise is larger for U.S. applicants (from 0.015 to 0.065) than for non-U.S. applicants (from 0.023 to 0.045), and larger for small organizations (from 0.024 to 0.064) than for large organizations (from 0.007 to 0.025). In the last weekly sample, the estimates for small and large organizations are 0.072 and 0.035, a ratio of about two. These results are in the direction suggested by the view that cost-reducing tools matter more where drafting capacity is scarce, but we cannot attribute the pattern to a specific mechanism. Large organizations may follow stricter drafting procedures, may rely more on templates, or may use tools whose output our detector recognizes less well. We also cannot rule out that the lower levels for non-U.S. applicants partly reflect under-detection: specifications from non-U.S. applicants are often translated, and translation may mask or replace the word-choice patterns our model relies on.</w:t>
      </w:r>
    </w:p>
    <w:p>
      <w:pPr>
        <w:keepNext/>
        <w:spacing w:after="80" w:before="240"/>
      </w:pPr>
      <w:r>
        <w:rPr>
          <w:b/>
          <w:bCs/>
        </w:rPr>
        <w:t xml:space="preserve">Table 4.</w:t>
      </w:r>
      <w:r>
        <w:t xml:space="preserve"> Estimated share of LLM-drafted-like text by group: unweighted average of weekly estimates (human model by applicant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left"/>
            </w:pPr>
            <w:r>
              <w:rPr>
                <w:b/>
                <w:bCs/>
                <w:sz w:val="18"/>
                <w:szCs w:val="18"/>
              </w:rPr>
              <w:t xml:space="preserve">Group</w:t>
            </w:r>
          </w:p>
        </w:tc>
        <w:tc>
          <w:tcPr>
            <w:tcW w:type="dxa" w:w="212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Baseline (6 weeks)</w:t>
            </w:r>
          </w:p>
        </w:tc>
        <w:tc>
          <w:tcPr>
            <w:tcW w:type="dxa" w:w="212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2026 (3 weeks)</w:t>
            </w:r>
          </w:p>
        </w:tc>
        <w:tc>
          <w:tcPr>
            <w:tcW w:type="dxa" w:w="212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Change</w:t>
            </w:r>
          </w:p>
        </w:tc>
      </w:tr>
      <w:tr>
        <w:trPr>
          <w:tblHeader w:val="false"/>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U.S. applicants</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0.015</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0.065</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+0.050</w:t>
            </w:r>
          </w:p>
        </w:tc>
      </w:tr>
      <w:tr>
        <w:trPr>
          <w:tblHeader w:val="false"/>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Non-U.S. applicants</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0.023</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0.045</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+0.022</w:t>
            </w:r>
          </w:p>
        </w:tc>
      </w:tr>
      <w:tr>
        <w:trPr>
          <w:tblHeader w:val="false"/>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Small organizations (&lt;10 applications per week)</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0.024</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0.064</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+0.039</w:t>
            </w:r>
          </w:p>
        </w:tc>
      </w:tr>
      <w:tr>
        <w:trPr>
          <w:tblHeader w:val="false"/>
        </w:trP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Large organizations (≥10 applications per week)</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0.007</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0.025</w:t>
            </w:r>
          </w:p>
        </w:tc>
        <w:tc>
          <w:tcPr>
            <w:tcW w:type="dxa" w:w="21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+0.018</w:t>
            </w:r>
          </w:p>
        </w:tc>
      </w:tr>
    </w:tbl>
    <w:p>
      <w:pPr>
        <w:spacing w:after="240"/>
      </w:pPr>
    </w:p>
    <w:p>
      <w:pPr>
        <w:spacing w:after="0" w:line="480"/>
        <w:ind w:firstLine="480"/>
        <w:jc w:val="left"/>
      </w:pPr>
      <w:r>
        <w:t xml:space="preserve">By technology, the picture is more nuanced once we compare each section with its own baseline (Table 5). The pooled increase of the estimate between baseline and later weeks is largest in CPC section A (human necessities, +0.021) and section B (performing operations, transporting, +0.015), followed by G (physics, including computing, +0.011), H (electricity, +0.009), E (fixed constructions, +0.009), and C (chemistry and metallurgy, +0.008). Section F (mechanical engineering, lighting, heating, and related areas) shows no increase (−0.005). Before we stratified by section, the increase appeared largest in physics and computing; the stratified analysis shows that part of that difference reflected the composition of the sections. We caution that sections differ in size and in the diversity of their documents, and we make no claim about causes of the differences.</w:t>
      </w:r>
    </w:p>
    <w:p>
      <w:pPr>
        <w:keepNext/>
        <w:spacing w:after="80" w:before="240"/>
      </w:pPr>
      <w:r>
        <w:rPr>
          <w:b/>
          <w:bCs/>
        </w:rPr>
        <w:t xml:space="preserve">Table 5.</w:t>
      </w:r>
      <w:r>
        <w:t xml:space="preserve"> Estimate by CPC section: pooled baseline versus pooled later weeks (human model by applicant group and CPC section). Difference = later minus baseline α-hat. Sections with fewer than 60 documents in either period are omitted.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left"/>
            </w:pPr>
            <w:r>
              <w:rPr>
                <w:b/>
                <w:bCs/>
                <w:sz w:val="18"/>
                <w:szCs w:val="18"/>
              </w:rPr>
              <w:t xml:space="preserve">CPC section</w:t>
            </w:r>
          </w:p>
        </w:tc>
        <w:tc>
          <w:tcPr>
            <w:tcW w:type="dxa" w:w="17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Baseline docs</w:t>
            </w:r>
          </w:p>
        </w:tc>
        <w:tc>
          <w:tcPr>
            <w:tcW w:type="dxa" w:w="17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Baseline α-hat</w:t>
            </w:r>
          </w:p>
        </w:tc>
        <w:tc>
          <w:tcPr>
            <w:tcW w:type="dxa" w:w="170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Later docs</w:t>
            </w:r>
          </w:p>
        </w:tc>
        <w:tc>
          <w:tcPr>
            <w:tcW w:type="dxa" w:w="206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Difference</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A</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2,006</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2,729</w:t>
            </w:r>
          </w:p>
        </w:tc>
        <w:tc>
          <w:tcPr>
            <w:tcW w:type="dxa" w:w="20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+0.021</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B</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1,468</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0.020</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2,062</w:t>
            </w:r>
          </w:p>
        </w:tc>
        <w:tc>
          <w:tcPr>
            <w:tcW w:type="dxa" w:w="20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+0.015</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C</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1,042</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0.013</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1,519</w:t>
            </w:r>
          </w:p>
        </w:tc>
        <w:tc>
          <w:tcPr>
            <w:tcW w:type="dxa" w:w="20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+0.008</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E</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231</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0.013</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366</w:t>
            </w:r>
          </w:p>
        </w:tc>
        <w:tc>
          <w:tcPr>
            <w:tcW w:type="dxa" w:w="20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+0.009</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F</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598</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0.022</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800</w:t>
            </w:r>
          </w:p>
        </w:tc>
        <w:tc>
          <w:tcPr>
            <w:tcW w:type="dxa" w:w="20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−0.005</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G</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3,355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0.023</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5,230</w:t>
            </w:r>
          </w:p>
        </w:tc>
        <w:tc>
          <w:tcPr>
            <w:tcW w:type="dxa" w:w="20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+0.011</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H</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3,160</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0.016</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5,097</w:t>
            </w:r>
          </w:p>
        </w:tc>
        <w:tc>
          <w:tcPr>
            <w:tcW w:type="dxa" w:w="20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+0.009</w:t>
            </w:r>
          </w:p>
        </w:tc>
      </w:tr>
    </w:tbl>
    <w:p>
      <w:pPr>
        <w:spacing w:after="240"/>
      </w:pPr>
    </w:p>
    <w:p>
      <w:pPr>
        <w:pStyle w:val="Heading2"/>
        <w:spacing w:after="120" w:before="240" w:line="480"/>
      </w:pPr>
      <w:r>
        <w:t xml:space="preserve">5.4 Robustness</w:t>
      </w:r>
    </w:p>
    <w:p>
      <w:pPr>
        <w:spacing w:after="0" w:line="480"/>
        <w:ind w:firstLine="480"/>
        <w:jc w:val="left"/>
      </w:pPr>
      <w:r>
        <w:t xml:space="preserve">Four checks address the main alternative explanations. First, the six baseline weeks serve as placebo points: they are flat and close to zero, so the procedure does not generate spurious trends when applied to pre-ChatGPT text published at different times. Second, stratifying the human model by CPC section, which removes changes in the technology mix, lowers the latest level (0.061 to 0.042 in October 2026, and less in the two earlier 2026 weeks) but leaves the shape of the curve unchanged. Third, restricting the vocabulary to the 300 most frequent words, which are mostly function words and are less sensitive to topical drift, and dropping words that occur in fewer than fifteen machine documents, which removes human-only parsing artifacts, leaves the conclusions unchanged in the analysis of the PatentsView samples that we conducted at an earlier stage. Fourth, an earlier analysis on a different, smaller set of weekly samples with a single baseline week also showed all within-group differences between 2026 and the baseline to be positive with intervals excluding zero, while a second pre-ChatGPT week showed no difference from the baseline. None of these checks proves that the increase reflects LLM use, but they make it harder to attribute it to artifacts of the parsing, the technology mix, or a one-off baseline.</w:t>
      </w:r>
    </w:p>
    <w:p>
      <w:pPr>
        <w:pStyle w:val="Heading1"/>
        <w:spacing w:after="120" w:before="360" w:line="480"/>
      </w:pPr>
      <w:r>
        <w:t xml:space="preserve">6. Discussion</w:t>
      </w:r>
    </w:p>
    <w:p>
      <w:pPr>
        <w:pStyle w:val="Heading2"/>
        <w:spacing w:after="120" w:before="240" w:line="480"/>
      </w:pPr>
      <w:r>
        <w:t xml:space="preserve">6.1 What the evidence says</w:t>
      </w:r>
    </w:p>
    <w:p>
      <w:pPr>
        <w:spacing w:after="0" w:line="480"/>
        <w:ind w:firstLine="480"/>
        <w:jc w:val="left"/>
      </w:pPr>
      <w:r>
        <w:t xml:space="preserve">The central finding is a clear, gradual diffusion curve with a start date. LLM-drafted-like text is absent from U.S. patent applications filed before the release of ChatGPT and in the first quarters afterwards; it appears with filings from mid-2023 and rises since, to a low single-digit share of applications by late 2025. Two features of this pattern increase our confidence that it reflects real changes in drafting practice. The break coincides with the timing expected of adoption after a general-purpose tool was released, and it does not appear in the six placebo weeks or in applications filed before the release. We should not read the level too literally. The estimate counts documents that resemble machine drafts produced under our prompts, and the true share of applications drafted with some LLM assistance is probably higher, because polishing and heavy editing are invisible to the detector.</w:t>
      </w:r>
    </w:p>
    <w:p>
      <w:pPr>
        <w:pStyle w:val="Heading2"/>
        <w:spacing w:after="120" w:before="240" w:line="480"/>
      </w:pPr>
      <w:r>
        <w:t xml:space="preserve">6.2 Assessment against the theoretical expectations</w:t>
      </w:r>
    </w:p>
    <w:p>
      <w:pPr>
        <w:spacing w:after="0" w:line="480"/>
        <w:ind w:firstLine="480"/>
        <w:jc w:val="left"/>
      </w:pPr>
      <w:r>
        <w:t xml:space="preserve">Table 6 summarizes how the evidence relates to the four expectations. The evidence supports the first and gives mixed or partial support to the others, and for the heterogeneity results it cannot separate theoretical mechanisms from measurement.</w:t>
      </w:r>
    </w:p>
    <w:p>
      <w:pPr>
        <w:keepNext/>
        <w:spacing w:after="80" w:before="240"/>
      </w:pPr>
      <w:r>
        <w:rPr>
          <w:b/>
          <w:bCs/>
        </w:rPr>
        <w:t xml:space="preserve">Table 6.</w:t>
      </w:r>
      <w:r>
        <w:t xml:space="preserve"> Expectations, theoretical basis, and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050"/>
        <w:gridCol w:w="2650"/>
        <w:gridCol w:w="3410"/>
      </w:tblGrid>
      <w:tr>
        <w:trPr>
          <w:tblHeader/>
        </w:trPr>
        <w:tc>
          <w:tcPr>
            <w:tcW w:type="dxa" w:w="125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left"/>
            </w:pPr>
            <w:r>
              <w:rPr>
                <w:b/>
                <w:bCs/>
                <w:sz w:val="18"/>
                <w:szCs w:val="18"/>
              </w:rPr>
              <w:t xml:space="preserve">Expectation</w:t>
            </w:r>
          </w:p>
        </w:tc>
        <w:tc>
          <w:tcPr>
            <w:tcW w:type="dxa" w:w="205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Theoretical basis</w:t>
            </w:r>
          </w:p>
        </w:tc>
        <w:tc>
          <w:tcPr>
            <w:tcW w:type="dxa" w:w="265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Prediction</w:t>
            </w:r>
          </w:p>
        </w:tc>
        <w:tc>
          <w:tcPr>
            <w:tcW w:type="dxa" w:w="3410"/>
            <w:tcBorders>
              <w:top w:val="single" w:color="888888" w:sz="4"/>
              <w:left w:val="single" w:color="888888" w:sz="4"/>
              <w:bottom w:val="single" w:color="888888" w:sz="4"/>
              <w:right w:val="single" w:color="888888" w:sz="4"/>
            </w:tcBorders>
            <w:shd w:fill="E8E8E8" w:color="auto" w:val="clear"/>
            <w:tcMar>
              <w:top w:type="dxa" w:w="40"/>
              <w:left w:type="dxa" w:w="80"/>
              <w:bottom w:type="dxa" w:w="40"/>
              <w:right w:type="dxa" w:w="80"/>
            </w:tcMar>
          </w:tcPr>
          <w:p>
            <w:pPr>
              <w:jc w:val="center"/>
            </w:pPr>
            <w:r>
              <w:rPr>
                <w:b/>
                <w:bCs/>
                <w:sz w:val="18"/>
                <w:szCs w:val="18"/>
              </w:rPr>
              <w:t xml:space="preserve">What we observe</w:t>
            </w:r>
          </w:p>
        </w:tc>
      </w:tr>
      <w:tr>
        <w:trPr>
          <w:tblHeader w:val="false"/>
        </w:trPr>
        <w:tc>
          <w:tcPr>
            <w:tcW w:type="dxa" w:w="12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E1 Timing and shape</w:t>
            </w:r>
          </w:p>
        </w:tc>
        <w:tc>
          <w:tcPr>
            <w:tcW w:type="dxa" w:w="20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Diffusion of innovations; compatibility; assimilation gap</w:t>
            </w:r>
          </w:p>
        </w:tc>
        <w:tc>
          <w:tcPr>
            <w:tcW w:type="dxa" w:w="26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No trace before ChatGPT; onset lagging release by months; gradual rise</w:t>
            </w:r>
          </w:p>
        </w:tc>
        <w:tc>
          <w:tcPr>
            <w:tcW w:type="dxa" w:w="341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Flat through 2022Q3 filings and at baseline in 2022Q4–2023Q1; break with 2023Q2 filings; rise of about 0.8 percentage points (calibrated) per half year. Supported.</w:t>
            </w:r>
          </w:p>
        </w:tc>
      </w:tr>
      <w:tr>
        <w:trPr>
          <w:tblHeader w:val="false"/>
        </w:trPr>
        <w:tc>
          <w:tcPr>
            <w:tcW w:type="dxa" w:w="12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E2 Organizational size</w:t>
            </w:r>
          </w:p>
        </w:tc>
        <w:tc>
          <w:tcPr>
            <w:tcW w:type="dxa" w:w="20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TOE; absorptive capacity; relative advantage versus governance</w:t>
            </w:r>
          </w:p>
        </w:tc>
        <w:tc>
          <w:tcPr>
            <w:tcW w:type="dxa" w:w="26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Direction open: resources (large higher) versus bottleneck and governance (small higher)</w:t>
            </w:r>
          </w:p>
        </w:tc>
        <w:tc>
          <w:tcPr>
            <w:tcW w:type="dxa" w:w="341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Small organizations higher (2026: 0.064 versus 0.025) with a larger rise (+0.039 versus +0.018). Favors the bottleneck and governance mechanism; size proxy is coarse.</w:t>
            </w:r>
          </w:p>
        </w:tc>
      </w:tr>
      <w:tr>
        <w:trPr>
          <w:tblHeader w:val="false"/>
        </w:trPr>
        <w:tc>
          <w:tcPr>
            <w:tcW w:type="dxa" w:w="12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E3 Institutional and linguistic environment</w:t>
            </w:r>
          </w:p>
        </w:tc>
        <w:tc>
          <w:tcPr>
            <w:tcW w:type="dxa" w:w="20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Institutional theory (coercive, normative, mimetic); language fit</w:t>
            </w:r>
          </w:p>
        </w:tc>
        <w:tc>
          <w:tcPr>
            <w:tcW w:type="dxa" w:w="26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Higher measured use among U.S.-only applicants</w:t>
            </w:r>
          </w:p>
        </w:tc>
        <w:tc>
          <w:tcPr>
            <w:tcW w:type="dxa" w:w="341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U.S. applicants higher (2026: 0.065 versus 0.045) with a larger rise (+0.050 versus +0.022). Direction as expected; confounded with detectability of translated text.</w:t>
            </w:r>
          </w:p>
        </w:tc>
      </w:tr>
      <w:tr>
        <w:trPr>
          <w:tblHeader w:val="false"/>
        </w:trPr>
        <w:tc>
          <w:tcPr>
            <w:tcW w:type="dxa" w:w="12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b w:val="false"/>
                <w:bCs w:val="false"/>
                <w:sz w:val="18"/>
                <w:szCs w:val="18"/>
              </w:rPr>
              <w:t xml:space="preserve">E4 Task–technology fit</w:t>
            </w:r>
          </w:p>
        </w:tc>
        <w:tc>
          <w:tcPr>
            <w:tcW w:type="dxa" w:w="20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Task–technology fit</w:t>
            </w:r>
          </w:p>
        </w:tc>
        <w:tc>
          <w:tcPr>
            <w:tcW w:type="dxa" w:w="26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Larger increases in prose-based fields (G, H); smaller where drawings and formulas dominate (C, F)</w:t>
            </w:r>
          </w:p>
        </w:tc>
        <w:tc>
          <w:tcPr>
            <w:tcW w:type="dxa" w:w="341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b w:val="false"/>
                <w:bCs w:val="false"/>
                <w:sz w:val="18"/>
                <w:szCs w:val="18"/>
              </w:rPr>
              <w:t xml:space="preserve">F shows no increase (−0.005) and C a small one (+0.008), as expected; G and H are moderate (+0.011, +0.009); the largest rises are in A and B (+0.021, +0.015), which we did not anticipate. Partly supported.</w:t>
            </w:r>
          </w:p>
        </w:tc>
      </w:tr>
    </w:tbl>
    <w:p>
      <w:pPr>
        <w:spacing w:after="240"/>
      </w:pPr>
    </w:p>
    <w:p>
      <w:pPr>
        <w:spacing w:after="0" w:line="480"/>
        <w:ind w:firstLine="480"/>
        <w:jc w:val="left"/>
      </w:pPr>
      <w:r>
        <w:t xml:space="preserve">Three points qualify this assessment. First, E1 is the only expectation that the data test directly, and the shape of the curve fits the adoption-theory account of a slow start: three years after the release of ChatGPT the estimated share of LLM-drafted-like text is still low, which is consistent with the compatibility barriers of confidential, regulated drafting work, though it is also what a simple measurement ceiling would produce if our detector sees only a subset of use. Second, the organizational-size result favors the view that drafting bottlenecks and governance, more than resources, shape adoption in this setting, but a coarse proxy for size, the exclusion of individual applicants, and the possibility that large organizations’ outside counsel use tools whose output our detector recognizes less well all limit that reading. Third, the technology pattern is only partly in line with task–technology fit: the sections predicted to show the smallest rises do, but the largest rises are not in the sections we expected. We do not offer a post hoc explanation for sections A and B, which would require information on the applicants and practitioners in those fields that our data do not contain.</w:t>
      </w:r>
    </w:p>
    <w:p>
      <w:pPr>
        <w:pStyle w:val="Heading2"/>
        <w:spacing w:after="120" w:before="240" w:line="480"/>
      </w:pPr>
      <w:r>
        <w:t xml:space="preserve">6.3 Implications for IS research</w:t>
      </w:r>
    </w:p>
    <w:p>
      <w:pPr>
        <w:spacing w:after="0" w:line="480"/>
        <w:ind w:firstLine="480"/>
        <w:jc w:val="left"/>
      </w:pPr>
      <w:r>
        <w:t xml:space="preserve">For research on AI and knowledge work, our results have two implications. First, observational studies that infer AI use from the text of work products must state which kind of use their detector can see. A measure that captures drafting but not polishing will classify some users as non-users, and that misclassification is unlikely to be random: the users who rely on AI for drafting may differ systematically from those who use it to edit. Second, the results suggest that the diffusion of generative AI into professional text work is real but, in this setting, still modest, with substantial differences across organizations and fields. For adoption theory, the results suggest that, for a tool of high relative advantage and low trialability costs, compatibility with confidential and regulated professional work is a more useful organizing concept than access: the pace of diffusion is slow despite free availability, and it differs across organizations in ways that are better explained by who bears the drafting bottleneck and the governance risk than by resources alone. Our data do not allow us to test these mechanisms, but they identify where to look, namely small organizations, U.S. applicants, and specific technology fields, and they suggest studying the role of outside counsel and internal policy as the proximate decision makers.</w:t>
      </w:r>
    </w:p>
    <w:p>
      <w:pPr>
        <w:spacing w:after="0" w:line="480"/>
        <w:ind w:firstLine="480"/>
        <w:jc w:val="left"/>
      </w:pPr>
      <w:r>
        <w:t xml:space="preserve">For research on AI and innovation, our measure can serve as a basis for future causal designs, but only with caution. Because attorneys draft most specifications, the unit of treatment is likely to be a drafting organization rather than an inventor, and the dependence of our measure on drafting means that estimates of effects on invention quality or quantity would capture effects of drafting-stage AI use. Publication data do not identify law firms, and our group-level estimates are noisy for individual organizations: with about one hundred documents per organization and period, the procedure detects shares of about ten percent only about two-thirds of the time. Studies of firm-level effects therefore require either larger text samples per organization, access to attorney information from granted patents, or continuous measures of intensity.</w:t>
      </w:r>
    </w:p>
    <w:p>
      <w:pPr>
        <w:pStyle w:val="Heading2"/>
        <w:spacing w:after="120" w:before="240" w:line="480"/>
      </w:pPr>
      <w:r>
        <w:t xml:space="preserve">6.4 Implications for practice and policy</w:t>
      </w:r>
    </w:p>
    <w:p>
      <w:pPr>
        <w:spacing w:after="0" w:line="480"/>
        <w:ind w:firstLine="480"/>
        <w:jc w:val="left"/>
      </w:pPr>
      <w:r>
        <w:t xml:space="preserve">Patent offices face growing volumes of applications and questions about the reliability of machine-assisted drafting. In April 2024 the USPTO issued guidance on the use of AI-based tools in practice before the Office, which applies existing duties of candor, good faith, and confidentiality to such tools, does not prohibit their use in drafting submissions, and does not generally require disclosure of their use (U.S. Patent and Trademark Office 2024); in November 2025 it revised its inventorship guidance for AI-assisted inventions, restating that only natural persons can be inventors and that AI systems are tools used by human inventors (U.S. Patent and Trademark Office 2025). Our results suggest that, as of the most recent publications, the share of applications whose specifications resemble LLM drafts is low but increasing, which supports monitoring at the aggregate level. At the same time, detector-based evidence should not be used against individual applicants: group-level estimates are accurate enough to describe populations, but document-level classification of legal text is unreliable and can be biased against non-native writers. We report only aggregate results and make no statement about any individual applicant or law firm.</w:t>
      </w:r>
    </w:p>
    <w:p>
      <w:pPr>
        <w:pStyle w:val="Heading2"/>
        <w:spacing w:after="120" w:before="240" w:line="480"/>
      </w:pPr>
      <w:r>
        <w:t xml:space="preserve">6.5 Limitations</w:t>
      </w:r>
    </w:p>
    <w:p>
      <w:pPr>
        <w:spacing w:after="0" w:line="480"/>
        <w:ind w:firstLine="480"/>
        <w:jc w:val="left"/>
      </w:pPr>
      <w:r>
        <w:t xml:space="preserve">Several limitations bound our conclusions. First, the measure captures LLM-drafted-like text and not LLM use in general. Second, the reference corpus rests on rewrites generated with six models and three generic prompts; commercial patent-drafting tools, specialized prompts, and heavy human editing may produce text our detector sees less well, so the levels may understate use. Third, application publications do not identify the drafting law firm or attorney, so we cannot distinguish choices by inventors, attorneys, or organizational policy. Fourth, our samples comprise fifteen weeks and about 2,000 applications per week, which limits the resolution of the time series and the precision of subgroup estimates, particularly for the latest filing quarters, which include few early-published applications. Fifth, the independence assumption of our estimator is a simplification; we address it by calibration against known mixtures, but residual miscalibration may remain. Sixth, our group definitions are coarse: the weekly count of a first-named organization is only a rough proxy of its size, and our treatment of translated text is limited to the stratification by applicant location. Finally, the expectations we examine were derived from adoption theory and, in the case of organizational size, stated in our research plan before the analysis, but none was pre-registered, and we regard the heterogeneity analyses as exploratory.</w:t>
      </w:r>
    </w:p>
    <w:p>
      <w:pPr>
        <w:pStyle w:val="Heading1"/>
        <w:spacing w:after="120" w:before="360" w:line="480"/>
      </w:pPr>
      <w:r>
        <w:t xml:space="preserve">7. Conclusion</w:t>
      </w:r>
    </w:p>
    <w:p>
      <w:pPr>
        <w:spacing w:after="0" w:line="480"/>
        <w:ind w:firstLine="480"/>
        <w:jc w:val="left"/>
      </w:pPr>
      <w:r>
        <w:t xml:space="preserve">Generative AI leaves traces in the documents that knowledge workers produce, and those traces can be measured at scale in public records. Using the specifications of U.S. patent applications, we find no detectable LLM-drafted text before the release of ChatGPT, a break with applications filed from mid-2023 onward, and an estimated share of roughly 3 to 5 percent of applications filed in late 2025, with higher levels among U.S. applicants and small organizations. The measure captures drafting, not polishing, and we have laid out what that means for the interpretation of this and future studies. We hope that the procedure, which relies on public data and openly documented models, will help turn questions about the effects of generative AI on knowledge work and innovation into questions that can be tested on the artifacts people actually produce.</w:t>
      </w:r>
    </w:p>
    <w:p>
      <w:pPr>
        <w:pStyle w:val="Heading1"/>
        <w:spacing w:after="120" w:before="360" w:line="480"/>
      </w:pPr>
      <w:r>
        <w:t xml:space="preserve">Data, Code, and AI-Use Disclosure</w:t>
      </w:r>
    </w:p>
    <w:p>
      <w:pPr>
        <w:spacing w:after="0" w:line="480"/>
        <w:ind w:firstLine="0"/>
        <w:jc w:val="left"/>
      </w:pPr>
      <w:r>
        <w:t xml:space="preserve">The patent data are public (USPTO Open Data Portal; PatentsView, CC BY 4.0). The code for sampling, detection, calibration, and figures, together with the generation manifest (models, prompts, and settings), is available in the project repository and will be shared with reviewers. Large language models were used to generate the machine reference corpus, to assist with programming, and to assist in drafting and editing this manuscript; the authors reviewed and are responsible for the content. Results are reported at the aggregate level and no individual applicant or law firm is identified.</w:t>
      </w:r>
    </w:p>
    <w:p>
      <w:r>
        <w:br w:type="page"/>
      </w:r>
    </w:p>
    <w:p>
      <w:pPr>
        <w:pStyle w:val="Heading1"/>
        <w:spacing w:after="120" w:before="360" w:line="480"/>
      </w:pPr>
      <w:r>
        <w:t xml:space="preserve">References</w:t>
      </w:r>
    </w:p>
    <w:p>
      <w:pPr>
        <w:spacing w:after="120"/>
      </w:pPr>
      <w:r>
        <w:rPr>
          <w:i/>
          <w:iCs/>
          <w:sz w:val="20"/>
          <w:szCs w:val="20"/>
        </w:rPr>
        <w:t xml:space="preserve">[Preparation note: entries without ‡ were checked against online bibliographic records or are standard references; entries marked ‡ could not be confirmed (existence or exact details) and must be verified. All details should be checked against the originals before submission.]</w:t>
      </w:r>
    </w:p>
    <w:p>
      <w:pPr>
        <w:spacing w:after="80" w:line="300"/>
        <w:ind w:left="480" w:hanging="480"/>
      </w:pPr>
      <w:r>
        <w:rPr>
          <w:sz w:val="22"/>
          <w:szCs w:val="22"/>
        </w:rPr>
        <w:t xml:space="preserve">Acharya VV, Shao X, Xu Z (2026) AI and productivity: The role of innovation. Working paper, SSRN. ‡</w:t>
      </w:r>
    </w:p>
    <w:p>
      <w:pPr>
        <w:spacing w:after="80" w:line="300"/>
        <w:ind w:left="480" w:hanging="480"/>
      </w:pPr>
      <w:r>
        <w:rPr>
          <w:sz w:val="22"/>
          <w:szCs w:val="22"/>
        </w:rPr>
        <w:t xml:space="preserve">Bass FM (1969) A new product growth model for consumer durables. Management Science 15(5):215–227.</w:t>
      </w:r>
    </w:p>
    <w:p>
      <w:pPr>
        <w:spacing w:after="80" w:line="300"/>
        <w:ind w:left="480" w:hanging="480"/>
      </w:pPr>
      <w:r>
        <w:rPr>
          <w:sz w:val="22"/>
          <w:szCs w:val="22"/>
        </w:rPr>
        <w:t xml:space="preserve">Brynjolfsson E, Li D, Raymond LR (2025) Generative AI at work. Quarterly Journal of Economics 140(2):889–942.</w:t>
      </w:r>
    </w:p>
    <w:p>
      <w:pPr>
        <w:spacing w:after="80" w:line="300"/>
        <w:ind w:left="480" w:hanging="480"/>
      </w:pPr>
      <w:r>
        <w:rPr>
          <w:sz w:val="22"/>
          <w:szCs w:val="22"/>
        </w:rPr>
        <w:t xml:space="preserve">Cohen WM, Levinthal DA (1990) Absorptive capacity: A new perspective on learning and innovation. Administrative Science Quarterly 35(1):128–152.</w:t>
      </w:r>
    </w:p>
    <w:p>
      <w:pPr>
        <w:spacing w:after="80" w:line="300"/>
        <w:ind w:left="480" w:hanging="480"/>
      </w:pPr>
      <w:r>
        <w:rPr>
          <w:sz w:val="22"/>
          <w:szCs w:val="22"/>
        </w:rPr>
        <w:t xml:space="preserve">Damanpour F (1992) Organizational size and innovation. Organization Studies 13(3):375–402.</w:t>
      </w:r>
    </w:p>
    <w:p>
      <w:pPr>
        <w:spacing w:after="80" w:line="300"/>
        <w:ind w:left="480" w:hanging="480"/>
      </w:pPr>
      <w:r>
        <w:rPr>
          <w:sz w:val="22"/>
          <w:szCs w:val="22"/>
        </w:rPr>
        <w:t xml:space="preserve">Davis FD (1989) Perceived usefulness, perceived ease of use, and user acceptance of information technology. MIS Quarterly 13(3):319–340.</w:t>
      </w:r>
    </w:p>
    <w:p>
      <w:pPr>
        <w:spacing w:after="80" w:line="300"/>
        <w:ind w:left="480" w:hanging="480"/>
      </w:pPr>
      <w:r>
        <w:rPr>
          <w:sz w:val="22"/>
          <w:szCs w:val="22"/>
        </w:rPr>
        <w:t xml:space="preserve">Dell’Acqua F, McFowland E III, Mollick ER, Lifshitz-Assaf H, Kellogg K, Rajendran S, Krayer L, Candelon F, Lakhani KR (2023) Navigating the jagged technological frontier: Field experimental evidence of the effects of AI on knowledge worker productivity and quality. Harvard Business School Working Paper 24-013. ‡</w:t>
      </w:r>
    </w:p>
    <w:p>
      <w:pPr>
        <w:spacing w:after="80" w:line="300"/>
        <w:ind w:left="480" w:hanging="480"/>
      </w:pPr>
      <w:r>
        <w:rPr>
          <w:sz w:val="22"/>
          <w:szCs w:val="22"/>
        </w:rPr>
        <w:t xml:space="preserve">DiMaggio PJ, Powell WW (1983) The iron cage revisited: Institutional isomorphism and collective rationality in organizational fields. American Sociological Review 48(2):147–160.</w:t>
      </w:r>
    </w:p>
    <w:p>
      <w:pPr>
        <w:spacing w:after="80" w:line="300"/>
        <w:ind w:left="480" w:hanging="480"/>
      </w:pPr>
      <w:r>
        <w:rPr>
          <w:sz w:val="22"/>
          <w:szCs w:val="22"/>
        </w:rPr>
        <w:t xml:space="preserve">Doshi AR, Hauser OP (2024) Generative AI enhances individual creativity but reduces the collective diversity of novel content. Science Advances 10(28):eadn5290.</w:t>
      </w:r>
    </w:p>
    <w:p>
      <w:pPr>
        <w:spacing w:after="80" w:line="300"/>
        <w:ind w:left="480" w:hanging="480"/>
      </w:pPr>
      <w:r>
        <w:rPr>
          <w:sz w:val="22"/>
          <w:szCs w:val="22"/>
        </w:rPr>
        <w:t xml:space="preserve">Eloundou T, Manning S, Mishkin P, Rock D (2024) GPTs are GPTs: Labor market impact potential of LLMs. Science 384(6702):1306–1308.</w:t>
      </w:r>
    </w:p>
    <w:p>
      <w:pPr>
        <w:spacing w:after="80" w:line="300"/>
        <w:ind w:left="480" w:hanging="480"/>
      </w:pPr>
      <w:r>
        <w:rPr>
          <w:sz w:val="22"/>
          <w:szCs w:val="22"/>
        </w:rPr>
        <w:t xml:space="preserve">Felten E, Raj M, Seamans R (2021) Occupational, industry, and geographic exposure to artificial intelligence: A novel dataset and its potential uses. Strategic Management Journal 42(12):2195–2217.</w:t>
      </w:r>
    </w:p>
    <w:p>
      <w:pPr>
        <w:spacing w:after="80" w:line="300"/>
        <w:ind w:left="480" w:hanging="480"/>
      </w:pPr>
      <w:r>
        <w:rPr>
          <w:sz w:val="22"/>
          <w:szCs w:val="22"/>
        </w:rPr>
        <w:t xml:space="preserve">Fichman RG, Kemerer CF (1997) The assimilation of software process innovations: An organizational learning perspective. Management Science 43(10):1345–1363.</w:t>
      </w:r>
    </w:p>
    <w:p>
      <w:pPr>
        <w:spacing w:after="80" w:line="300"/>
        <w:ind w:left="480" w:hanging="480"/>
      </w:pPr>
      <w:r>
        <w:rPr>
          <w:sz w:val="22"/>
          <w:szCs w:val="22"/>
        </w:rPr>
        <w:t xml:space="preserve">Fügener A, Grahl J, Gupta A, Ketter W (2022) Cognitive challenges in human–artificial intelligence collaboration: Investigating the path toward productive delegation. Information Systems Research 33(2):678–696.</w:t>
      </w:r>
    </w:p>
    <w:p>
      <w:pPr>
        <w:spacing w:after="80" w:line="300"/>
        <w:ind w:left="480" w:hanging="480"/>
      </w:pPr>
      <w:r>
        <w:rPr>
          <w:sz w:val="22"/>
          <w:szCs w:val="22"/>
        </w:rPr>
        <w:t xml:space="preserve">Goodhue DL, Thompson RL (1995) Task-technology fit and individual performance. MIS Quarterly 19(2):213–236.</w:t>
      </w:r>
    </w:p>
    <w:p>
      <w:pPr>
        <w:spacing w:after="80" w:line="300"/>
        <w:ind w:left="480" w:hanging="480"/>
      </w:pPr>
      <w:r>
        <w:rPr>
          <w:sz w:val="22"/>
          <w:szCs w:val="22"/>
        </w:rPr>
        <w:t xml:space="preserve">Griliches Z (1990) Patent statistics as economic indicators: A survey. Journal of Economic Literature 28(4):1661–1707.</w:t>
      </w:r>
    </w:p>
    <w:p>
      <w:pPr>
        <w:spacing w:after="80" w:line="300"/>
        <w:ind w:left="480" w:hanging="480"/>
      </w:pPr>
      <w:r>
        <w:rPr>
          <w:sz w:val="22"/>
          <w:szCs w:val="22"/>
        </w:rPr>
        <w:t xml:space="preserve">Hall BH, Jaffe AB, Trajtenberg M (2001) The NBER patent citation data file: Lessons, insights and methodological tools. NBER Working Paper 8498.</w:t>
      </w:r>
    </w:p>
    <w:p>
      <w:pPr>
        <w:spacing w:after="80" w:line="300"/>
        <w:ind w:left="480" w:hanging="480"/>
      </w:pPr>
      <w:r>
        <w:rPr>
          <w:sz w:val="22"/>
          <w:szCs w:val="22"/>
        </w:rPr>
        <w:t xml:space="preserve">Hans A, Schwarzschild A, Cherepanova V, Kazemi H, Saha A, Goldblum M, Geiping J, Goldstein T (2024) Spotting LLMs with Binoculars: Zero-shot detection of machine-generated text. Proceedings of the 41st International Conference on Machine Learning, PMLR 235:17519–17537.</w:t>
      </w:r>
    </w:p>
    <w:p>
      <w:pPr>
        <w:spacing w:after="80" w:line="300"/>
        <w:ind w:left="480" w:hanging="480"/>
      </w:pPr>
      <w:r>
        <w:rPr>
          <w:sz w:val="22"/>
          <w:szCs w:val="22"/>
        </w:rPr>
        <w:t xml:space="preserve">Liang W, Yuksekgonul M, Mao Y, Wu E, Zou J (2023) GPT detectors are biased against non-native English writers. Patterns 4(7):100779.</w:t>
      </w:r>
    </w:p>
    <w:p>
      <w:pPr>
        <w:spacing w:after="80" w:line="300"/>
        <w:ind w:left="480" w:hanging="480"/>
      </w:pPr>
      <w:r>
        <w:rPr>
          <w:sz w:val="22"/>
          <w:szCs w:val="22"/>
        </w:rPr>
        <w:t xml:space="preserve">Liang W, Izzo Z, Zhang Y, Lepp H, Cao H, Zhao X, Chen L, Ye H, Liu S, Huang Z, McFarland DA, Zou JY (2024) Monitoring AI-modified content at scale: A case study on the impact of ChatGPT on AI conference peer reviews. Proceedings of the 41st International Conference on Machine Learning.</w:t>
      </w:r>
    </w:p>
    <w:p>
      <w:pPr>
        <w:spacing w:after="80" w:line="300"/>
        <w:ind w:left="480" w:hanging="480"/>
      </w:pPr>
      <w:r>
        <w:rPr>
          <w:sz w:val="22"/>
          <w:szCs w:val="22"/>
        </w:rPr>
        <w:t xml:space="preserve">Liang W, Zhang Y, Codreanu M, Wang J, Cao H, Zou J (2025) The widespread adoption of large language model-assisted writing across society. Patterns 6(12):101366.</w:t>
      </w:r>
    </w:p>
    <w:p>
      <w:pPr>
        <w:spacing w:after="80" w:line="300"/>
        <w:ind w:left="480" w:hanging="480"/>
      </w:pPr>
      <w:r>
        <w:rPr>
          <w:sz w:val="22"/>
          <w:szCs w:val="22"/>
        </w:rPr>
        <w:t xml:space="preserve">Mitchell E, Lee Y, Khazatsky A, Manning CD, Finn C (2023) DetectGPT: Zero-shot machine-generated text detection using probability curvature. Proceedings of the 40th International Conference on Machine Learning.</w:t>
      </w:r>
    </w:p>
    <w:p>
      <w:pPr>
        <w:spacing w:after="80" w:line="300"/>
        <w:ind w:left="480" w:hanging="480"/>
      </w:pPr>
      <w:r>
        <w:rPr>
          <w:sz w:val="22"/>
          <w:szCs w:val="22"/>
        </w:rPr>
        <w:t xml:space="preserve">Noy S, Zhang W (2023) Experimental evidence on the productivity effects of generative artificial intelligence. Science 381(6654):187–192.</w:t>
      </w:r>
    </w:p>
    <w:p>
      <w:pPr>
        <w:spacing w:after="80" w:line="300"/>
        <w:ind w:left="480" w:hanging="480"/>
      </w:pPr>
      <w:r>
        <w:rPr>
          <w:sz w:val="22"/>
          <w:szCs w:val="22"/>
        </w:rPr>
        <w:t xml:space="preserve">Rogers EM (2003) Diffusion of Innovations, 5th ed. (Free Press, New York).</w:t>
      </w:r>
    </w:p>
    <w:p>
      <w:pPr>
        <w:spacing w:after="80" w:line="300"/>
        <w:ind w:left="480" w:hanging="480"/>
      </w:pPr>
      <w:r>
        <w:rPr>
          <w:sz w:val="22"/>
          <w:szCs w:val="22"/>
        </w:rPr>
        <w:t xml:space="preserve">Sadasivan VS, Kumar A, Balasubramanian S, Wang W, Feizi S (2023) Can AI-generated text be reliably detected? Preprint, arXiv:2303.11156 (later published in Transactions on Machine Learning Research).</w:t>
      </w:r>
    </w:p>
    <w:p>
      <w:pPr>
        <w:spacing w:after="80" w:line="300"/>
        <w:ind w:left="480" w:hanging="480"/>
      </w:pPr>
      <w:r>
        <w:rPr>
          <w:sz w:val="22"/>
          <w:szCs w:val="22"/>
        </w:rPr>
        <w:t xml:space="preserve">Tornatzky LG, Fleischer M (1990) The Processes of Technological Innovation (Lexington Books, Lexington, MA).</w:t>
      </w:r>
    </w:p>
    <w:p>
      <w:pPr>
        <w:spacing w:after="80" w:line="300"/>
        <w:ind w:left="480" w:hanging="480"/>
      </w:pPr>
      <w:r>
        <w:rPr>
          <w:sz w:val="22"/>
          <w:szCs w:val="22"/>
        </w:rPr>
        <w:t xml:space="preserve">U.S. Patent and Trademark Office (2024) Guidance on use of artificial intelligence-based tools in practice before the United States Patent and Trademark Office. Federal Register, April 11, 2024 (document 2024-07629).</w:t>
      </w:r>
    </w:p>
    <w:p>
      <w:pPr>
        <w:spacing w:after="80" w:line="300"/>
        <w:ind w:left="480" w:hanging="480"/>
      </w:pPr>
      <w:r>
        <w:rPr>
          <w:sz w:val="22"/>
          <w:szCs w:val="22"/>
        </w:rPr>
        <w:t xml:space="preserve">U.S. Patent and Trademark Office (2025) Revised inventorship guidance for AI-assisted inventions. Issued November 26, 2025.</w:t>
      </w:r>
    </w:p>
    <w:p>
      <w:pPr>
        <w:spacing w:after="80" w:line="300"/>
        <w:ind w:left="480" w:hanging="480"/>
      </w:pPr>
      <w:r>
        <w:rPr>
          <w:sz w:val="22"/>
          <w:szCs w:val="22"/>
        </w:rPr>
        <w:t xml:space="preserve">Uzzi B, Mukherjee S, Stringer M, Jones B (2013) Atypical combinations and scientific impact. Science 342(6157):468–472.</w:t>
      </w:r>
    </w:p>
    <w:p>
      <w:pPr>
        <w:spacing w:after="80" w:line="300"/>
        <w:ind w:left="480" w:hanging="480"/>
      </w:pPr>
      <w:r>
        <w:rPr>
          <w:sz w:val="22"/>
          <w:szCs w:val="22"/>
        </w:rPr>
        <w:t xml:space="preserve">Venkatesh V, Morris MG, Davis GB, Davis FD (2003) User acceptance of information technology: Toward a unified view. MIS Quarterly 27(3):425–478.</w:t>
      </w:r>
    </w:p>
    <w:p>
      <w:pPr>
        <w:spacing w:after="80" w:line="300"/>
        <w:ind w:left="480" w:hanging="480"/>
      </w:pPr>
      <w:r>
        <w:rPr>
          <w:sz w:val="22"/>
          <w:szCs w:val="22"/>
        </w:rPr>
        <w:t xml:space="preserve">Weitzman ML (1998) Recombinant growth. Quarterly Journal of Economics 113(2):331–360.</w:t>
      </w:r>
    </w:p>
    <w:p>
      <w:r>
        <w:br w:type="page"/>
      </w:r>
    </w:p>
    <w:p>
      <w:pPr>
        <w:pStyle w:val="Heading1"/>
        <w:spacing w:after="120" w:before="360" w:line="480"/>
      </w:pPr>
      <w:r>
        <w:t xml:space="preserve">Pre-Submission Checklist (remove before submission)</w:t>
      </w:r>
    </w:p>
    <w:p>
      <w:pPr>
        <w:spacing w:after="80" w:line="300"/>
        <w:ind w:left="360" w:hanging="360"/>
      </w:pPr>
      <w:r>
        <w:rPr>
          <w:sz w:val="22"/>
          <w:szCs w:val="22"/>
        </w:rPr>
        <w:t xml:space="preserve">□  Verify the two references still marked ‡ (Acharya, Shao, and Xu 2026, including title; Dell’Acqua et al. 2023, working paper number) and re-check all other entries against the originals; confirm the page range of Brynjolfsson et al. (2025) (one source lists issue 3, pages 889–944) via its DOI (10.1093/qje/qjae044); cite the primary text of the USPTO guidance (Federal Register 2024-07629; November 2025 revised guidance), because we checked these through secondary summaries.</w:t>
      </w:r>
    </w:p>
    <w:p>
      <w:pPr>
        <w:spacing w:after="80" w:line="300"/>
        <w:ind w:left="360" w:hanging="360"/>
      </w:pPr>
      <w:r>
        <w:rPr>
          <w:sz w:val="22"/>
          <w:szCs w:val="22"/>
        </w:rPr>
        <w:t xml:space="preserve">□  Confirm the generator model names and versions against the archived manifest (rewrites.jsonl.manifest.json) and describe them in the online appendix.</w:t>
      </w:r>
    </w:p>
    <w:p>
      <w:pPr>
        <w:spacing w:after="80" w:line="300"/>
        <w:ind w:left="360" w:hanging="360"/>
      </w:pPr>
      <w:r>
        <w:rPr>
          <w:sz w:val="22"/>
          <w:szCs w:val="22"/>
        </w:rPr>
        <w:t xml:space="preserve">□  Replace the unweighted three-week and six-week averages in Table 4 by weighted estimates with bootstrap intervals, and add an interval to the by-filing-quarter pooled periods in Table 3.</w:t>
      </w:r>
    </w:p>
    <w:p>
      <w:pPr>
        <w:spacing w:after="80" w:line="300"/>
        <w:ind w:left="360" w:hanging="360"/>
      </w:pPr>
      <w:r>
        <w:rPr>
          <w:sz w:val="22"/>
          <w:szCs w:val="22"/>
        </w:rPr>
        <w:t xml:space="preserve">□  Rerun the weekly analysis on more weekly samples per half year to increase resolution, and report the dates of all weekly files in the online appendix.</w:t>
      </w:r>
    </w:p>
    <w:p>
      <w:pPr>
        <w:spacing w:after="80" w:line="300"/>
        <w:ind w:left="360" w:hanging="360"/>
      </w:pPr>
      <w:r>
        <w:rPr>
          <w:sz w:val="22"/>
          <w:szCs w:val="22"/>
        </w:rPr>
        <w:t xml:space="preserve">□  Decide whether to report the group-only specification or the group-by-CPC specification as the main one (this draft reports the latter in Tables 2 and 3 and both in Figure 2).</w:t>
      </w:r>
    </w:p>
    <w:p>
      <w:pPr>
        <w:spacing w:after="80" w:line="300"/>
        <w:ind w:left="360" w:hanging="360"/>
      </w:pPr>
      <w:r>
        <w:rPr>
          <w:sz w:val="22"/>
          <w:szCs w:val="22"/>
        </w:rPr>
        <w:t xml:space="preserve">□  Add the online appendix: prompts, vocabulary construction, normalization rules, validation details (PatentsView sample), and the full tables by group and filing quarter.</w:t>
      </w:r>
    </w:p>
    <w:p>
      <w:pPr>
        <w:spacing w:after="80" w:line="300"/>
        <w:ind w:left="360" w:hanging="360"/>
      </w:pPr>
      <w:r>
        <w:rPr>
          <w:sz w:val="22"/>
          <w:szCs w:val="22"/>
        </w:rPr>
        <w:t xml:space="preserve">□  Prepare the blinded title page and remove author-identifying information from the repository link.</w:t>
      </w:r>
    </w:p>
    <w:p>
      <w:pPr>
        <w:spacing w:after="80" w:line="300"/>
        <w:ind w:left="360" w:hanging="360"/>
      </w:pPr>
      <w:r>
        <w:rPr>
          <w:sz w:val="22"/>
          <w:szCs w:val="22"/>
        </w:rPr>
        <w:t xml:space="preserve">□  Check the journal’s current AI-use disclosure policy and adapt the disclosure paragraph.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517cd869e5e4c817270435d3a5d43fb02e63b0.png"/><Relationship Id="rId9" Type="http://schemas.openxmlformats.org/officeDocument/2006/relationships/image" Target="media/f36a525271c2a4e1855568877a2a861bbf6f16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2026-10-19T01:28:44.641Z</dcterms:created>
  <dcterms:modified xsi:type="dcterms:W3CDTF">2026-10-19T01:28:44.641Z</dcterms:modified>
</cp:coreProperties>
</file>

<file path=docProps/custom.xml><?xml version="1.0" encoding="utf-8"?>
<Properties xmlns="http://schemas.openxmlformats.org/officeDocument/2006/custom-properties" xmlns:vt="http://schemas.openxmlformats.org/officeDocument/2006/docPropsVTypes"/>
</file>