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stochastic and exists to deter misreporting. A language model does not respond strategically to being checked. Its errors arise from a random process whose intensity the organization can estimate, and the optimal policy is a deterministic threshold rule (Proposition 4) rather than a randomized audit.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Our model suggests where such designs matter most: for units of high predicted risk, where the cost of an accepted false flag or a missed error is largest and where direct human verification may dominate screening.</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et al.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 [AUTHORS: complete author list and venue.]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et al. (2025) Investigating factuality in long-form text generation: The roles of self-known and self-unknown.</w:t>
      </w:r>
      <w:r>
        <w:t xml:space="preserve"> </w:t>
      </w:r>
      <w:r>
        <w:rPr>
          <w:iCs/>
          <w:i/>
        </w:rPr>
        <w:t xml:space="preserve">Proc. 2025 Conf. Empirical Methods Natural Language Processing</w:t>
      </w:r>
      <w:r>
        <w:t xml:space="preserve">. arXiv:2411.15993. [AUTHORS: complete author list.]</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et al. (2024) Long-form factuality in large language models.</w:t>
      </w:r>
      <w:r>
        <w:t xml:space="preserve"> </w:t>
      </w:r>
      <w:r>
        <w:rPr>
          <w:iCs/>
          <w:i/>
        </w:rPr>
        <w:t xml:space="preserve">Adv. Neural Inform. Processing Systems</w:t>
      </w:r>
      <w:r>
        <w:t xml:space="preserve">, vol. 37. arXiv:2403.18802. [AUTHORS: complete author list.]</w:t>
      </w:r>
    </w:p>
    <w:p>
      <w:pPr>
        <w:pStyle w:val="BodyText"/>
      </w:pPr>
      <w:r>
        <w:t xml:space="preserve">Yang, et al. (2025) Hallucinate at the last in long response generation: A case study on long document summarization. Preprint, arXiv:2505.15291. [AUTHORS: complete author list and venue.]</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2026-10-28T11:31:45Z</dcterms:created>
  <dcterms:modified xsi:type="dcterms:W3CDTF">2026-10-28T11:31:45Z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