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Times New Roman" w:cs="Times New Roman" w:eastAsia="Times New Roman" w:hAnsi="Times New Roman"/>
          <w:b/>
          <w:bCs/>
          <w:i w:val="false"/>
          <w:iCs w:val="false"/>
          <w:smallCaps/>
          <w:color w:val="1F4E79"/>
          <w:sz w:val="18"/>
          <w:szCs w:val="18"/>
        </w:rPr>
        <w:t xml:space="preserve">RESEARCH NOTE</w:t>
      </w:r>
    </w:p>
    <w:p>
      <w:pPr>
        <w:spacing w:after="200" w:before="40"/>
      </w:pPr>
      <w:r>
        <w:rPr>
          <w:rFonts w:ascii="Times New Roman" w:cs="Times New Roman" w:eastAsia="Times New Roman" w:hAnsi="Times New Roman"/>
          <w:b/>
          <w:bCs/>
          <w:i w:val="false"/>
          <w:iCs w:val="false"/>
          <w:smallCaps w:val="false"/>
          <w:color w:val="000000"/>
          <w:sz w:val="32"/>
          <w:szCs w:val="32"/>
        </w:rPr>
        <w:t xml:space="preserve">The Sampling Temperature Is Not the Decision State: Effective Decision Temperature and the Governance of LLM Agents</w:t>
      </w:r>
    </w:p>
    <w:p>
      <w:pPr>
        <w:spacing w:after="200" w:before="0" w:line="276"/>
        <w:jc w:val="both"/>
      </w:pPr>
      <w:r>
        <w:rPr>
          <w:rFonts w:ascii="Times New Roman" w:cs="Times New Roman" w:eastAsia="Times New Roman" w:hAnsi="Times New Roman"/>
          <w:b w:val="false"/>
          <w:bCs w:val="false"/>
          <w:i/>
          <w:iCs/>
          <w:smallCaps w:val="false"/>
          <w:color w:val="000000"/>
          <w:sz w:val="20"/>
          <w:szCs w:val="20"/>
        </w:rPr>
        <w:t xml:space="preserve">Prepared for </w:t>
      </w:r>
      <w:r>
        <w:rPr>
          <w:rFonts w:ascii="Times New Roman" w:cs="Times New Roman" w:eastAsia="Times New Roman" w:hAnsi="Times New Roman"/>
          <w:b w:val="false"/>
          <w:bCs w:val="false"/>
          <w:i/>
          <w:iCs/>
          <w:smallCaps w:val="false"/>
          <w:color w:val="000000"/>
          <w:sz w:val="20"/>
          <w:szCs w:val="20"/>
        </w:rPr>
        <w:t xml:space="preserve">Information Systems Research</w:t>
      </w:r>
      <w:r>
        <w:rPr>
          <w:rFonts w:ascii="Times New Roman" w:cs="Times New Roman" w:eastAsia="Times New Roman" w:hAnsi="Times New Roman"/>
          <w:b w:val="false"/>
          <w:bCs w:val="false"/>
          <w:i/>
          <w:iCs/>
          <w:smallCaps w:val="false"/>
          <w:color w:val="000000"/>
          <w:sz w:val="20"/>
          <w:szCs w:val="20"/>
        </w:rPr>
        <w:t xml:space="preserve">. Author identifiers are omitted for double-anonymous review. A contribution statement appears in the cover letter, as required since June 2023.</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Abstract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increasingly hand work to large language model (LLM) agents, yet they still treat failures as software defects, as though reliability were a fixed property of the code. For an autoregressive agent it often is not. Research on agentic artifacts theorizes delegation and the problems of autonomy, learning, and inscrutability, but lacks a construct for the decision state of a delegated task.</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Sampling a token from a softmax is a random-utility choice with Gumbel-distributed shocks and follows the logit rule of quantal response theory. Effective decision temperature, Teff, is the temperature at which observed tokens are best explained by a clean-context reference valuation of the same task. It recovers the nominal sampling temperature when context leaves valuations alone and rises when pressure warps logits away from task value. Entropy describes concentration; Teff describes whether concentrated choices track task value. Rigid instability is low entropy with elevated Teff. The construct makes no claim about machine experience.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Pressure raises Teff above the nominal temperature. An inverted-U between nominal temperature and accuracy appears only when an off-path attractor is sticky at low temperature and escapable at moderate temperature. Content contamination should strengthen pressure near a dominant token. A context reset addresses context-level distortion, not a change in weights. Contagion and state-contingent delegation are implications, not tests.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 synthetic logits, Teff separates from nominal temperature under pressure. On SmolLM2-135M-Instruct, pressure lifts Teff far above a nominal T = 0.15 and no inverted-U appears. On Qwen2.5-3B and 7B, which solve the task, a planted off-path letter of intermediate strength produces an inverted-U peaking near T = 2 to 2.5 and pressure raises Teff. On Llama-3.2-3B an inverted-U also appears, but pressure does not raise Teff. A dashboard reporting only the decoding parameter misreads the agent’s decision state.</w:t>
      </w:r>
    </w:p>
    <w:p>
      <w:pPr>
        <w:spacing w:after="80" w:before="0" w:line="276"/>
        <w:jc w:val="both"/>
      </w:pPr>
      <w:r>
        <w:rPr>
          <w:rFonts w:ascii="Times New Roman" w:cs="Times New Roman" w:eastAsia="Times New Roman" w:hAnsi="Times New Roman"/>
          <w:b/>
          <w:bCs/>
          <w:i/>
          <w:iCs/>
          <w:smallCaps w:val="false"/>
          <w:color w:val="000000"/>
          <w:sz w:val="22"/>
          <w:szCs w:val="22"/>
        </w:rPr>
        <w:t xml:space="preserve">Keywords: </w:t>
      </w:r>
      <w:r>
        <w:rPr>
          <w:rFonts w:ascii="Times New Roman" w:cs="Times New Roman" w:eastAsia="Times New Roman" w:hAnsi="Times New Roman"/>
          <w:b w:val="false"/>
          <w:bCs w:val="false"/>
          <w:i/>
          <w:iCs/>
          <w:smallCaps w:val="false"/>
          <w:color w:val="000000"/>
          <w:sz w:val="22"/>
          <w:szCs w:val="22"/>
        </w:rPr>
        <w:t xml:space="preserve">agentic IS artifacts; large language models; bounded rationality; quantal response; effective decision temperature; AI governance; delegation</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1. Introduction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are shifting from using AI as a tool to delegating work to it. LLM agents draft text, triage requests, call tools, and pass intermediate artifacts to other agents, frequently with little human oversight. Information systems research has started to theorize this shift. Agentic IS artifacts act on behalf of people, who in turn delegate rights and responsibilities to them (Baird &amp; Maruping, 2021), and managing them is difficult because of their autonomy, learning, and inscrutability (Berente, Gu, Recker, &amp; Santhanam, 2021). Practice has not kept pace with this theory. When an error is found, a prompt gets patched or a model gets retrained, and the incident is closed. Behind that routine sits an assumption that the failure is an independent, stable property of the system.</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 an autoregressive agent, that assumption often breaks down. The same weights can perform well in one context and collapse in another. The collapse takes one of two recognizable forms: rigid lock-in to a repeated, erroneous continuation (Holtzman, Buys, Du, Forbes, &amp; Choi, 2020), or disorganized output whose choice distribution no longer follows the task. In a chain of agents, one agent’s output becomes the next agent’s input, so a local state can turn into someone else’s context. Current IS theory can tell an organization whether it may delegate a class of task. It cannot tell the organization whether the agent is, right now, in a state where that delegation is still warranted.</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Machine learning research measures the uncertainty of individual responses (Kadavath et al., 2022; Farquhar, Kossen, Kuhn, &amp; Gal, 2024) and catalogs multi-agent failures once they have occurred (Cemri et al., 2025). These streams can say that a particular output is unreliable, or classify a failure after the fact. They leave open why the same agent drifts between reliable and unreliable states, how that drift can be read from the choice rule the agent actually uses, and what an organization should monitor if it wants to step in before the output is already wrong. These are questions about decision-making and its governance.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We ask a narrower question than the phenomenon invites. How can an organization observe the decision state of an LLM agent, as distinct from the sampling temperature an operator sets, and what does that distinction mean for delegation? Our answer theorizes through a formal correspondence rather than an analogy with felt experience (Ketokivi, Mantere, &amp; Cornelissen, 2017). Drawing a token from a softmax is equivalent to adding Gumbel noise, scaled by temperature, to each logit and picking the largest (McFadden, 1974; McKelvey &amp; Palfrey, 1995). One parameter thus describes both the sampler and the noise in a boundedly rational choice. The correspondence is only as strong as the assumption that logits can be read as valuations, so we specify the reference that makes that reading identifiable. We do not claim that the agent has an affective state.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note makes three contributions. First, it brings the agent’s decision state into the governance of agentic IS artifacts, locating that state in a quantity, effective decision temperature, which is latent in human choice but can be estimated for an LLM once a clean-context reference is fixed. Second, it separates what the correspondence predicts from what it does not. Pressure and contamination should lift Teff above the nominal temperature, whereas an interior performance band in nominal temperature is a special case rather than a default, and we state the attractor condition at the outset. Third, it shows that the indicators can be computed both on the theory’s own choice rule and on the next-token log-probabilities of four pretrained open-weight models from three families (135M to 7B parameters), and it reports where the predictions hold and where they fail. Network contagion, circuit breakers, and state-contingent delegation are design implications of observable states. They form an agenda, not findings.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note proceeds as follows. Section 2 lays out the softmax identity and positions it against IS research on delegation and against existing uncertainty measures. Section 3 defines the constructs and four propositions. Section 4 reports the measurement illustration, Section 5 draws out the governance implication and its boundary conditions, and Section 6 sets out what would have to be shown before that implication could count as evidence.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2. Theoretical Foundations</w:t>
      </w:r>
    </w:p>
    <w:p>
      <w:pPr>
        <w:pStyle w:val="Heading2"/>
        <w:spacing w:after="120" w:before="280"/>
      </w:pPr>
      <w:r>
        <w:rPr>
          <w:rFonts w:ascii="Times New Roman" w:cs="Times New Roman" w:eastAsia="Times New Roman" w:hAnsi="Times New Roman"/>
          <w:b/>
          <w:bCs/>
          <w:color w:val="1F4E79"/>
          <w:sz w:val="24"/>
          <w:szCs w:val="24"/>
        </w:rPr>
        <w:t xml:space="preserve">2.1 Delegation to an artifact whose behavior is state-dependent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Agentic IS artifacts differ from earlier information systems because they perceive, decide, and act with some autonomy (Baird &amp; Maruping, 2021). Governance therefore has to address not just whether they work but how they decide. Berente et al. (2021) name autonomy, learning, and inscrutability as the facets that make AI hard to manage, and each takes a state-dependent form in an LLM agent. With autonomy, a failure can run for many steps before anyone notices. With learning, whether through fine-tuning or the accumulation of context within a task, behavior can drift from the behavior on which the decision to delegate was based. With inscrutability, output quality is often the first sign of that drift.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typically decide once, on evidence of capability, whether to delegate a task. If behavior depends on an internal state that changes, that evidence is incomplete: the question is no longer only whether an agent can do a task but whether it is currently in a state to do it. Once agents are chained, the system also takes on the interactive complexity and tight coupling that Perrow (1984) identified as the roots of normal accidents. We use that point to motivate why a local state matters, though we do not test network transmission here.</w:t>
      </w:r>
    </w:p>
    <w:p>
      <w:pPr>
        <w:pStyle w:val="Heading2"/>
        <w:spacing w:after="120" w:before="280"/>
      </w:pPr>
      <w:r>
        <w:rPr>
          <w:rFonts w:ascii="Times New Roman" w:cs="Times New Roman" w:eastAsia="Times New Roman" w:hAnsi="Times New Roman"/>
          <w:b/>
          <w:bCs/>
          <w:color w:val="1F4E79"/>
          <w:sz w:val="24"/>
          <w:szCs w:val="24"/>
        </w:rPr>
        <w:t xml:space="preserve">2.2 The softmax identity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Simon (1955) argued that decision-makers choose under limits of information and computation. Quantal response theory formalizes one such limit. Instead of always picking the best action, an agent picks action i with a probability that rises smoothly with its utility ui (McKelvey &amp; Palfrey, 1995). The standard form is the logit rule, with precision λ:</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P(i) = exp(λ ui) / Σj exp(λ uj).</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(1)</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An LLM chooses its next token using the same functional form. Given logits z over a vocabulary and a temperature T:</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P(y) = exp(zy / T) / Σv exp(zv / T).</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Setting λ = 1/T makes the two rules identical in form. At low temperature the agent behaves almost like a deterministic maximizer; at high temperature its choice is barely guided by the logits. The uncertainty of a single choice is its entropy, H = −Σ pi log pi, which falls toward zero as T approaches zero and rises toward the log of the support as T grows. For an LLM agent both the distribution and the chosen token can be observed, and that observability is what allows a behavioral construct to become an operational one.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Sharing an equation does not by itself build a theoretical bridge. Two results give us reason to read the equation as a choice rule rather than a coincidence of functional forms. The first is that drawing a token from the softmax is equivalent to adding independent Gumbel noise, scaled by T, to each logit and taking the largest. This is the random-utility derivation of the logit (McFadden, 1974), and it makes temperature the scale of the random component, just as 1/λ is in quantal response theory. The second is that a language model fine-tuned under a penalty for departing from a reference policy converges to a policy whose log-probability ratio to that reference equals, up to a constant, a scaled reward (Rafailov et al., 2023). Under that training regime, log-probabilities carry value information in a precise sense.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Neither result turns logits into task utilities automatically. What they establish is that the logit rule is the right model of the sampling process, and that a valuation can be recovered once a reference is specified. Effective decision temperature rests on that second step. We make no claim about machine experience. Tokens can look like threat rigidity (Staw, Sandelands, &amp; Dutton, 1981) or a collapse of sensemaking (Weick, 1993) without the agent having either, and resemblance to human behavior may simply be role play (Shanahan, McDonell, &amp; Reynolds, 2023). All the theory claims is that the same decision parameter describes a distortion of choice relative to a stated reference, and we treat that as something to estimate rather than assume.</w:t>
      </w:r>
    </w:p>
    <w:p>
      <w:pPr>
        <w:pStyle w:val="Heading2"/>
        <w:spacing w:after="120" w:before="280"/>
      </w:pPr>
      <w:r>
        <w:rPr>
          <w:rFonts w:ascii="Times New Roman" w:cs="Times New Roman" w:eastAsia="Times New Roman" w:hAnsi="Times New Roman"/>
          <w:b/>
          <w:bCs/>
          <w:color w:val="1F4E79"/>
          <w:sz w:val="24"/>
          <w:szCs w:val="24"/>
        </w:rPr>
        <w:t xml:space="preserve">2.3 What uncertainty measures do not identify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Models are partly able to judge whether they know an answer (Kadavath et al., 2022), and semantic entropy detects one class of hallucinations (Kuhn, Gal, &amp; Farquhar, 2023; Farquhar et al., 2024). Failure taxonomies, for their part, classify specification faults, inter-agent misalignment, and weak verification after the fact (Cemri et al., 2025). We use token entropy as an indicator but do not treat it as a decision state. Entropy describes concentration; it does not say whether the concentrated mass sits on task value. A greedy loop and a correct greedy solution can have similar entropy. Teff is the quantity that tells them apart, and only relative to a reference that was not used to generate the choices. If Teff is estimated from the same logits that produced the sample, it recovers the nominal temperature by construction and carries no information.</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3. Constructs and Propositions</w:t>
      </w:r>
    </w:p>
    <w:p>
      <w:pPr>
        <w:pStyle w:val="Heading2"/>
        <w:spacing w:after="120" w:before="280"/>
      </w:pPr>
      <w:r>
        <w:rPr>
          <w:rFonts w:ascii="Times New Roman" w:cs="Times New Roman" w:eastAsia="Times New Roman" w:hAnsi="Times New Roman"/>
          <w:b/>
          <w:bCs/>
          <w:color w:val="1F4E79"/>
          <w:sz w:val="24"/>
          <w:szCs w:val="24"/>
        </w:rPr>
        <w:t xml:space="preserve">3.1 Effective decision temperature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1 defines four constructs. We do not treat contagion as a construct in this note, because it follows from coupling. Section 5 discusses it as an implication, not as a measured object.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cantSplit/>
          <w:tblHeader/>
        </w:trPr>
        <w:tc>
          <w:tcPr>
            <w:tcW w:type="dxa" w:w="22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Construct</w:t>
            </w:r>
          </w:p>
        </w:tc>
        <w:tc>
          <w:tcPr>
            <w:tcW w:type="dxa" w:w="36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Definition</w:t>
            </w:r>
          </w:p>
        </w:tc>
        <w:tc>
          <w:tcPr>
            <w:tcW w:type="dxa" w:w="34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Indicator</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Contextual pressure</w:t>
            </w:r>
          </w:p>
        </w:tc>
        <w:tc>
          <w:tcPr>
            <w:tcW w:type="dxa" w:w="36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Inputs impose mutually unsatisfiable demands, penalties, or constraints.</w:t>
            </w:r>
          </w:p>
        </w:tc>
        <w:tc>
          <w:tcPr>
            <w:tcW w:type="dxa" w:w="34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Count or rating of contradictions in the prompt, fixed before output.</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Content contamination</w:t>
            </w:r>
          </w:p>
        </w:tc>
        <w:tc>
          <w:tcPr>
            <w:tcW w:type="dxa" w:w="36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Negatively valenced or defensive content in the current context, or, separately, in the weights.</w:t>
            </w:r>
          </w:p>
        </w:tc>
        <w:tc>
          <w:tcPr>
            <w:tcW w:type="dxa" w:w="34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Share of such content; for weights, distance from a reference model. Not an affective state.</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Effective decision temperature (Teff)</w:t>
            </w:r>
          </w:p>
        </w:tc>
        <w:tc>
          <w:tcPr>
            <w:tcW w:type="dxa" w:w="36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Temperature at which observed tokens are best explained by a clean-context reference valuation.</w:t>
            </w:r>
          </w:p>
        </w:tc>
        <w:tc>
          <w:tcPr>
            <w:tcW w:type="dxa" w:w="34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Maximum-likelihood T given reference logits vt. Report with the log-likelihood of the fit.</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Agent instability</w:t>
            </w:r>
          </w:p>
        </w:tc>
        <w:tc>
          <w:tcPr>
            <w:tcW w:type="dxa" w:w="36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Output leaves its functional band: rigid (low-entropy lock-in off the task) or chaotic (high-entropy incoherence).</w:t>
            </w:r>
          </w:p>
        </w:tc>
        <w:tc>
          <w:tcPr>
            <w:tcW w:type="dxa" w:w="34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Token entropy, repetition, lock-in to a planted token, coherence with the reference path.</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Content contamination replaces affective contamination. It refers to the valence of the content being processed, not to an internal emotion. Teff is identified only through a reference that is not the sampling distribution.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Formally,</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Teff = arg min over T of  − Σt log pref(yt | vt, T),</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(3)</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where yt is the token chosen at step t and pref is the softmax probability of that token when the model’s logits are replaced by a reference valuation vt. We define vt as the logits the same model produces at step t on the same task and history once the pressure and contamination text has been removed. This counterfactual is easy to build in an experiment and can be approximated in an instrumented deployment. Two alternatives answer different questions: the log-probabilities of an unmodified reference model isolate parameter-level change, and an external verifier isolates task value wherever a scoring rule exists. Under this definition, Teff departs from nominal T exactly when context changes valuations relative to the reference, and a functioning agent has Teff near the nominal temperature. Because Teff captures only scale, a poor log-likelihood means that no temperature rationalizes the choices, which is itself a signal about state.</w:t>
      </w:r>
    </w:p>
    <w:p>
      <w:pPr>
        <w:pStyle w:val="Heading2"/>
        <w:spacing w:after="120" w:before="280"/>
      </w:pPr>
      <w:r>
        <w:rPr>
          <w:rFonts w:ascii="Times New Roman" w:cs="Times New Roman" w:eastAsia="Times New Roman" w:hAnsi="Times New Roman"/>
          <w:b/>
          <w:bCs/>
          <w:color w:val="1F4E79"/>
          <w:sz w:val="24"/>
          <w:szCs w:val="24"/>
        </w:rPr>
        <w:t xml:space="preserve">3.2 Propositions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Contextual pressure is a property of the input and is fixed before any output; instability is a property of the output. The proposition is therefore not true by definition. Contradictory demands leave no continuation that satisfies the whole context, so probability mass either piles onto a few locally attractive tokens or spreads across incompatible ones. Either way, choices follow the clean-context valuation less closely than the sampling temperature would imply.</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1. </w:t>
      </w:r>
      <w:r>
        <w:rPr>
          <w:rFonts w:ascii="Times New Roman" w:cs="Times New Roman" w:eastAsia="Times New Roman" w:hAnsi="Times New Roman"/>
          <w:b w:val="false"/>
          <w:bCs w:val="false"/>
          <w:i/>
          <w:iCs/>
          <w:smallCaps w:val="false"/>
          <w:color w:val="000000"/>
          <w:sz w:val="22"/>
          <w:szCs w:val="22"/>
        </w:rPr>
        <w:t xml:space="preserve">Contextual pressure increases agent instability by raising effective decision temperature above the nominal sampling temperature.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Bounded rationality does not imply that performance is always interior in temperature. An inverted-U appears only when three task conditions hold together. First, the agent can start on the correct path at low T, so accuracy is not already at the floor. Second, an early off-path token is written back into the context and warps the next logits. Third, the resulting attractor is sticky enough that greedy decoding cannot leave it, yet leaky enough that moderate noise can. With no attractor, a greedy agent that starts on-path stays on-path, and accuracy falls as T rises. If the attractor is too weak, low T absorbs the error; if it is too strong, mid-range T cannot recover. These regimes are the proposition.</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2. </w:t>
      </w:r>
      <w:r>
        <w:rPr>
          <w:rFonts w:ascii="Times New Roman" w:cs="Times New Roman" w:eastAsia="Times New Roman" w:hAnsi="Times New Roman"/>
          <w:b w:val="false"/>
          <w:bCs w:val="false"/>
          <w:i/>
          <w:iCs/>
          <w:smallCaps w:val="false"/>
          <w:color w:val="000000"/>
          <w:sz w:val="22"/>
          <w:szCs w:val="22"/>
        </w:rPr>
        <w:t xml:space="preserve">On compounding tasks that the agent can solve, and only when an off-path attractor is sticky at low T and escapable at moderate T, the relationship between nominal temperature and task performance is inverted-U shaped. Absent an attractor, or given an attractor that is too weak or too strong, accuracy does not have an interior peak. Teff and rigidity can still move.</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2. Boundary regimes for Proposition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cantSplit/>
          <w:tblHeader/>
        </w:trPr>
        <w:tc>
          <w:tcPr>
            <w:tcW w:type="dxa" w:w="2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Regime</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Starts on-path?</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Attractor</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 vs. T</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 attractor</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None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Monotone decline</w:t>
            </w:r>
          </w:p>
        </w:tc>
      </w:tr>
      <w:tr>
        <w:trPr>
          <w:cantSplit/>
          <w:tblHeader w:val="false"/>
        </w:trPr>
        <w:tc>
          <w:tcPr>
            <w:tcW w:type="dxa" w:w="21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Weak</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Absorbed at low T</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Near-monotone; error repaired</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Sticky, escapable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Locks at low T, leaks at mid T</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Inverted-U</w:t>
            </w:r>
          </w:p>
        </w:tc>
      </w:tr>
      <w:tr>
        <w:trPr>
          <w:cantSplit/>
          <w:tblHeader w:val="false"/>
        </w:trPr>
        <w:tc>
          <w:tcPr>
            <w:tcW w:type="dxa" w:w="21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Too strong</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then knocked off</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Locks across mid T</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Floor; no interior peak</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Unsolvable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Irrelevant</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Accuracy uninformative</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The inverted-U is the third row, not the default. We state Proposition 2 with these regimes built in rather than qualifying it after a failed test.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Negative content changes which continuations look locally attractive. On its own it can tilt phrasing without collapsing the policy. Under pressure, though, that tilt supplies the dominant token onto which a narrowing distribution can lock. We would expect the interaction to be stronger when the contaminated content is close to a dominant token (a repeated letter, a refusal, an apology) than when it is diffuse sentiment.</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3. </w:t>
      </w:r>
      <w:r>
        <w:rPr>
          <w:rFonts w:ascii="Times New Roman" w:cs="Times New Roman" w:eastAsia="Times New Roman" w:hAnsi="Times New Roman"/>
          <w:b w:val="false"/>
          <w:bCs w:val="false"/>
          <w:i/>
          <w:iCs/>
          <w:smallCaps w:val="false"/>
          <w:color w:val="000000"/>
          <w:sz w:val="22"/>
          <w:szCs w:val="22"/>
        </w:rPr>
        <w:t xml:space="preserve">Content contamination strengthens the effect of contextual pressure on instability. The strengthening is greater when the contaminated content is close to a dominant response than when it is diffuse negative valence.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source of the distortion determines whether an intervention can work. Context-level contamination is a property of what the agent is reading, so clearing the window or reframing the request changes that reading and should bring Teff back toward the clean-context reference. Parameter-level contamination is a property of the weights. There the same linguistic intervention changes only the prompt, not the valuation that the prompt is projected onto.</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4. </w:t>
      </w:r>
      <w:r>
        <w:rPr>
          <w:rFonts w:ascii="Times New Roman" w:cs="Times New Roman" w:eastAsia="Times New Roman" w:hAnsi="Times New Roman"/>
          <w:b w:val="false"/>
          <w:bCs w:val="false"/>
          <w:i/>
          <w:iCs/>
          <w:smallCaps w:val="false"/>
          <w:color w:val="000000"/>
          <w:sz w:val="22"/>
          <w:szCs w:val="22"/>
        </w:rPr>
        <w:t xml:space="preserve">Instability from context-level contamination is reduced by a context reset or a reframe. Instability from parameter-level contamination persists after both and requires a change in weights.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We state no propositions on early-warning autocorrelation, network contagion, circuit breakers, or the organizational cost of state-contingent delegation, since each would need a design that this note does not run. Section 5 records them as implications that inherit the identification conditions above.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4. Measurement Illustration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identity between softmax sampling and the logit rule makes the constructs computable, but it does not turn a synthetic agent into a test of the theory. We report five stages. Stage 1 implements the choice rule on logits we specify ourselves, so that the indicators can be read off a known process. Stage 2 applies the same measurement rule to HuggingFaceTB/SmolLM2-135M-Instruct, run in full precision on a CPU machine with no GPU and 1.9 GB of RAM, which ruled out larger models. Stage 3 repeats the test on Qwen2.5-3B-Instruct, run in bfloat16 on a different CPU machine with 15 GB of RAM, on a task that this model solves, to see whether the inverted-U of Proposition 2 appears when the agent starts on-path. Stage 1 shows that the indicators register distortions built into the logits. Stage 2 shows that they can be computed from real log-probabilities and that they separate under pressure, and that no inverted-U appears on the small model. Stage 3 shows an inverted-U on the larger model for attractors of intermediate strength. Stage 4 repeats Stage 3 on a 7B model with a different inference stack, and Stage 5 repeats it on a different model family. None of the stages confirms the propositions as general claims.</w:t>
      </w:r>
    </w:p>
    <w:p>
      <w:pPr>
        <w:pStyle w:val="Heading2"/>
        <w:spacing w:after="120" w:before="280"/>
      </w:pPr>
      <w:r>
        <w:rPr>
          <w:rFonts w:ascii="Times New Roman" w:cs="Times New Roman" w:eastAsia="Times New Roman" w:hAnsi="Times New Roman"/>
          <w:b/>
          <w:bCs/>
          <w:color w:val="1F4E79"/>
          <w:sz w:val="24"/>
          <w:szCs w:val="24"/>
        </w:rPr>
        <w:t xml:space="preserve">4.1 Stage 1: known logits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 16-action softmax agent followed P(i) = softmax(z / T). Task utilities favored a five-step cycle. Pressure added a mutually unsatisfiable second cycle, and contamination lifted defensive tokens and reinforced them once chosen. At step 2 we injected a one-step false premise, and each chosen action became the next state. The design crossed pressure, contamination, and twelve temperatures from 0.15 to 3.00, with 50 replications of a 24-step horizon (N = 2,400). Teff used the uncontaminated task utilities as the reference. The directional gaps in Table 3 follow from the design, so we report no significance tests. What is informative is how far Teff separates from nominal T and the task condition under which an inverted-U appears.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3. Synthetic agent at nominal T = 0.93 (50 replications).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rPr>
          <w:cantSplit/>
          <w:tblHeader/>
        </w:trPr>
        <w:tc>
          <w:tcPr>
            <w:tcW w:type="dxa" w:w="2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P(instability)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Entropy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r>
      <w:tr>
        <w:trPr>
          <w:cantSplit/>
          <w:tblHeader w:val="false"/>
        </w:trPr>
        <w:tc>
          <w:tcPr>
            <w:tcW w:type="dxa" w:w="2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clean</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0.97</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0.89</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0.91</w:t>
            </w:r>
          </w:p>
        </w:tc>
      </w:tr>
      <w:tr>
        <w:trPr>
          <w:cantSplit/>
          <w:tblHeader w:val="false"/>
        </w:trPr>
        <w:tc>
          <w:tcPr>
            <w:tcW w:type="dxa" w:w="28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contaminated</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0.90</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1.14</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1.06</w:t>
            </w:r>
          </w:p>
        </w:tc>
      </w:tr>
      <w:tr>
        <w:trPr>
          <w:cantSplit/>
          <w:tblHeader w:val="false"/>
        </w:trPr>
        <w:tc>
          <w:tcPr>
            <w:tcW w:type="dxa" w:w="2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clean</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1.48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2.49</w:t>
            </w:r>
          </w:p>
        </w:tc>
      </w:tr>
      <w:tr>
        <w:trPr>
          <w:cantSplit/>
          <w:tblHeader w:val="false"/>
        </w:trPr>
        <w:tc>
          <w:tcPr>
            <w:tcW w:type="dxa" w:w="28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contaminated</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0.58</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1.61</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3.37</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Instability flags low entropy with poor coherence or repetition, or high entropy with poor coherence. The gaps follow from the design.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In the neutral, uncontaminated cell, accuracy is essentially perfect at low T and declines as T rises. No inverted-U appears, because a greedy agent that starts on-path has nothing to escape. Under joint pressure and contamination, accuracy is 0.18 at T = 0.15, rises to 0.37 at T = 0.67, and falls toward chance at high T. This is the third row of Table 2, and it appears because we specified the attractor to be sticky at low T and leaky at mid T. With neutral, clean prompts, Teff tracks nominal T. When pressure and contamination warp the logits away from task value, Teff lies above the diagonal. The rise at the lowest nominal temperatures is the signature of rigid instability: the agent’s own distribution is concentrated, but on tokens the reference does not favor.</w:t>
      </w:r>
    </w:p>
    <w:p>
      <w:pPr>
        <w:pStyle w:val="Heading2"/>
        <w:spacing w:after="120" w:before="280"/>
      </w:pPr>
      <w:r>
        <w:rPr>
          <w:rFonts w:ascii="Times New Roman" w:cs="Times New Roman" w:eastAsia="Times New Roman" w:hAnsi="Times New Roman"/>
          <w:b/>
          <w:bCs/>
          <w:color w:val="1F4E79"/>
          <w:sz w:val="24"/>
          <w:szCs w:val="24"/>
        </w:rPr>
        <w:t xml:space="preserve">4.2 Stage 2: open-weight log-probabilities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asks whether entropy, Teff, and lock-in can be read from a pretrained model, and what a valid test of Proposition 2 would require of the task. For a fixed action set, we read next-token log-probabilities z and sample from softmax(z / T). Teff is the maximum-likelihood temperature that rationalizes the observed sequence when the reference is the same model’s clean-context scores, with the pressure and contamination text removed. Estimating Teff from the sampling logits would recover only nominal 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4. Open-weight experiments. All runs use SmolLM2-135M-Instruct.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87"/>
        <w:gridCol w:w="2387"/>
        <w:gridCol w:w="2386"/>
      </w:tblGrid>
      <w:tr>
        <w:trPr>
          <w:cantSplit/>
          <w:tblHeader/>
        </w:trPr>
        <w:tc>
          <w:tcPr>
            <w:tcW w:type="dxa" w:w="22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Item</w:t>
            </w:r>
          </w:p>
        </w:tc>
        <w:tc>
          <w:tcPr>
            <w:tcW w:type="dxa" w:w="2387"/>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1</w:t>
            </w:r>
          </w:p>
        </w:tc>
        <w:tc>
          <w:tcPr>
            <w:tcW w:type="dxa" w:w="2387"/>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2</w:t>
            </w:r>
          </w:p>
        </w:tc>
        <w:tc>
          <w:tcPr>
            <w:tcW w:type="dxa" w:w="2386"/>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3</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Task</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16-action order policy</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Sequence A B C → D E F G H</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Same as Experiment 2</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Solvable at low T?</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(clean acc ≈ 0.10)</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(clean acc = 1.00)</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X absorbed</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Trajectories</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144 (two cells missing)</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480</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240</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Planted token</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Out-of-stock note</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 at step 2, warped cells</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X at step 2, all compounding runs</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Accuracy inverted-U</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(floor)</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(no recovery)</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(X too weak)</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Teff separation</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Partial</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Large</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Large</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Low-T rigidity</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Partial</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lock-in to A = 1.00 under pressure</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lock-in to A = 0.98 under pressure</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Experiment 1 is a measurement check only. Accuracy cannot identify Proposition 2 on a task the model does not solve.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1 mapped a fulfillment policy onto letter codes. The 135M model almost never carries out the policy when prompts are clean, so accuracy stays between 0.04 and 0.21. Under joint pressure and contamination, Teff still rises above nominal T (0.59 against T = 0.3; 2.82 against T = 1.0). Since the model never starts on-path, Proposition 2 should not be read from this series; it falls in the last row of Table 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2 uses raw continuation. The correct continuation of the prefix “Sequence A B C” is D E F G H, and a probe shows that D is the next-letter mode, so accuracy of 1.0 is possible at low T when prompts are clean. In the compounding condition, the sampled letter is written back into the prefix; in the non-compounding condition, the prefix is reset to the gold continuation after every step. Warped cells plant A at step 2. The design yields 4 × 2 × 6 × 10 = 480 trajectories.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5. Experiment 2, clean prompts. Compounding versus non-compounding.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Comp. accuracy</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Non-comp. accuracy</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Comp. Teff</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Non-comp. Teff</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0.72</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1.65</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0.21</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0.84</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3.01</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1.24</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5.18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4.35</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Clean accuracy declines with T. Compounding falls faster, because one off-path letter warps the next logits. No inverted-U appears.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6. Experiment 2, compounding, at T = 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72"/>
        <w:gridCol w:w="1372"/>
        <w:gridCol w:w="1372"/>
        <w:gridCol w:w="1372"/>
        <w:gridCol w:w="1372"/>
      </w:tblGrid>
      <w:tr>
        <w:trPr>
          <w:cantSplit/>
          <w:tblHeader/>
        </w:trPr>
        <w:tc>
          <w:tcPr>
            <w:tcW w:type="dxa" w:w="25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 to A</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5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clean</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−0.10</w:t>
            </w:r>
          </w:p>
        </w:tc>
      </w:tr>
      <w:tr>
        <w:trPr>
          <w:cantSplit/>
          <w:tblHeader w:val="false"/>
        </w:trPr>
        <w:tc>
          <w:tcPr>
            <w:tcW w:type="dxa" w:w="25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clean</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3.02</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+2.87</w:t>
            </w:r>
          </w:p>
        </w:tc>
      </w:tr>
      <w:tr>
        <w:trPr>
          <w:cantSplit/>
          <w:tblHeader w:val="false"/>
        </w:trPr>
        <w:tc>
          <w:tcPr>
            <w:tcW w:type="dxa" w:w="25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contaminated</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3.59</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+3.44</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Pressure collapses low-T trajectories onto a repeated letter and detaches Teff from nominal T. Mid-range T does not return to D E F G H, so the A attractor is too strong for the third row of Proposition 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3 plants X rather than A on every compounding trajectory. It also drops a line that told the model to repeat A, so that lock-in can be attributed to the premise and the pressure prompt. N = 240. In the clean condition, X is absorbed at low T, because the next-letter mode after “Sequence A B C X” is still D. Accuracy of 1.00 at T = 0.15 falls to 0.76 at T = 0.80 and 0.14 at T = 2.00. A small rebound from T = 0.40 (0.68) to T = 0.80 (0.76) is noise at n = 10. Under the pressure prompt, low T collapses onto A even after X is planted (lock-in = 0.98), and Teff − T at T = 0.15 is +3.82. Mid-range T does not recover. X corresponds to the weak-attractor row of Table 2, and A plus pressure to the too-strong row. Neither is the inverted-U row.</w:t>
      </w:r>
    </w:p>
    <w:p>
      <w:pPr>
        <w:pStyle w:val="Heading2"/>
        <w:spacing w:after="120" w:before="280"/>
      </w:pPr>
      <w:r>
        <w:rPr>
          <w:rFonts w:ascii="Times New Roman" w:cs="Times New Roman" w:eastAsia="Times New Roman" w:hAnsi="Times New Roman"/>
          <w:b/>
          <w:bCs/>
          <w:color w:val="1F4E79"/>
          <w:sz w:val="24"/>
          <w:szCs w:val="24"/>
        </w:rPr>
        <w:t xml:space="preserve">4.3 Stage 3: a 3B model on a solvable multi-step task</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left one prediction untested, because the 135M model either never started on-path or met an attractor of the wrong strength. Stage 3 addresses that gap with Qwen2.5-3B-Instruct. The task is again alphabet continuation, which this model completes without error when the prompt is clean: in the unplanted condition accuracy is 1.00 at every temperature up to T = 3.0 (40 to 60 trajectories per cell). The agent writes the alphabet one letter at a time, choosing each next letter from the 26 candidate tokens, and the sampled letter is written back into the context. After “A B” we plant the letter B m more times (m = 0, 2, 3, 4, 6) as an off-path attractor of graded strength, and the agent then chooses six further letters. A step is locally correct when the chosen letter is the alphabetical successor of the letter before it, and a trajectory is strictly correct only if it returns to C D E F G H. Lock-in is the share of steps that repeat the planted letter. Each clean-prompt cell in Table 7 uses 100 trajectories. We chose the ranges of m and T after a short probe of the model’s next-letter distribution, so the results below are exploratory and not pre-registered.</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7. Stage 3, Qwen2.5-3B-Instruct, clean prompt: locally correct accuracy by nominal T and attractor strength m (100 trajectories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90"/>
        <w:gridCol w:w="1890"/>
        <w:gridCol w:w="1890"/>
        <w:gridCol w:w="1890"/>
      </w:tblGrid>
      <w:tr>
        <w:trPr>
          <w:cantSplit/>
          <w:tblHeader/>
        </w:trPr>
        <w:tc>
          <w:tcPr>
            <w:tcW w:type="dxa" w:w="1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Nominal T</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2</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3</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4</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6</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0.14</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0.37</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0.42</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0.46</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0.29</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regimes of Table 2 appear in order of attractor strength. With m = 2 the error is absorbed at low T (accuracy 1.00 at T = 0.15), and accuracy then falls monotonically to 0.19 at T = 5.0. With m = 3 and m = 4 the model repeats the planted letter in every trajectory at T = 0.15 (lock-in 1.00, accuracy 0.00), accuracy rises to 0.45 at T = 2.0, and it then declines to 0.13 and 0.14 at T = 5.0. That is an inverted-U. With m = 6 the lock persists to higher temperature (accuracy 0.02 at T = 0.8 and 0.14 at T = 1.2), and the peak moves to T = 2.5 (0.42). Taking the cell standard errors at face value, the peak exceeds both the T = 0.15 cell and the T = 5.0 cell by more than seven standard errors for each of m = 3, 4, and 6, although these comparisons are not adjusted for having picked the peak after the fact. Two details qualify the picture. The peak lies at T ≈ 2 to 2.5, above the T ≈ 0.8 to 1.2 range we had expected. And strict recovery never exceeds 0.19 for m ≥ 3, because an agent that escapes the repeated letter at moderate T often lands on a different wrong letter.</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8 turns to Teff and to the pressure and contamination manipulations at m = 3. In the clean-prompt cells Teff tracks nominal T (2.04 at T = 2.0, 2.88 at T = 3.0), as it must when the reference and the sampling logits coincide. It is not identified at low T, where the reference puts almost all of its mass on one token, and the estimate then sits at the lower edge of the search grid (0.02). The pressure prompt moves the same agent to a Teff of 2.3 to 2.5 at T = 0.4 and T = 1.2, which is about 1.9 to 2.0 and 1.2 to 1.3 above nominal T, and the lift shrinks as T rises (+0.15 for pressure alone and +1.20 for pressure with contamination at T = 3.0). Pressure also changes the form of the failure. Lock-in on the planted letter falls from 0.96 to 0.06 at T = 0.4, but strict recovery is 0.00 in every pressure cell, and the agent now cycles back to earlier letters (repetition 0.31 to 0.43 at T = 0.4). Local accuracy therefore rises under pressure (0.53 against 0.04 at T = 0.4) while the output stays off the task path, which is a reason to report Teff and strict recovery alongside accuracy. Without a planted error the pressure prompt did little: accuracy stays at 0.99 or 1.00 up to T = 0.8, and Teff is not identified at T = 0.15. On this model, then, pressure distorts the logits mainly once an off-path token is already in the context.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8. Stage 3, planted attractor m = 3, by prompt condition (100 trajectories in clean cells, 50 elsewhere).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cantSplit/>
          <w:tblHeader/>
        </w:trPr>
        <w:tc>
          <w:tcPr>
            <w:tcW w:type="dxa" w:w="27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Strict</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2.36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+1.96</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−0.09</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2.29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+1.89</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1.11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−0.09</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2.50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+1.30</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2.88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−0.12</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3.15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3.33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4.20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+1.20</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Acc. is locally correct accuracy; Strict is the share of trajectories that return to C D E F G H. A Teff of 0.02 is the lower edge of the search grid and means the temperature is not identified.</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Contamination alone changes nothing measurable here. Teff − T is −0.09 at T = 0.4 and T = 1.2, and the trajectories lock as they do in the clean cells. Adding contamination to pressure lowers lock-in (0.00 to 0.02 against 0.06 to 0.08) and leaves Teff similar at T = 0.4 and T = 1.2 (2.29 and 2.50 against 2.36 and 2.43). It raises Teff only at T = 3.0 (4.20 against 3.15). Proposition 3 therefore receives no support on this model. Our contaminated text is diffuse negative sentiment, which is the case Proposition 3 says should be weak, and we did not build the near-token case.</w:t>
      </w:r>
    </w:p>
    <w:p>
      <w:pPr>
        <w:pStyle w:val="Heading2"/>
        <w:spacing w:after="120" w:before="280"/>
      </w:pPr>
      <w:r>
        <w:rPr>
          <w:rFonts w:ascii="Times New Roman" w:cs="Times New Roman" w:eastAsia="Times New Roman" w:hAnsi="Times New Roman"/>
          <w:b/>
          <w:bCs/>
          <w:color w:val="1F4E79"/>
          <w:sz w:val="24"/>
          <w:szCs w:val="24"/>
        </w:rPr>
        <w:t xml:space="preserve">4.4 Stage 4: replication on a 7B model</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4 repeats Stage 3 on Qwen2.5-7B-Instruct, run as an 8-bit quantized GGUF (Q8_0) in llama.cpp on the same CPU machine, with the same task, prompts, and measures. The change of inference stack and the quantization mean that differences from the 3B model should not be attributed to model size alone. The 7B model holds on to the planted letter more strongly, so that m = 2 already locks the agent at low T, and we therefore use m = 1, 2, 3, and 4. Cells use 60 trajectories for T ≤ 2.0 and 40 above (Table 9), and 30 in the unplanted condition, where accuracy is 1.00 at T = 0.15, 1.2, and 3.0.</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9. Stage 4, Qwen2.5-7B-Instruct (Q8_0), clean prompt: locally correct accuracy by nominal T and attractor strength m (60 trajectories per cell for T ≤ 2.0, 40 for T ≥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90"/>
        <w:gridCol w:w="1890"/>
        <w:gridCol w:w="1890"/>
        <w:gridCol w:w="1890"/>
      </w:tblGrid>
      <w:tr>
        <w:trPr>
          <w:cantSplit/>
          <w:tblHeader/>
        </w:trPr>
        <w:tc>
          <w:tcPr>
            <w:tcW w:type="dxa" w:w="1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Nominal T</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1</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2</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3</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4</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0.16</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0.01</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0.17</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0.19</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0.16</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same regimes appear one step lower in m. With m = 1 the error is absorbed at low T, and accuracy declines monotonically from 1.00 to 0.28 at T = 5.0. With m = 2 and m = 3 the agent locks in at low T (accuracy 0.00 at T = 0.15), accuracy rises to 0.48 and 0.39 at T = 2.5, and it falls to 0.13 and 0.18 at T = 5.0, which is an inverted-U. The peak exceeds the T = 0.15 cell by more than six standard errors for both, and the T = 5.0 cell by about five (m = 2) and three (m = 3), without adjustment for choosing the peak after the fact. With m = 4 the lock is too strong for the sampled range: accuracy stays between 0.16 and 0.19 from T = 2.0 to T = 5.0 and shows no interior peak. Strict recovery for m ≥ 2 never exceeds 0.20. The 7B model therefore reproduces the weak, sticky-and-escapable, and too-strong rows of Table 2 within a single model, and the peak again lies at T ≈ 2 to 2.5, above the range we had expected.</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10 gives the pressure and contamination cells at m = 2 (30 trajectories each). Pressure lifts Teff to 3.4 at T = 0.8 and 3.6 at T = 2.0, which is 2.6 and 1.6 above nominal T, as on the 3B model. It also removes the lock-in (0.07 and 0.17 against 0.98 and 0.43 in the clean cells) without producing recovery: strict recovery is 0.07 and 0.00, and the agent cycles through earlier letters (repetition 0.51 and 0.35). Contamination alone leaves Teff at nominal T (−0.04 and −0.33 above it) and does not change the lock at T = 0.8 (0.93), but at T = 2.0 it makes the lock stickier (lock-in 0.72 against 0.43, accuracy 0.24 against 0.47). That is one cell of 30 trajectories, and the contaminated text is diffuse sentiment, so we do not read it as support for Proposition 3. Pressure with contamination behaves like pressure alone at T = 0.8 (Teff − T = +2.44), and at T = 2.0 gives Teff − T = +1.74 with strict recovery of 0.00.</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10. Stage 4, planted attractor m = 2, by prompt condition (clean cells: 60 trajectories; others: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cantSplit/>
          <w:tblHeader/>
        </w:trPr>
        <w:tc>
          <w:tcPr>
            <w:tcW w:type="dxa" w:w="27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Strict</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3.43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+2.63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3.24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2.04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3.63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3.74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+1.74</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As Table 8. Teff of 0.02 is the lower edge of the search grid.</w:t>
      </w:r>
    </w:p>
    <w:p>
      <w:pPr>
        <w:pStyle w:val="Heading2"/>
        <w:spacing w:after="120" w:before="280"/>
      </w:pPr>
      <w:r>
        <w:rPr>
          <w:rFonts w:ascii="Times New Roman" w:cs="Times New Roman" w:eastAsia="Times New Roman" w:hAnsi="Times New Roman"/>
          <w:b/>
          <w:bCs/>
          <w:color w:val="1F4E79"/>
          <w:sz w:val="24"/>
          <w:szCs w:val="24"/>
        </w:rPr>
        <w:t xml:space="preserve">4.5 Stage 5: a different model family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5 uses a different model family, Llama-3.2-3B-Instruct, in bfloat16 with the same pipeline as Stage 3. The model also solves the task: in the unplanted condition accuracy is 1.00 at T = 0.15 and T = 1.2 and 0.97 at T = 3.0 (30 trajectories each). It resists a short planted run, however. In a probe, even eight planted copies of B left the greedy continuation correct, so the attractors needed are much longer, and we use m = 24, 32, 48, and 64 (60 trajectories per cell for T ≤ 2.0 and 40 above, Table 11).</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11. Stage 5, Llama-3.2-3B-Instruct, clean prompt: locally correct accuracy by nominal T and attractor strength m (60 trajectories per cell for T ≤ 2.0, 40 for T ≥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90"/>
        <w:gridCol w:w="1890"/>
        <w:gridCol w:w="1890"/>
        <w:gridCol w:w="1890"/>
      </w:tblGrid>
      <w:tr>
        <w:trPr>
          <w:cantSplit/>
          <w:tblHeader/>
        </w:trPr>
        <w:tc>
          <w:tcPr>
            <w:tcW w:type="dxa" w:w="1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Nominal T</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24</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32</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48</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64</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0.26</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0.27</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0.29</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0.23</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0.12</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Accuracy rises with T from its low-temperature value and then falls for all four values of m, so an inverted-U appears (Table 11), but the mechanism differs from the Qwen runs. At m = 48 and 64 the agent repeats the planted letter in nearly every trajectory at T = 0.15 (lock-in 0.99 and 1.00, accuracy 0.00), accuracy peaks at 0.38 (T = 2.0) and 0.33 (T = 2.5), and it falls to 0.07 and 0.12 at T = 5.0. At m = 24 and 32 the model leaves the planted letter at low T but then repeats the next letter instead (repetition 0.83 and 0.81, accuracy 0.17 and 0.19 at T = 0.15). The lock is therefore a general repetition habit and not attachment to the planted token. These cells also peak, at 0.33 and 0.34 (T = 2.0). Strict recovery is at most 0.03 in every clean-prompt planted cell, and no peak accuracy reaches 0.40.</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Pressure did not raise Teff on this model (Table 12, m = 48). At T = 0.8, Teff − T is −0.40 under pressure, −0.36 under contamination, and −0.35 under both, against −0.08 in the clean cell, while lock-in rises from 0.59 to 0.83 to 0.84. The choices are therefore more concentrated than nominal T implies, which is the opposite sign to the lift on the Qwen models. At T = 2.0 Teff stays within 0.3 of nominal T in every condition, and accuracy is 0.23 to 0.32 against 0.38 clean. Proposition 1 as stated, a rise of Teff above nominal T under pressure, is thus not general across model families, and contamination again shows no Teff effect.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12. Stage 5, planted attractor m = 48, by prompt condition (clean cells: 60 trajectories; others: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cantSplit/>
          <w:tblHeader/>
        </w:trPr>
        <w:tc>
          <w:tcPr>
            <w:tcW w:type="dxa" w:w="27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Strict</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−0.40</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−0.36</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0.8,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2.04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1.87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2,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2.29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+0.29</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As Table 8. Teff − T below zero means the choices are more concentrated than the nominal temperature implies.</w:t>
      </w:r>
    </w:p>
    <w:p>
      <w:pPr>
        <w:pStyle w:val="Heading2"/>
        <w:spacing w:after="120" w:before="280"/>
      </w:pPr>
      <w:r>
        <w:rPr>
          <w:rFonts w:ascii="Times New Roman" w:cs="Times New Roman" w:eastAsia="Times New Roman" w:hAnsi="Times New Roman"/>
          <w:b/>
          <w:bCs/>
          <w:color w:val="1F4E79"/>
          <w:sz w:val="24"/>
          <w:szCs w:val="24"/>
        </w:rPr>
        <w:t xml:space="preserve">4.6 What the illustration identifies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Four statements are supported as measurement claims. First, Teff, entropy, repetition, and lock-in can be computed from synthetic choice probabilities and from the next-token log-probabilities of open-weight models, provided the reference is a clean context and not the sampling logits. Second, pressure lifts Teff above nominal T on the two Qwen models, by about 2 at low T. Third, on all three larger models an accuracy inverted-U in nominal temperature appears for planted attractors of intermediate strength (m = 3, 4, 6 on Qwen 3B; m = 2, 3 on Qwen 7B; m = 24 to 64 on Llama, through a repetition loop) and not for a weak attractor or for none, and the 7B model also shows the too-strong row at m = 4, which is the pattern Proposition 2 describes. Fourth, the separation of Teff from nominal T is large on alphabet continuation and only partial on the unsolvable order policy.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Three statements are not supported. Proposition 1 holds on the two Qwen models but not on Llama-3.2-3B, where pressure leaves Teff at or below nominal T, so the direction of the pressure effect depends on the model. Proposition 3 receives no support, because contamination leaves Teff near nominal T on all three larger models and changes lock-in only in one Qwen-7B cell. And the inverted-U is a conditional result: it is absent from the three 135M experiments, where the attractor was too weak or too strong, and its peak on the larger models sits at T ≈ 2 to 2.5, well above the usual decoding range. Accuracy at the peak is below 0.50 and strict recovery below 0.20, so no practitioner would choose such a temperature to repair a locked agent. The result supports the structure of the prediction, not a prescription. Teff is also weakly identified when the reference is saturated, which includes the clean cells at low T. The estimate then sits at the lower edge of the search grid, and the small clean values reported for the 135M model at T = 0.15 may reflect the same limit.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cell means rest on 8 to 10 replications and a horizon of 5 or 6 steps, so standard errors are large, and Experiment 1 is missing two high-T joint cells. Stages 3 and 4 use 30 to 100 replications per cell, but they cover four models from three families, one of them quantized, one task family, one prompt wording, and six-step horizons, and their peak comparisons are exploratory. Alphabet continuation sits close to the language-model prior. Nothing here is evidence about production agents, tool use, or organizations.</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5. Implication for Governance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If Teff and entropy can be observed, capability-based delegation is an incomplete rule. In the Baird and Maruping (2021) frame, rights and responsibilities are assigned on evidence that an agent can do a class of task. A task that was correctly delegated while Teff sat near the nominal temperature can be wrongly left with the same agent after pressure has lifted Teff and the trajectory has locked. State-contingent delegation makes the assignment a function of the observed state. When the agent leaves a pre-set band, the task is routed to another agent or returned to a named person, and the record of accountability moves with it.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This implication is not a finding. Relative to a fixed assignment, it reduces the cost of failure only under four conditions, none of which we observe. Oversight capacity must be able to absorb returned tasks at the rate alarms fire, or the rule simply becomes a queue. The task must still be reversible. The cost of an unstable continuation must exceed the cost of delay. And operators must treat state alarms as informative, not as noise they have learned to ignore (Parasuraman &amp; Riley, 1997). A dashboard that no one is authorized to act on leaves the coupling in place.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Three design claims follow, and they are mechanisms rather than evaluated artifacts (Gregor, Chandra Kruse, &amp; Seidel, 2020; Hevner, March, Park, &amp; Ram, 2004). State observability instruments raw-logit entropy and Teff against a clean-context reference, with bands estimated on tasks the agent can actually fail through early error. A state-triggered interruption pauses an agent that leaves its band and isolates its outputs from the next agent. It then remediates by reset if the context condition of Proposition 4 holds, or by rollback if the distortion is in the weights. State-contingent delegation routes the task and records who holds it. One practical caveat is that commercial APIs returning only top-token log-probabilities force entropy and Teff to be approximated on a truncated support. That is a boundary condition, not a minor implementation detail.</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 managers, the operational warning is narrower than a call to rebuild AI operations. Watching only nominal temperature, or only accuracy on a task the model cannot solve, hides rigidity. A monitor that reported Teff against a clean-context reference would have told a clean agent near 0.4 apart from a pressured agent near 2.4 at T = 0.4 on the 3B model. Coupling density, circuit breakers, and tacit collusion among rigid pricing agents (Calvano, Calzolari, Denicolò, &amp; Pastorello, 2020) are questions that inherit this measurement; it does not answer them.</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6. What Would Have to Be Shown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13 sets out the evaluation that the present illustration does not provide. We include it so that a null result on alphabet continuation is not read as evidence about organizations, and so that a later paper cannot treat the design claims as already tested.</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13. Tests required before the governance implication is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cantSplit/>
          <w:tblHeader/>
        </w:trPr>
        <w:tc>
          <w:tcPr>
            <w:tcW w:type="dxa" w:w="14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Claim</w:t>
            </w:r>
          </w:p>
        </w:tc>
        <w:tc>
          <w:tcPr>
            <w:tcW w:type="dxa" w:w="39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Required design</w:t>
            </w:r>
          </w:p>
        </w:tc>
        <w:tc>
          <w:tcPr>
            <w:tcW w:type="dxa" w:w="39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Status here</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P1, P3</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contamination grid on multi-step tasks a production-scale model can solve, with a pre-registered clean-context reference.</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lifts Teff on Qwen 3B and 7B but not on Llama-3.2-3B; P3 not supported. One task.</w:t>
            </w:r>
          </w:p>
        </w:tc>
      </w:tr>
      <w:tr>
        <w:trPr>
          <w:cantSplit/>
          <w:tblHeader w:val="false"/>
        </w:trPr>
        <w:tc>
          <w:tcPr>
            <w:tcW w:type="dxa" w:w="14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P2</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An attractor shown independently to lock at low T and to leak at moderate T, on a model that starts on-path, replicated across models and tasks.</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Inverted-U on Qwen 3B and 7B and on Llama-3.2-3B (peak at T ≈ 2 to 2.5); too-strong row on Qwen 7B; absent on 135M. Exploratory.</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P4</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Reset and reframe after context-level distortion; the same interventions after a weight change, against a reference model.</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 Only context-level text was manipulated.</w:t>
            </w:r>
          </w:p>
        </w:tc>
      </w:tr>
      <w:tr>
        <w:trPr>
          <w:cantSplit/>
          <w:tblHeader w:val="false"/>
        </w:trPr>
        <w:tc>
          <w:tcPr>
            <w:tcW w:type="dxa" w:w="14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Contagion</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Networks varying exposure through intermediate artifacts, shared context, and coupled tool state.</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Delegation</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State-contingent versus capability-based handoff, with oversight capacity and reversibility measured.</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 Stated as an implication with four conditions.</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first follow-up is to repeat Stages 3 to 5 on further model families and on unquantized larger models, with tasks beyond alphabet continuation and several prompt wordings and seeds, so that the location of the peak in T can be tested against bounds fixed in advance. The second is an attractor of the kind Proposition 3 names, a dominant token close to the contaminated content, which we did not construct. Generalization beyond autoregressive transformers, and beyond role-played resemblance to human breakdown, lies outside this note.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7. Conclusion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Delegating work to an LLM agent on evidence of capability assumes that the agent’s reliability is a stable property. Sampling temperature is the parameter operators set, but it is not the decision state. Because softmax sampling is a Gumbel random-utility choice, that state has a scale, and the scale can be estimated once a clean-context reference valuation is fixed. Effective decision temperature is that estimate. It tracks nominal temperature when context does not warp valuations, and it rises when pressure does, even when the agent’s own entropy is low because it has locked onto a repeated token.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 a synthetic agent, the indicators register the distortions that were built in, and an accuracy inverted-U appears only for an attractor tuned to be sticky and escapable. On SmolLM2-135M, the same measurement rule reads Teff from next-token log-probabilities, and pressure lifts Teff far above a nominal temperature of 0.15. A weak planted typo is absorbed and a strong planted letter is not escaped, so no inverted-U appears. On Qwen2.5-3B-Instruct and 7B-Instruct, which solve the task, planted attractors of intermediate strength do produce an inverted-U, with a peak near T = 2 to 2.5 and accuracy below 0.50 at the peak, while a weak attractor does not and, on the 7B model, a too-strong one gives no peak. Pressure raises Teff by about 2 at low temperature on the Qwen models but not on Llama-3.2-3B, where an inverted-U also appears through a repetition loop. Contamination has no clear effect on any model, so Proposition 3 is unsupported. The governance claim that follows, to delegate on the observed state and not only on capability, is an implication with four unmet conditions. What the measurement does support is narrower: the decoding temperature an operator sets is not the agent’s decision state.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References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Baird, A., &amp; Maruping, L. M. (2021). The next generation of research on IS use: A theoretical framework of delegation to and from agentic IS artifacts. MIS Quarterly, 45(1), 315–341.</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Berente, N., Gu, B., Recker, J., &amp; Santhanam, R. (2021). Managing artificial intelligence. MIS Quarterly, 45(3), 1433–1450.</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Calvano, E., Calzolari, G., Denicolò, V., &amp; Pastorello, S. (2020). Artificial intelligence, algorithmic pricing, and collusion. American Economic Review, 110(10), 3267–3297.</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Cemri, M., Pan, M. Z., Yang, S., et al. (2025). Why do multi-agent LLM systems fail? arXiv:2503.13657.</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Farquhar, S., Kossen, J., Kuhn, L., &amp; Gal, Y. (2024). Detecting hallucinations in large language models using semantic entropy. Nature, 630, 625–630.</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Gregor, S., Chandra Kruse, L., &amp; Seidel, S. (2020). Research perspectives: The anatomy of a design principle. Journal of the Association for Information Systems, 21(6), 1622–1652.</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Hevner, A. R., March, S. T., Park, J., &amp; Ram, S. (2004). Design science in information systems research. MIS Quarterly, 28(1), 75–105.</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Holtzman, A., Buys, J., Du, L., Forbes, M., &amp; Choi, Y. (2020). The curious case of neural text degeneration. Proceedings of the International Conference on Learning Representations.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Kadavath, S., Conerly, T., Askell, A., et al. (2022). Language models (mostly) know what they know. arXiv:2207.05221.</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Ketokivi, M., Mantere, S., &amp; Cornelissen, J. (2017). Reasoning by analogy and the progress of theory. Academy of Management Review, 42(4), 637–658.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Kuhn, L., Gal, Y., &amp; Farquhar, S. (2023). Semantic uncertainty: Linguistic invariances for uncertainty estimation in natural language generation. Proceedings of the International Conference on Learning Representations.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McFadden, D. (1974). Conditional logit analysis of qualitative choice behavior. In P. Zarembka (Ed.), Frontiers in econometrics (pp. 105–142). Academic Press.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McKelvey, R. D., &amp; Palfrey, T. R. (1995). Quantal response equilibria for normal form games. Games and Economic Behavior, 10(1), 6–38.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Parasuraman, R., &amp; Riley, V. (1997). Humans and automation: Use, misuse, disuse, abuse. Human Factors, 39(4), 230–253.</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Perrow, C. (1984). Normal accidents: Living with high-risk technologies. Basic Books.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Rafailov, R., Sharma, A., Mitchell, E., Ermon, S., Manning, C. D., &amp; Finn, C. (2023). Direct preference optimization: Your language model is secretly a reward model. Advances in Neural Information Processing Systems, 36.</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Shanahan, M., McDonell, K., &amp; Reynolds, L. (2023). Role play with large language models. Nature, 623, 493–498.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Simon, H. A. (1955). A behavioral model of rational choice. Quarterly Journal of Economics, 69(1), 99–118.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Staw, B. M., Sandelands, L. E., &amp; Dutton, J. E. (1981). Threat rigidity effects in organizational behavior: A multilevel analysis. Administrative Science Quarterly, 26(4), 501–524.</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Weick, K. E. (1993). The collapse of sensemaking in organizations: The Mann Gulch disaster. Administrative Science Quarterly, 38(4), 628–652.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6" w:space="1"/>
      </w:pBdr>
      <w:spacing w:before="80"/>
      <w:jc w:val="right"/>
    </w:pPr>
    <w:r>
      <w:rPr>
        <w:rFonts w:ascii="Times New Roman" w:cs="Times New Roman" w:eastAsia="Times New Roman" w:hAnsi="Times New Roman"/>
        <w:b w:val="false"/>
        <w:bCs w:val="false"/>
        <w:i/>
        <w:iCs/>
        <w:smallCaps w:val="false"/>
        <w:color w:val="666666"/>
        <w:sz w:val="16"/>
        <w:szCs w:val="16"/>
      </w:rPr>
      <w:t xml:space="preserve">Effective decision temperature  ·  </w:t>
    </w:r>
    <w:r>
      <w:rPr>
        <w:rFonts w:ascii="Times New Roman" w:cs="Times New Roman" w:eastAsia="Times New Roman" w:hAnsi="Times New Roman"/>
        <w:b w:val="false"/>
        <w:bCs w:val="false"/>
        <w:i w:val="false"/>
        <w:iCs w:val="false"/>
        <w:smallCaps w:val="false"/>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Times New Roman" w:cs="Times New Roman" w:eastAsia="Times New Roman" w:hAnsi="Times New Roman"/>
        <w:b w:val="false"/>
        <w:bCs w:val="false"/>
        <w:i/>
        <w:iCs/>
        <w:smallCaps w:val="false"/>
        <w:color w:val="1F4E79"/>
        <w:sz w:val="18"/>
        <w:szCs w:val="18"/>
      </w:rPr>
      <w:t xml:space="preserve">Information Systems Research</w:t>
    </w:r>
    <w:r>
      <w:rPr>
        <w:rFonts w:ascii="Times New Roman" w:cs="Times New Roman" w:eastAsia="Times New Roman" w:hAnsi="Times New Roman"/>
        <w:b w:val="false"/>
        <w:bCs w:val="false"/>
        <w:i w:val="false"/>
        <w:iCs w:val="false"/>
        <w:smallCaps w:val="false"/>
        <w:color w:val="666666"/>
        <w:sz w:val="18"/>
        <w:szCs w:val="18"/>
      </w:rPr>
      <w:t xml:space="preserve">   ·   Research Note   ·   double-anonymous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4E79"/>
      <w:sz w:val="26"/>
      <w:szCs w:val="26"/>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2026-10-04T22:44:59.432Z</dcterms:created>
  <dcterms:modified xsi:type="dcterms:W3CDTF">2026-10-04T22:44:59.432Z</dcterms:modified>
</cp:coreProperties>
</file>

<file path=docProps/custom.xml><?xml version="1.0" encoding="utf-8"?>
<Properties xmlns="http://schemas.openxmlformats.org/officeDocument/2006/custom-properties" xmlns:vt="http://schemas.openxmlformats.org/officeDocument/2006/docPropsVTypes"/>
</file>