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b w:val="0"/>
          <w:i w:val="0"/>
        </w:rPr>
        <w:t>[Date]</w:t>
      </w:r>
    </w:p>
    <w:p>
      <w:pPr>
        <w:spacing w:after="0" w:before="0"/>
      </w:pPr>
      <w:r>
        <w:rPr>
          <w:b w:val="0"/>
          <w:i w:val="0"/>
        </w:rPr>
        <w:t>The Editors</w:t>
      </w:r>
    </w:p>
    <w:p>
      <w:pPr>
        <w:spacing w:after="200" w:before="0"/>
      </w:pPr>
      <w:r>
        <w:rPr>
          <w:b w:val="0"/>
          <w:i/>
        </w:rPr>
        <w:t>Nature Machine Intelligence</w:t>
      </w:r>
    </w:p>
    <w:p>
      <w:pPr>
        <w:spacing w:after="200" w:before="0"/>
      </w:pPr>
      <w:r>
        <w:rPr>
          <w:b/>
          <w:i w:val="0"/>
        </w:rPr>
        <w:t>Manuscript: “Detecting machine-written scholarly text depends on the generator and on what authors know”</w:t>
      </w:r>
    </w:p>
    <w:p>
      <w:pPr>
        <w:spacing w:after="160" w:before="0"/>
      </w:pPr>
      <w:r>
        <w:rPr>
          <w:b w:val="0"/>
          <w:i w:val="0"/>
        </w:rPr>
        <w:t>Dear Editors,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We submit the manuscript above as an Article. It has not been published and is not under consideration elsewhere.</w:t>
      </w:r>
    </w:p>
    <w:p>
      <w:pPr>
        <w:keepNext/>
        <w:spacing w:line="276" w:lineRule="auto" w:after="80" w:before="160"/>
      </w:pPr>
      <w:r>
        <w:rPr>
          <w:b/>
          <w:i/>
        </w:rPr>
        <w:t>The question and the finding</w:t>
      </w:r>
    </w:p>
    <w:p>
      <w:pPr>
        <w:spacing w:line="312" w:lineRule="auto" w:after="80" w:before="0"/>
        <w:jc w:val="both"/>
      </w:pPr>
      <w:r>
        <w:rPr>
          <w:b w:val="0"/>
          <w:i w:val="0"/>
        </w:rPr>
        <w:t>Organizations that screen documents for machine authorship must decide how much to spend, yet detection research reports accuracy for one generator at a time, without base rates, costs or adaptive authors. We study cascaded screening, in which a free screen built from counts of small linguistic events decides which documents reach a costly language-model judge, using 474 human papers and papers from GPT-4o, Claude and Llama. Our main findings are:</w:t>
      </w:r>
    </w:p>
    <w:p>
      <w:pPr>
        <w:pStyle w:val="ListBullet"/>
        <w:spacing w:line="276" w:lineRule="auto"/>
      </w:pPr>
      <w:r>
        <w:rPr>
          <w:b w:val="0"/>
          <w:i w:val="0"/>
        </w:rPr>
        <w:t>Screens detect machine papers well only within a generator (AUC 0.99 within GPT-4o, 0.73 when trained on GPT-4o and tested on Claude, and near chance with human-only training).</w:t>
      </w:r>
    </w:p>
    <w:p>
      <w:pPr>
        <w:pStyle w:val="ListBullet"/>
        <w:spacing w:line="276" w:lineRule="auto"/>
      </w:pPr>
      <w:r>
        <w:rPr>
          <w:b w:val="0"/>
          <w:i w:val="0"/>
        </w:rPr>
        <w:t>A strong judge (Gemini 2.5 Pro, AUC 0.97 on two generators) almost completely misses a third generator (AUC 0.66; 1% of Claude papers flagged).</w:t>
      </w:r>
    </w:p>
    <w:p>
      <w:pPr>
        <w:pStyle w:val="ListBullet"/>
        <w:spacing w:line="276" w:lineRule="auto"/>
      </w:pPr>
      <w:r>
        <w:rPr>
          <w:b w:val="0"/>
          <w:i w:val="0"/>
        </w:rPr>
        <w:t>A cascade keeps most of the judge's detection at lower cost when machine papers are rare (savings up to 71% in illustrative cost settings), but depends on the screen.</w:t>
      </w:r>
    </w:p>
    <w:p>
      <w:pPr>
        <w:pStyle w:val="ListBullet"/>
        <w:spacing w:line="276" w:lineRule="auto"/>
      </w:pPr>
      <w:r>
        <w:rPr>
          <w:b w:val="0"/>
          <w:i w:val="0"/>
        </w:rPr>
        <w:t>A crude feature-aware edit cuts the screen's detection from 53% to 8% and weakens the cascade, whereas a generic LLM rewrite does not evade the screen, and neither attack fools the judge.</w:t>
      </w:r>
    </w:p>
    <w:p>
      <w:pPr>
        <w:keepNext/>
        <w:spacing w:line="276" w:lineRule="auto" w:after="80" w:before="160"/>
      </w:pPr>
      <w:r>
        <w:rPr>
          <w:b/>
          <w:i/>
        </w:rPr>
        <w:t>Why this is relevant to the journal's readers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The paper is about how to evaluate and deploy machine-text detectors, a question of growing consequence for research integrity. It shows that headline accuracy, reported for one generator without adversaries, can mislead decisions about deployment, and it offers a simple decision model that links detector performance to base rates, costs and author behaviour. We recognize that the paper combines empirical results with a decision model drawn from economics and that its empirical base is modest; we would welcome the editors' view on fit and are happy to send a pre-submission inquiry if that is more appropriate.</w:t>
      </w:r>
    </w:p>
    <w:p>
      <w:pPr>
        <w:keepNext/>
        <w:spacing w:line="276" w:lineRule="auto" w:after="80" w:before="160"/>
      </w:pPr>
      <w:r>
        <w:rPr>
          <w:b/>
          <w:i/>
        </w:rPr>
        <w:t>Limitations</w:t>
      </w:r>
    </w:p>
    <w:p>
      <w:pPr>
        <w:pStyle w:val="ListBullet"/>
        <w:spacing w:line="276" w:lineRule="auto"/>
      </w:pPr>
      <w:r>
        <w:rPr>
          <w:b w:val="0"/>
          <w:i w:val="0"/>
        </w:rPr>
        <w:t>Three generators, one genre (English-language scientific papers) and two judges; samples are modest and the judged subset is 500 documents.</w:t>
      </w:r>
    </w:p>
    <w:p>
      <w:pPr>
        <w:pStyle w:val="ListBullet"/>
        <w:spacing w:line="276" w:lineRule="auto"/>
      </w:pPr>
      <w:r>
        <w:rPr>
          <w:b w:val="0"/>
          <w:i w:val="0"/>
        </w:rPr>
        <w:t>We did not compare against other published detectors, embedding-based methods, or human reviewers, and the attacks are not the strongest conceivable.</w:t>
      </w:r>
    </w:p>
    <w:p>
      <w:pPr>
        <w:pStyle w:val="ListBullet"/>
        <w:spacing w:line="276" w:lineRule="auto"/>
      </w:pPr>
      <w:r>
        <w:rPr>
          <w:b w:val="0"/>
          <w:i w:val="0"/>
        </w:rPr>
        <w:t>Costs of review and of a missed paper, and the base rate, are assumed; cost results are structural illustrations.</w:t>
      </w:r>
    </w:p>
    <w:p>
      <w:pPr>
        <w:pStyle w:val="ListBullet"/>
        <w:spacing w:line="276" w:lineRule="auto"/>
      </w:pPr>
      <w:r>
        <w:rPr>
          <w:b w:val="0"/>
          <w:i w:val="0"/>
        </w:rPr>
        <w:t>The clustering model was designed after baseline results were seen; its confirmatory test uses one held-out generator.</w:t>
      </w:r>
    </w:p>
    <w:p>
      <w:pPr>
        <w:keepNext/>
        <w:spacing w:line="276" w:lineRule="auto" w:after="80" w:before="160"/>
      </w:pPr>
      <w:r>
        <w:rPr>
          <w:b/>
          <w:i/>
        </w:rPr>
        <w:t>Compliance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No human participants or personal data are involved. The prompts, generated papers and analysis code will be deposited in a public repository [DOI to be added]. The authors declare no competing interests [to be confirmed]. [State how generative AI tools were used in preparing the manuscript, code and analysis, as the journal's policy requires.] Suggested reviewers: [to be completed].</w:t>
      </w:r>
    </w:p>
    <w:p>
      <w:pPr>
        <w:spacing w:after="480" w:before="0"/>
      </w:pPr>
      <w:r>
        <w:rPr>
          <w:b w:val="0"/>
          <w:i w:val="0"/>
        </w:rPr>
        <w:t>Sincerely,</w:t>
      </w:r>
    </w:p>
    <w:p>
      <w:pPr>
        <w:spacing w:after="0" w:before="0"/>
      </w:pPr>
      <w:r>
        <w:rPr>
          <w:b w:val="0"/>
          <w:i w:val="0"/>
        </w:rPr>
        <w:t>[Corresponding author]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