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4"/>
          <w:szCs w:val="24"/>
        </w:rPr>
        <w:t xml:space="preserve">TITLE PAGE</w:t>
      </w:r>
    </w:p>
    <w:p>
      <w:pPr>
        <w:spacing w:after="360" w:line="360"/>
        <w:jc w:val="center"/>
      </w:pPr>
      <w:r>
        <w:rPr>
          <w:rFonts w:ascii="Times New Roman" w:cs="Times New Roman" w:eastAsia="Times New Roman" w:hAnsi="Times New Roman"/>
          <w:b/>
          <w:bCs/>
          <w:sz w:val="28"/>
          <w:szCs w:val="28"/>
        </w:rPr>
        <w:t xml:space="preserve">Cheap Code, Costly Choices: A Behavioral Economics Theory of Technical Debt Accumulation in LLM-Assisted Software Development</w:t>
      </w:r>
    </w:p>
    <w:p>
      <w:pPr>
        <w:spacing w:after="120" w:line="360"/>
        <w:jc w:val="center"/>
      </w:pPr>
      <w:r>
        <w:rPr>
          <w:rFonts w:ascii="Times New Roman" w:cs="Times New Roman" w:eastAsia="Times New Roman" w:hAnsi="Times New Roman"/>
          <w:sz w:val="24"/>
          <w:szCs w:val="24"/>
        </w:rPr>
        <w:t xml:space="preserve">[Author 1 name]¹, [Author 2 name]²</w:t>
      </w:r>
    </w:p>
    <w:p>
      <w:pPr>
        <w:spacing w:after="60" w:line="360"/>
        <w:jc w:val="center"/>
      </w:pPr>
      <w:r>
        <w:rPr>
          <w:rFonts w:ascii="Times New Roman" w:cs="Times New Roman" w:eastAsia="Times New Roman" w:hAnsi="Times New Roman"/>
          <w:sz w:val="22"/>
          <w:szCs w:val="22"/>
        </w:rPr>
        <w:t xml:space="preserve">¹ [Department, University, City, Country]</w:t>
      </w:r>
    </w:p>
    <w:p>
      <w:pPr>
        <w:spacing w:after="240" w:line="360"/>
        <w:jc w:val="center"/>
      </w:pPr>
      <w:r>
        <w:rPr>
          <w:rFonts w:ascii="Times New Roman" w:cs="Times New Roman" w:eastAsia="Times New Roman" w:hAnsi="Times New Roman"/>
          <w:sz w:val="22"/>
          <w:szCs w:val="22"/>
        </w:rPr>
        <w:t xml:space="preserve">² [Department, University, City, Country]</w:t>
      </w:r>
    </w:p>
    <w:p>
      <w:pPr>
        <w:spacing w:after="360" w:line="360"/>
        <w:jc w:val="center"/>
      </w:pPr>
      <w:r>
        <w:rPr>
          <w:rFonts w:ascii="Times New Roman" w:cs="Times New Roman" w:eastAsia="Times New Roman" w:hAnsi="Times New Roman"/>
          <w:sz w:val="22"/>
          <w:szCs w:val="22"/>
        </w:rPr>
        <w:t xml:space="preserve">Corresponding author: [Name], [e-mail address], [postal address]</w:t>
      </w:r>
    </w:p>
    <w:p>
      <w:pPr>
        <w:spacing w:after="60" w:line="360"/>
        <w:jc w:val="center"/>
      </w:pPr>
      <w:r>
        <w:rPr>
          <w:rFonts w:ascii="Times New Roman" w:cs="Times New Roman" w:eastAsia="Times New Roman" w:hAnsi="Times New Roman"/>
          <w:b/>
          <w:bCs/>
          <w:sz w:val="22"/>
          <w:szCs w:val="22"/>
        </w:rPr>
        <w:t xml:space="preserve">Declaration of generative AI and AI-assisted technologies in the writing process</w:t>
      </w:r>
    </w:p>
    <w:p>
      <w:pPr>
        <w:spacing w:after="240" w:line="360"/>
        <w:jc w:val="center"/>
      </w:pPr>
      <w:r>
        <w:rPr>
          <w:rFonts w:ascii="Times New Roman" w:cs="Times New Roman" w:eastAsia="Times New Roman" w:hAnsi="Times New Roman"/>
          <w:i/>
          <w:iCs/>
          <w:sz w:val="22"/>
          <w:szCs w:val="22"/>
        </w:rPr>
        <w:t xml:space="preserve">[Authors to complete. Elsevier requires a statement of any generative-AI use in manuscript preparation.]</w:t>
      </w:r>
    </w:p>
    <w:p>
      <w:pPr>
        <w:spacing w:after="60" w:line="360"/>
        <w:jc w:val="center"/>
      </w:pPr>
      <w:r>
        <w:rPr>
          <w:rFonts w:ascii="Times New Roman" w:cs="Times New Roman" w:eastAsia="Times New Roman" w:hAnsi="Times New Roman"/>
          <w:sz w:val="22"/>
          <w:szCs w:val="22"/>
        </w:rPr>
        <w:t xml:space="preserve">Declaration of competing interest: [Authors to complete]</w:t>
      </w:r>
    </w:p>
    <w:p>
      <w:pPr>
        <w:spacing w:after="60" w:line="360"/>
        <w:jc w:val="center"/>
      </w:pPr>
      <w:r>
        <w:rPr>
          <w:rFonts w:ascii="Times New Roman" w:cs="Times New Roman" w:eastAsia="Times New Roman" w:hAnsi="Times New Roman"/>
          <w:sz w:val="22"/>
          <w:szCs w:val="22"/>
        </w:rPr>
        <w:t xml:space="preserve">Funding: [Authors to complete]</w:t>
      </w:r>
    </w:p>
    <w:p>
      <w:r>
        <w:br w:type="page"/>
      </w:r>
    </w:p>
    <w:p>
      <w:pPr>
        <w:spacing w:after="240" w:line="360"/>
        <w:jc w:val="center"/>
      </w:pPr>
      <w:r>
        <w:rPr>
          <w:rFonts w:ascii="Times New Roman" w:cs="Times New Roman" w:eastAsia="Times New Roman" w:hAnsi="Times New Roman"/>
          <w:b/>
          <w:bCs/>
          <w:sz w:val="24"/>
          <w:szCs w:val="24"/>
        </w:rPr>
        <w:t xml:space="preserve">Highlights</w:t>
      </w:r>
    </w:p>
    <w:p>
      <w:pPr>
        <w:pStyle w:val="ListParagraph"/>
        <w:numPr>
          <w:ilvl w:val="0"/>
          <w:numId w:val="2"/>
        </w:numPr>
        <w:spacing w:after="120" w:line="360"/>
      </w:pPr>
      <w:r>
        <w:rPr>
          <w:rFonts w:ascii="Times New Roman" w:cs="Times New Roman" w:eastAsia="Times New Roman" w:hAnsi="Times New Roman"/>
          <w:sz w:val="24"/>
          <w:szCs w:val="24"/>
        </w:rPr>
        <w:t xml:space="preserve">LLM assistants turn choosing quality into accepting a finished-looking artifact</w:t>
      </w:r>
    </w:p>
    <w:p>
      <w:pPr>
        <w:pStyle w:val="ListParagraph"/>
        <w:numPr>
          <w:ilvl w:val="0"/>
          <w:numId w:val="2"/>
        </w:numPr>
        <w:spacing w:after="120" w:line="360"/>
      </w:pPr>
      <w:r>
        <w:rPr>
          <w:rFonts w:ascii="Times New Roman" w:cs="Times New Roman" w:eastAsia="Times New Roman" w:hAnsi="Times New Roman"/>
          <w:sz w:val="24"/>
          <w:szCs w:val="24"/>
        </w:rPr>
        <w:t xml:space="preserve">Aggregate debt cannot separate behavioral theory from rational acceleration</w:t>
      </w:r>
    </w:p>
    <w:p>
      <w:pPr>
        <w:pStyle w:val="ListParagraph"/>
        <w:numPr>
          <w:ilvl w:val="0"/>
          <w:numId w:val="2"/>
        </w:numPr>
        <w:spacing w:after="120" w:line="360"/>
      </w:pPr>
      <w:r>
        <w:rPr>
          <w:rFonts w:ascii="Times New Roman" w:cs="Times New Roman" w:eastAsia="Times New Roman" w:hAnsi="Times New Roman"/>
          <w:sz w:val="24"/>
          <w:szCs w:val="24"/>
        </w:rPr>
        <w:t xml:space="preserve">More reliable models can raise debt; present bias creates debt traps</w:t>
      </w:r>
    </w:p>
    <w:p>
      <w:pPr>
        <w:pStyle w:val="ListParagraph"/>
        <w:numPr>
          <w:ilvl w:val="0"/>
          <w:numId w:val="2"/>
        </w:numPr>
        <w:spacing w:after="120" w:line="360"/>
      </w:pPr>
      <w:r>
        <w:rPr>
          <w:rFonts w:ascii="Times New Roman" w:cs="Times New Roman" w:eastAsia="Times New Roman" w:hAnsi="Times New Roman"/>
          <w:sz w:val="24"/>
          <w:szCs w:val="24"/>
        </w:rPr>
        <w:t xml:space="preserve">Central control of assistant settings lowers debt, bounded by shadow AI</w:t>
      </w:r>
    </w:p>
    <w:p>
      <w:pPr>
        <w:pStyle w:val="ListParagraph"/>
        <w:numPr>
          <w:ilvl w:val="0"/>
          <w:numId w:val="2"/>
        </w:numPr>
        <w:spacing w:after="120" w:line="360"/>
      </w:pPr>
      <w:r>
        <w:rPr>
          <w:rFonts w:ascii="Times New Roman" w:cs="Times New Roman" w:eastAsia="Times New Roman" w:hAnsi="Times New Roman"/>
          <w:sz w:val="24"/>
          <w:szCs w:val="24"/>
        </w:rPr>
        <w:t xml:space="preserve">Pilot on a public repository: LLM commits carry far fewer self-admitted debt markers</w:t>
      </w:r>
    </w:p>
    <w:p>
      <w:r>
        <w:br w:type="page"/>
      </w:r>
    </w:p>
    <w:p>
      <w:pPr>
        <w:sectPr>
          <w:footerReference w:type="default" r:id="rId7"/>
          <w:pgSz w:w="12240" w:h="15840" w:orient="portrait"/>
          <w:pgMar w:top="1440" w:right="1440" w:bottom="1440" w:left="1440" w:header="708" w:footer="708" w:gutter="0"/>
          <w:pgNumType/>
          <w:docGrid w:linePitch="360"/>
        </w:sectPr>
      </w:pPr>
    </w:p>
    <w:p>
      <w:pPr>
        <w:spacing w:after="240" w:line="360"/>
        <w:jc w:val="center"/>
      </w:pPr>
      <w:r>
        <w:rPr>
          <w:rFonts w:ascii="Times New Roman" w:cs="Times New Roman" w:eastAsia="Times New Roman" w:hAnsi="Times New Roman"/>
          <w:b/>
          <w:bCs/>
          <w:sz w:val="28"/>
          <w:szCs w:val="28"/>
        </w:rPr>
        <w:t xml:space="preserve">Cheap Code, Costly Choices: A Behavioral Economics Theory of Technical Debt Accumulation in LLM-Assisted Software Development</w:t>
      </w:r>
    </w:p>
    <w:p>
      <w:pPr>
        <w:spacing w:line="480" w:lineRule="auto"/>
      </w:pPr>
      <w:r>
        <w:rPr>
          <w:rFonts w:ascii="Times New Roman" w:cs="Times New Roman" w:eastAsia="Times New Roman" w:hAnsi="Times New Roman"/>
          <w:b/>
          <w:bCs/>
          <w:sz w:val="24"/>
          <w:szCs w:val="24"/>
        </w:rPr>
        <w:t xml:space="preserve">Abstract</w:t>
      </w:r>
    </w:p>
    <w:p>
      <w:pPr>
        <w:spacing w:after="0" w:before="0" w:line="480" w:lineRule="auto"/>
        <w:jc w:val="left"/>
      </w:pPr>
      <w:r>
        <w:rPr>
          <w:rFonts w:ascii="Times New Roman" w:cs="Times New Roman" w:eastAsia="Times New Roman" w:hAnsi="Times New Roman"/>
          <w:b w:val="false"/>
          <w:bCs w:val="false"/>
          <w:i w:val="false"/>
          <w:iCs w:val="false"/>
        </w:rPr>
        <w:t xml:space="preserve">Large language model (LLM) coding assistants have lowered the cost of producing working code, yet maintainability appears to be deteriorating. A rational trade-off view of technical debt predicts less debt as clean code gets cheaper, although faster delivery can raise the value of speed and debt with it. We propose a behavioral theory built on a frame shift: assistance converts an ex ante choice between an expedient and a quality implementation into an ex post decision about accepting an artifact that already exists, works, and looks finished. A formal model with four behavioral wedges shows that debt can rise as quality gets cheaper, that more reliable models can generate more debt, and that present bias creates debt traps with hysteresis. Rational acceleration can match aggregate debt but not three other statistics, and a pilot test points the way the behavioral theory predicts. We recast technical debt as a choice-architecture problem.</w:t>
      </w:r>
    </w:p>
    <w:p>
      <w:pPr>
        <w:spacing w:before="120" w:line="480" w:lineRule="auto"/>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technical debt; large language models; AI-assisted software development; behavioral economics; present bias; automation bias; choice architecture</w:t>
      </w:r>
    </w:p>
    <w:p>
      <w:pPr>
        <w:pStyle w:val="Heading1"/>
        <w:keepNext/>
        <w:spacing w:after="0" w:before="240" w:line="480" w:lineRule="auto"/>
      </w:pPr>
      <w:r>
        <w:rPr>
          <w:rFonts w:ascii="Times New Roman" w:cs="Times New Roman" w:eastAsia="Times New Roman" w:hAnsi="Times New Roman"/>
          <w:b/>
          <w:bCs/>
          <w:sz w:val="24"/>
          <w:szCs w:val="24"/>
        </w:rPr>
        <w:t xml:space="preserve">1. Introduction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Software organizations are adopting LLM-based coding assistants faster than almost any earlier development tool. In the largest annual developer survey, 51 percent of professional developers said they used AI tools every day in 2025, even though more respondents distrusted the accuracy of those tools than trusted it (Stack Overflow, 2025). What happens to the code afterward is less reassuring. In a difference-in-differences study of open-source projects, adopting an agentic coding assistant produced a large but short-lived gain in development velocity, together with a lasting increase in static-analysis warnings and code complexity (He et al., 2026). Controlled comparisons of human- and LLM-authored implementations show that models tend to favor highly coupled solutions, with long methods in small tasks and unstable inter-module dependencies in larger ones, and that neither functional correctness nor more detailed prompting removes the tendency (Zhu et al., 2026). Industry-wide trends point in the same direction, although they cannot say which code was machine-generated. Across several hundred million changed lines in commercial and open-source repositories, 2024 was the first year in which copy-pasted code outweighed moved code, the main trace of refactoring, and over two years the share of commits containing duplicated blocks grew several-fold (GitClear, 2025, 2026). Put simply, the tools that make code cheaper to write seem to be making systems more expensive to maintain.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pattern is a puzzle for the dominant theory of technical debt (TD). Since Cunningham’s (1992) original metaphor and its later formalization (Avgeriou et al., 2016; Kruchten et al., 2012), TD has been modeled as a </w:t>
      </w:r>
      <w:r>
        <w:rPr>
          <w:rFonts w:ascii="Times New Roman" w:cs="Times New Roman" w:eastAsia="Times New Roman" w:hAnsi="Times New Roman"/>
          <w:b w:val="false"/>
          <w:bCs w:val="false"/>
          <w:i/>
          <w:iCs/>
        </w:rPr>
        <w:t xml:space="preserve">rational intertemporal trade-off</w:t>
      </w:r>
      <w:r>
        <w:rPr>
          <w:rFonts w:ascii="Times New Roman" w:cs="Times New Roman" w:eastAsia="Times New Roman" w:hAnsi="Times New Roman"/>
          <w:b w:val="false"/>
          <w:bCs w:val="false"/>
          <w:i w:val="false"/>
          <w:iCs w:val="false"/>
        </w:rPr>
        <w:t xml:space="preserve">: an actor knowingly accepts a shortcut today in return for delivery speed and so incurs “interest” that must be paid off through future rework. On this account, debt accumulates when doing things properly is expensive relative to the value of speed. LLM assistance lowers the price of doing things properly, because a well-structured, documented, and tested module costs little more to generate than a sloppy one. The rational-trade-off theory therefore predicts that TD should fall, or at least not rise, as LLM adoption spreads. The evidence points the other way.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puzzle is not decisive by itself. A rational account can accommodate rising debt if cheaper code changes more than the price of quality alone. When features can be built faster, shipping them sooner becomes more valuable, so a rational developer may accept more expedient implementations. And when new code is cheaper to generate than existing code is to find and reuse, total volume and duplication grow even if every unit is written with care (Jevons, 1865; Sorrell, 2009). We call this the rational-acceleration account and treat it as the main rival to our theory. Both accounts predict more debt; they differ in the form that the debt takes. Under rational acceleration, debt is taken on knowingly, recorded, scrutinized in review, and repaid when repayment pays. Under the behavioral account, debt is less often recognized, recorded, or reviewed, and repayment that was planned does not happen.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argue that the distinctive change brought by LLM assistance lies in the decision itself. Without an assistant, a developer chooses between an expedient and a quality implementation before either exists. With one, a working implementation arrives first and the developer decides whether to accept it. We call this conversion of ex ante choice into ex post acceptance the </w:t>
      </w:r>
      <w:r>
        <w:rPr>
          <w:rFonts w:ascii="Times New Roman" w:cs="Times New Roman" w:eastAsia="Times New Roman" w:hAnsi="Times New Roman"/>
          <w:b w:val="false"/>
          <w:bCs w:val="false"/>
          <w:i/>
          <w:iCs/>
        </w:rPr>
        <w:t xml:space="preserve">frame shift</w:t>
      </w:r>
      <w:r>
        <w:rPr>
          <w:rFonts w:ascii="Times New Roman" w:cs="Times New Roman" w:eastAsia="Times New Roman" w:hAnsi="Times New Roman"/>
          <w:b w:val="false"/>
          <w:bCs w:val="false"/>
          <w:i w:val="false"/>
          <w:iCs w:val="false"/>
        </w:rPr>
        <w:t xml:space="preserve">. The artifact exists before the quality decision is made, looks finished, and is already possessed and pre-selected. These three features activate, respectively, present bias, the fluency heuristic and automation bias, and default effects, loss aversion, and weak psychological ownership. Incentive conditions that need no bias at all, such as moral hazard, common-pool dynamics, and metric targeting, then determine how far the frame effects spread through a team.</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therefore ask through which mechanisms LLM-assisted development accelerates the accumulation of technical debt, how those mechanisms can be told apart from a rational response to cheaper code, and what they imply for the evolution and governance of debt.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paper makes three contributions. First, it offers a theory of technical debt accumulation organized around a single construct, the frame shift from choosing to accepting. Second, it formalizes the frame shift and derives results that a verbal argument cannot establish: when debt rises as quality becomes cheaper; that aggregate debt cannot separate the behavioral theory from rational acceleration whereas three other statistics can; that better models can increase debt; that present bias creates debt traps with hysteresis; and that the governance of tool adoption, together with the ease of bypassing it, limits how much of this debt an organization can prevent. Third, it turns these results into testable propositions and prescriptions grounded in choice architecture. We write for IS researchers who study the value, risks, and governance of AI tools in organizations, and for the managers who decide how such tools are configured and overseen.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remainder of the paper is organized as follows. Section 2 reviews the background. Section 3 develops the theory and its rational rival, Section 4 formalizes it, and Section 5 states its empirical implications and reports a pilot test of one of them. Section 6 discusses contributions and limitations, and Section 7 concludes.</w:t>
      </w:r>
    </w:p>
    <w:p>
      <w:pPr>
        <w:pStyle w:val="Heading1"/>
        <w:keepNext/>
        <w:spacing w:after="0" w:before="240" w:line="480" w:lineRule="auto"/>
      </w:pPr>
      <w:r>
        <w:rPr>
          <w:rFonts w:ascii="Times New Roman" w:cs="Times New Roman" w:eastAsia="Times New Roman" w:hAnsi="Times New Roman"/>
          <w:b/>
          <w:bCs/>
          <w:sz w:val="24"/>
          <w:szCs w:val="24"/>
        </w:rPr>
        <w:t xml:space="preserve">2. Theoretical Background</w:t>
      </w:r>
    </w:p>
    <w:p>
      <w:pPr>
        <w:pStyle w:val="Heading2"/>
        <w:keepNext/>
        <w:spacing w:after="0" w:before="120" w:line="480" w:lineRule="auto"/>
      </w:pPr>
      <w:r>
        <w:rPr>
          <w:rFonts w:ascii="Times New Roman" w:cs="Times New Roman" w:eastAsia="Times New Roman" w:hAnsi="Times New Roman"/>
          <w:b/>
          <w:bCs/>
          <w:i/>
          <w:iCs/>
          <w:sz w:val="24"/>
          <w:szCs w:val="24"/>
        </w:rPr>
        <w:t xml:space="preserve">2.1 Technical Debt as a Rational Trade-off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Cunningham (1992) introduced technical debt to explain to non-technical stakeholders why shipping imperfect code can be sensible: like financial debt, it buys time now at the price of interest later. Subsequent work made the construct more precise. Avgeriou et al. (2016) define TD as design or implementation constructs that are expedient in the short term but create a technical context in which future change is more costly. Kruchten et al. (2012) separate visible debt (known shortcuts) from invisible debt, and deliberate from inadvertent debt. Tom et al. (2013) catalog its dimensions (code, design, architecture, test, and documentation) and trace its causes to schedule pressure, insufficient knowledge, and inattention.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economic framing became explicit in models that treat TD as an investment decision with a principal, an interest rate, and a repayment schedule (Buschmann, 2011; Seaman &amp; Guo, 2011). In these models the actor is a rational planner. She incurs debt when the net present value of speed exceeds the discounted cost of rework and repays it when the reverse holds. Research on self-admitted technical debt (SATD) is consistent with this view (Bavota &amp; Russo, 2016; Potdar &amp; Shihab, 2014): developers leave comments such as TODO and HACK precisely because they know a shortcut has been taken and intend to come back to it.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features of the rational model matter for our purposes. It locates the cause of debt in the </w:t>
      </w:r>
      <w:r>
        <w:rPr>
          <w:rFonts w:ascii="Times New Roman" w:cs="Times New Roman" w:eastAsia="Times New Roman" w:hAnsi="Times New Roman"/>
          <w:b w:val="false"/>
          <w:bCs w:val="false"/>
          <w:i/>
          <w:iCs/>
        </w:rPr>
        <w:t xml:space="preserve">price</w:t>
      </w:r>
      <w:r>
        <w:rPr>
          <w:rFonts w:ascii="Times New Roman" w:cs="Times New Roman" w:eastAsia="Times New Roman" w:hAnsi="Times New Roman"/>
          <w:b w:val="false"/>
          <w:bCs w:val="false"/>
          <w:i w:val="false"/>
          <w:iCs w:val="false"/>
        </w:rPr>
        <w:t xml:space="preserve"> of quality relative to speed, and it assumes that the actor </w:t>
      </w:r>
      <w:r>
        <w:rPr>
          <w:rFonts w:ascii="Times New Roman" w:cs="Times New Roman" w:eastAsia="Times New Roman" w:hAnsi="Times New Roman"/>
          <w:b w:val="false"/>
          <w:bCs w:val="false"/>
          <w:i/>
          <w:iCs/>
        </w:rPr>
        <w:t xml:space="preserve">perceives</w:t>
      </w:r>
      <w:r>
        <w:rPr>
          <w:rFonts w:ascii="Times New Roman" w:cs="Times New Roman" w:eastAsia="Times New Roman" w:hAnsi="Times New Roman"/>
          <w:b w:val="false"/>
          <w:bCs w:val="false"/>
          <w:i w:val="false"/>
          <w:iCs w:val="false"/>
        </w:rPr>
        <w:t xml:space="preserve"> a shortcut as a shortcut. LLM assistance strains both assumptions. The price of quality falls, yet debt rises, and much LLM-introduced debt is not perceived when it enters the codebase because the code that carries it looks finished.</w:t>
      </w:r>
    </w:p>
    <w:p>
      <w:pPr>
        <w:pStyle w:val="Heading2"/>
        <w:keepNext/>
        <w:spacing w:after="0" w:before="120" w:line="480" w:lineRule="auto"/>
      </w:pPr>
      <w:r>
        <w:rPr>
          <w:rFonts w:ascii="Times New Roman" w:cs="Times New Roman" w:eastAsia="Times New Roman" w:hAnsi="Times New Roman"/>
          <w:b/>
          <w:bCs/>
          <w:i/>
          <w:iCs/>
          <w:sz w:val="24"/>
          <w:szCs w:val="24"/>
        </w:rPr>
        <w:t xml:space="preserve">2.2 LLM-Assisted Development and Its Observed Consequences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growing empirical literature documents the quality profile of LLM-generated code. Early security studies found that a substantial share of assistant-generated snippets contained exploitable weaknesses (Fu et al., 2025; Pearce et al., 2022). Comparative evaluations of Copilot, CodeWhisperer, and ChatGPT reported acceptable validity and correctness but recurring maintainability problems (Yetiştiren et al., 2023). More recent work has moved from snippets to whole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produced by LLMs and coding agents reports that code volume is a near-perfect predictor of structural degradation, which the authors call a “volume–quality inverse law,” and that more capable models yield more bloated and more tightly coupled code (Zhu et al., 2026). The quasi-experimental estimates of He et al. (2026), described in Section 1, are the strongest causal evidence available so far, and public corpora of agent-authored pull requests now make the review of such code directly observable (Li et al., 2026). A multivocal review of 104 academic and practitioner sources concludes that LLM assistance amplifies code, design, and documentation debt and adds new forms, notably fast-integration debt, in which rapidly generated code is integrated ahead of quality, as well as prompt and provenance debt (Ehsani et al., 2026). In industry workshops, practitioners ranked the maintainability and readability of generated code as priorities and warned that it may accelerate the accumulation of technical debt (Sun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literature is descriptive rather than explanatory. It establishes that debt is rising and characterizes its form, but it offers no account of why developers, who are hardly naïve about maintainability, accept such code. Nor does it ask whether the increase could be a rational response to cheaper code, a possibility we take up in Section 3.3. That gap is what the present paper addresses.</w:t>
      </w:r>
    </w:p>
    <w:p>
      <w:pPr>
        <w:pStyle w:val="Heading2"/>
        <w:keepNext/>
        <w:spacing w:after="0" w:before="120" w:line="480" w:lineRule="auto"/>
      </w:pPr>
      <w:r>
        <w:rPr>
          <w:rFonts w:ascii="Times New Roman" w:cs="Times New Roman" w:eastAsia="Times New Roman" w:hAnsi="Times New Roman"/>
          <w:b/>
          <w:bCs/>
          <w:i/>
          <w:iCs/>
          <w:sz w:val="24"/>
          <w:szCs w:val="24"/>
        </w:rPr>
        <w:t xml:space="preserve">2.3 Behavioral Economics: Relevant Constructs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Behavioral economics studies systematic departures from the rational-actor model, and four groups of constructs bear on how developers treat generated code. The first is present bias, the tendency to overweight immediate payoffs relative to delayed ones beyond what any constant discount rate implies. It produces preference reversals in which planned investments are repeatedly put off (Laibson, 1997; O’Donoghue &amp; Rabin, 1999), and the planning fallacy compounds the problem (Buehler et al., 1994). The second group comprises the fluency heuristic and automation bias, which describe how readily easily processed output is judged to be of higher quality and how automated aids go under-verified when they are usually right (Alter &amp; Oppenheimer, 2009; Goddard et al., 2012; Parasuraman &amp; Manzey, 2010). The third, reference dependence, covers loss aversion, status quo bias, and default effects, under which what is already possessed or pre-selected is retained far more often than preference alone would predict (Johnson &amp; Goldstein, 2003; Kahneman &amp; Tversky, 1979; Samuelson &amp; Zeckhauser, 1988; Thaler &amp; Sunstein, 2008). The fourth is effort-based valuation, the IKEA effect, which implies that artifacts acquired without effort attract less care and weaker psychological ownership (Norton et al., 2012; Pierce et al., 2001).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fifth group is not behavioral at all. Moral hazard (Arrow, 1963), common-pool dynamics (Hardin, 1968; Ostrom, 1990), Goodhart’s law, and the rebound effect (Jevons, 1865; Sorrell, 2009) all follow from rational responses to incentives. We build the theory on the first four groups and treat the fifth as incentive conditions that amplify it. Taken alone, those conditions form the core of the rational account that we develop as a rival in Section 3.3. Section 3.2 applies each construct to LLM-assisted development.</w:t>
      </w:r>
    </w:p>
    <w:p>
      <w:pPr>
        <w:pStyle w:val="Heading1"/>
        <w:keepNext/>
        <w:spacing w:after="0" w:before="240" w:line="480" w:lineRule="auto"/>
      </w:pPr>
      <w:r>
        <w:rPr>
          <w:rFonts w:ascii="Times New Roman" w:cs="Times New Roman" w:eastAsia="Times New Roman" w:hAnsi="Times New Roman"/>
          <w:b/>
          <w:bCs/>
          <w:sz w:val="24"/>
          <w:szCs w:val="24"/>
        </w:rPr>
        <w:t xml:space="preserve">3. Theory Development</w:t>
      </w:r>
    </w:p>
    <w:p>
      <w:pPr>
        <w:pStyle w:val="Heading2"/>
        <w:keepNext/>
        <w:spacing w:after="0" w:before="120" w:line="480" w:lineRule="auto"/>
      </w:pPr>
      <w:r>
        <w:rPr>
          <w:rFonts w:ascii="Times New Roman" w:cs="Times New Roman" w:eastAsia="Times New Roman" w:hAnsi="Times New Roman"/>
          <w:b/>
          <w:bCs/>
          <w:i/>
          <w:iCs/>
          <w:sz w:val="24"/>
          <w:szCs w:val="24"/>
        </w:rPr>
        <w:t xml:space="preserve">3.1 The Core Argument: From Choosing to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V(E), exceeds the discounted cost of future rework, δ·C(E). LLM assistance reduces the time cost of Q relative to E, so V(E) shrinks and the rational model predicts more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Our theory holds that LLM assistance does something else that outweighs this effect: it turns the decision from a choice into an acceptance. Before LLM assistance, E and Q are compared before either exists, and both lie in the future. With assistance, an implementation, often an instance of E, exists as soon as the prompt returns, and the developer’s decision becomes whether to accept it or to do more work. This is the frame shift, and it has three components, each of which activates a distinct set of mechanisms. The first is timing. The artifact precedes the quality decision, so Q becomes a deferred investment set against a present reward, which activates present bias and the planning fallacy. The second is appearance. The artifact is syntactically polished and confidently explained, so E looks like Q to its author and to its reviewers, which activates the fluency heuristic and automation bias. The third is possession. The artifact is already in the working tree and pre-selected by the interface, so accepting it is the default, removing it is experienced as a loss, and, because it was acquired without effort, it commands little ownership. Jointly, these components lead developers to choose E more often even though Q has become cheaper, and to fail more often to recognize E as E, which converts deliberate debt into inadvertent debt. Incentive conditions (moral hazard, common-pool dynamics, the rebound effect, and metric targeting) do not depend on the frame shift, but they determine how far its consequences spread beyond the individual decision.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incentive amplifiers are rational responses to incentives rather than biases. We include them because they govern how the frame effects propagate through a team and because, on their own, they generate the rival account developed in Section 3.3, so the theory has to say where its predictions differ from theirs. Table 1 in Section 3.2 lists the mechanisms by component, together with the propositions they imply.</w:t>
      </w:r>
    </w:p>
    <w:p>
      <w:pPr>
        <w:pStyle w:val="Heading2"/>
        <w:keepNext/>
        <w:spacing w:after="0" w:before="120" w:line="480" w:lineRule="auto"/>
      </w:pPr>
      <w:r>
        <w:rPr>
          <w:rFonts w:ascii="Times New Roman" w:cs="Times New Roman" w:eastAsia="Times New Roman" w:hAnsi="Times New Roman"/>
          <w:b/>
          <w:bCs/>
          <w:i/>
          <w:iCs/>
          <w:sz w:val="24"/>
          <w:szCs w:val="24"/>
        </w:rPr>
        <w:t xml:space="preserve">3.2 Mechanisms and Propositions</w:t>
      </w:r>
    </w:p>
    <w:p>
      <w:pPr>
        <w:spacing w:after="0" w:line="480" w:lineRule="auto"/>
        <w:ind w:firstLine="720"/>
      </w:pPr>
      <w:r>
        <w:rPr>
          <w:rFonts w:ascii="Times New Roman" w:cs="Times New Roman" w:eastAsia="Times New Roman" w:hAnsi="Times New Roman"/>
          <w:b/>
          <w:bCs/>
        </w:rPr>
        <w:t xml:space="preserve">Timing. </w:t>
      </w:r>
      <w:r>
        <w:rPr>
          <w:rFonts w:ascii="Times New Roman" w:cs="Times New Roman" w:eastAsia="Times New Roman" w:hAnsi="Times New Roman"/>
          <w:b w:val="false"/>
          <w:bCs w:val="false"/>
          <w:i w:val="false"/>
          <w:iCs w:val="false"/>
        </w:rPr>
        <w:t xml:space="preserve">Before LLM assistance, E and Q were compared before any code existed. With assistance, E exists as soon as the prompt returns, and Q requires further effort when a working artifact is already in hand. Present bias is strongest in precisely this configuration (Laibson, 1997; O’Donoghue &amp; Rabin, 1999), and the planning fallacy leads developers to underestimate the rework they defer (Buehler et al., 1994). Developers therefore plan to refactor and then defer (P1, P2).</w:t>
      </w:r>
    </w:p>
    <w:p>
      <w:pPr>
        <w:spacing w:after="0" w:line="480" w:lineRule="auto"/>
        <w:ind w:firstLine="720"/>
      </w:pPr>
      <w:r>
        <w:rPr>
          <w:rFonts w:ascii="Times New Roman" w:cs="Times New Roman" w:eastAsia="Times New Roman" w:hAnsi="Times New Roman"/>
          <w:b/>
          <w:bCs/>
        </w:rPr>
        <w:t xml:space="preserve">Appearance. </w:t>
      </w:r>
      <w:r>
        <w:rPr>
          <w:rFonts w:ascii="Times New Roman" w:cs="Times New Roman" w:eastAsia="Times New Roman" w:hAnsi="Times New Roman"/>
          <w:b w:val="false"/>
          <w:bCs w:val="false"/>
          <w:i w:val="false"/>
          <w:iCs w:val="false"/>
        </w:rPr>
        <w:t xml:space="preserve">LLM output is syntactically regular, idiomatically named, and accompanied by fluent explanation. These are the surface features that trigger fluency-based judgments of quality (Alter &amp; Oppenheimer, 2009). A human shortcut usually looks like a shortcut and is often self-admitted, whereas a generated one looks finished, which converts deliberate debt into inadvertent debt (P3, P4). Code review is the institutional check on individual judgment. Automation bias weakens it when reviewers calibrate their scrutiny to the perceived reliability of the tool rather than to the artifact (Parasuraman &amp; Manzey, 2010), and more so as generated changes grow larger (P7).</w:t>
      </w:r>
    </w:p>
    <w:p>
      <w:pPr>
        <w:spacing w:after="0" w:line="480" w:lineRule="auto"/>
        <w:ind w:firstLine="720"/>
      </w:pPr>
      <w:r>
        <w:rPr>
          <w:rFonts w:ascii="Times New Roman" w:cs="Times New Roman" w:eastAsia="Times New Roman" w:hAnsi="Times New Roman"/>
          <w:b/>
          <w:bCs/>
        </w:rPr>
        <w:t xml:space="preserve">Possession. </w:t>
      </w:r>
      <w:r>
        <w:rPr>
          <w:rFonts w:ascii="Times New Roman" w:cs="Times New Roman" w:eastAsia="Times New Roman" w:hAnsi="Times New Roman"/>
          <w:b w:val="false"/>
          <w:bCs w:val="false"/>
          <w:i w:val="false"/>
          <w:iCs w:val="false"/>
        </w:rPr>
        <w:t xml:space="preserve">A generated artifact is already in the working tree and pre-selected by the interface. Accepting it is the default (Johnson &amp; Goldstein, 2003), so acceptance is insensitive to the quality of the suggestion (P8). Deleting it is experienced as a loss (Kahneman &amp; Tversky, 1979), so LLM-assisted changes add more and delete less (P5). And because it cost little effort, it commands little ownership (Norton et al., 2012), so its defects are fixed more slowly (P6).</w:t>
      </w:r>
    </w:p>
    <w:p>
      <w:pPr>
        <w:spacing w:after="0" w:line="480" w:lineRule="auto"/>
        <w:ind w:firstLine="720"/>
      </w:pPr>
      <w:r>
        <w:rPr>
          <w:rFonts w:ascii="Times New Roman" w:cs="Times New Roman" w:eastAsia="Times New Roman" w:hAnsi="Times New Roman"/>
          <w:b/>
          <w:bCs/>
        </w:rPr>
        <w:t xml:space="preserve">Incentive amplifiers. </w:t>
      </w:r>
      <w:r>
        <w:rPr>
          <w:rFonts w:ascii="Times New Roman" w:cs="Times New Roman" w:eastAsia="Times New Roman" w:hAnsi="Times New Roman"/>
          <w:b w:val="false"/>
          <w:bCs w:val="false"/>
          <w:i w:val="false"/>
          <w:iCs w:val="false"/>
        </w:rPr>
        <w:t xml:space="preserve">Three further mechanisms require no departure from rationality. First, LLM assistance makes it cheap to change modules one does not own while their maintenance falls on others, which is moral hazard (Arrow, 1963; P9). Second, it makes generating new code cheaper than finding and reusing existing code, so a shared codebase is over-extracted, and more so with more contributors (Ostrom, 1990; Sorrell, 2009; P10). Third, where individual throughput is rewarded and maintainability is not measured, cheap throughput becomes a target (P11). These mechanisms decide whether the frame effects stay local or spread through a team. Taken by themselves, they constitute the rival account of Section 3.3.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Table 1 lists the mechanisms and the eleven propositions they imply. The propositions are of two kinds. P1 to P5, P7, and P8 follow from the timing, appearance, and possession mechanisms, which Section 4 formalizes at the level of a single decision, and the last column of the table shows which result of Section 4 carries each of them. P6 and P9 to P11 are not derived from the model, for two different reasons. P9 to P11 rest on rational incentives and, as Section 3.3 shows, make the same prediction under both accounts, so formalizing them would not change what the model can say about the contest between the accounts. They enter as moderators of how far debt spreads. P6 concerns how quickly defects are repaired after a generated artifact has been accepted, which the dynamic model treats as an exogenous repayment rate (μ in Section 4.5); we state it as an auxiliary behavioral prediction.</w:t>
      </w:r>
    </w:p>
    <w:p>
      <w:pPr>
        <w:keepNext/>
        <w:spacing w:after="120" w:before="240" w:line="276"/>
      </w:pPr>
      <w:r>
        <w:rPr>
          <w:rFonts w:ascii="Times New Roman" w:cs="Times New Roman" w:eastAsia="Times New Roman" w:hAnsi="Times New Roman"/>
          <w:b/>
          <w:bCs/>
          <w:i w:val="false"/>
          <w:iCs w:val="false"/>
        </w:rPr>
        <w:t xml:space="preserve">Table 1. Mechanisms and Propositions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4000"/>
        <w:gridCol w:w="1650"/>
        <w:gridCol w:w="1350"/>
        <w:gridCol w:w="1840"/>
      </w:tblGrid>
      <w:tr>
        <w:trPr>
          <w:cantSplit/>
          <w:tblHeader/>
        </w:trPr>
        <w:tc>
          <w:tcPr>
            <w:tcW w:type="dxa" w:w="52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w:t>
            </w:r>
          </w:p>
        </w:tc>
        <w:tc>
          <w:tcPr>
            <w:tcW w:type="dxa" w:w="4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Statement</w:t>
            </w:r>
          </w:p>
        </w:tc>
        <w:tc>
          <w:tcPr>
            <w:tcW w:type="dxa" w:w="165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Mechanism</w:t>
            </w:r>
          </w:p>
        </w:tc>
        <w:tc>
          <w:tcPr>
            <w:tcW w:type="dxa" w:w="135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Component</w:t>
            </w:r>
          </w:p>
        </w:tc>
        <w:tc>
          <w:tcPr>
            <w:tcW w:type="dxa" w:w="184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Formal basis</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 planning fallacy</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Results 2 and 4</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Comments deferring quality work on LLM-authored code are resolved less often and later than comparable comments on human-authored code.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measured structural quality, reviewers rate LLM-authored code higher.</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Perception wedge (Result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For a given amount of statically detected debt introduced by a change, LLM-assisted changes carry fewer self-admitted debt markers.</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LLM-assisted commits add more relative to what they delete, and the surplus is concentrated in duplicated and unreachable code.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 aversion</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Loss-aversion wedge (Result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severity and complexity, defects in code a developer generated are fixed more slowly than defects in code she wrote.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Effort-based valuation</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(auxiliary)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LLM-authored pull requests receive less review time per changed line and fewer substantive comments, with a gap that widens with size.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Automation bias</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Perception wedge (Results 3 and 5)</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Acceptance of inline suggestions varies less with suggestion quality than with the interface cost of rejection.</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effect</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share (Result 3)</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introduced by LLM-assisted changes concentrates in modules the author does not maintain.</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Moral hazard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rises with LLM adoption, more so in repositories with more contributors and weaker ownership.</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Common pool; rebound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The association between LLM adoption and debt growth is stronger where individual throughput is rewarded and maintainability is not measured.</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Metric targeting</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3.3 A Rival Account: Rational Acceleration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will then choose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 We call this the rational-acceleration account. It is consistent with the aggregate evidence reviewed in Section 2.2, including a transient rise in velocity accompanied by a persistent rise in static-analysis warnings (He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Rational acceleration and the behavioral theory thus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 changes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with its cost held fixed, possession of a working artifact should not change the decision to refactor, and refactoring that was planned should be carried out (contrast P1b and P2). Table 2 summarizes the contrast.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comparison also marks the limits of discrimination. Rebound, moral hazard, and metric targeting operate under both accounts, so Propositions 9 to 11 cannot distinguish between them. Their role in the design is to measure how far debt spreads, not to adjudicate between the accounts. The adjudicating evidence comes from P1b, P2, P4, and P5 in single-contributor code, from P7, and from the governance comparison of Result 6 in Section 4.6.</w:t>
      </w:r>
    </w:p>
    <w:p>
      <w:pPr>
        <w:keepNext/>
        <w:spacing w:after="120" w:before="240" w:line="276"/>
      </w:pPr>
      <w:r>
        <w:rPr>
          <w:rFonts w:ascii="Times New Roman" w:cs="Times New Roman" w:eastAsia="Times New Roman" w:hAnsi="Times New Roman"/>
          <w:b/>
          <w:bCs/>
          <w:i w:val="false"/>
          <w:iCs w:val="false"/>
        </w:rPr>
        <w:t xml:space="preserve">Table 2. Competing Predictions of Rational Acceleration and the Behavioral Theory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46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Prediction</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Rational acceleration</w:t>
            </w:r>
          </w:p>
        </w:tc>
        <w:tc>
          <w:tcPr>
            <w:tcW w:type="dxa" w:w="2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Behavioral theory</w:t>
            </w:r>
          </w:p>
        </w:tc>
        <w:tc>
          <w:tcPr>
            <w:tcW w:type="dxa" w:w="24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Evidence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Aggregate debt after LLM adoption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does not discriminate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Self-admitted debt per unit of detected debt introduced (P4)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 by authorship</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change level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Substantive review per changed line (P7)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lower for LLM-assisted changes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with reviewer fixed effects; Study 2</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Net-addition bias in single-contributor code (P5)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Absent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low-contributor stratum</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Deferral with artifact in hand at equal cost; completion of planned refactoring (P1b, P2)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possession effect; plans carried out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 raises deferral; plans lapse</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2; SATD resolution in Study 1</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under developer-controlled versus organization-controlled configuration of the assistant (Result 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under organization control</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3; procurement and configuration records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rising with team size; debt in non-owned modules; stronger effects under throughput metrics (P9 to P11)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Studies 1 and 3; does not discriminate</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3.4 Boundary Conditions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does not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reporting of “net lines” counteract loss aversion (P5). Maintainability metrics, when they are measured and rewarded, reverse the Goodhart dynamic (P11). These conditions are also the theory’s prescriptions, and they differ from those of the rational model, which would recommend better cost accounting and debt registers. Such interventions assume that the actor already perceives the debt.</w:t>
      </w:r>
    </w:p>
    <w:p>
      <w:pPr>
        <w:pStyle w:val="Heading1"/>
        <w:keepNext/>
        <w:spacing w:after="0" w:before="240" w:line="480" w:lineRule="auto"/>
      </w:pPr>
      <w:r>
        <w:rPr>
          <w:rFonts w:ascii="Times New Roman" w:cs="Times New Roman" w:eastAsia="Times New Roman" w:hAnsi="Times New Roman"/>
          <w:b/>
          <w:bCs/>
          <w:sz w:val="24"/>
          <w:szCs w:val="24"/>
        </w:rPr>
        <w:t xml:space="preserve">4. A Formal Model of Choosing and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section formalizes the frame shift. The model is deliberately minimal, with one developer, one task at a time, and four behavioral wedges, each corresponding to a component of the frame shift in Section 3. Present bias expresses timing, a perception wedge expresses appearance, and a default share and loss aversion express possession. Section 4.1 states the developer’s preferences and decision problem in each regime. Sections 4.2 to 4.5 and 4.7 analyze her decisions, and Section 4.6 embeds her in a game with a tool vendor and an organization, specifies the players, actions, payoffs, and timing, and derives the subgame-perfect equilibria by backward induction. The purpose of the model is to establish results that the verbal theory suggests but cannot prove: when debt rises as quality becomes cheaper, what can and cannot separate the behavioral theory from rational acceleration, how debt responds to better models, how it evolves over time, and how governance shapes it. Proofs are collected in Appendix A. Every result was also checked numerically, and the illustrative values below come from those computations.</w:t>
      </w:r>
    </w:p>
    <w:p>
      <w:pPr>
        <w:pStyle w:val="Heading2"/>
        <w:keepNext/>
        <w:spacing w:after="0" w:before="120" w:line="480" w:lineRule="auto"/>
      </w:pPr>
      <w:r>
        <w:rPr>
          <w:rFonts w:ascii="Times New Roman" w:cs="Times New Roman" w:eastAsia="Times New Roman" w:hAnsi="Times New Roman"/>
          <w:b/>
          <w:bCs/>
          <w:i/>
          <w:iCs/>
          <w:sz w:val="24"/>
          <w:szCs w:val="24"/>
        </w:rPr>
        <w:t xml:space="preserve">4.1 Primitives, Preferences, and Timing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task can be implemented expediently (E) or with quality (Q). If E remains in the code, it imposes a rework cost R one period after the build, where R is drawn from a continuous distribution F with positive density on the positive reals. Developer time is valued at v per unit, so an increase in v represents the rational-acceleration channel of Section 3.3: time saved is worth more when more features can be shipped.</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developer’s flow payoff in period t is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−(v × time spent in t) − (rework cost incurred in t). In period t she evaluates the stream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u</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by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β Σ</w:t>
      </w:r>
      <w:r>
        <w:rPr>
          <w:rFonts w:ascii="Times New Roman" w:cs="Times New Roman" w:eastAsia="Times New Roman" w:hAnsi="Times New Roman"/>
          <w:b w:val="false"/>
          <w:bCs w:val="false"/>
          <w:i w:val="false"/>
          <w:iCs w:val="false"/>
          <w:vertAlign w:val="subscript"/>
        </w:rPr>
        <w:t xml:space="preserve">τ≥1</w:t>
      </w:r>
      <w:r>
        <w:rPr>
          <w:rFonts w:ascii="Times New Roman" w:cs="Times New Roman" w:eastAsia="Times New Roman" w:hAnsi="Times New Roman"/>
          <w:b w:val="false"/>
          <w:bCs w:val="false"/>
          <w:i w:val="false"/>
          <w:iCs w:val="false"/>
        </w:rPr>
        <w:t xml:space="preserve"> δ</w:t>
      </w:r>
      <w:r>
        <w:rPr>
          <w:rFonts w:ascii="Times New Roman" w:cs="Times New Roman" w:eastAsia="Times New Roman" w:hAnsi="Times New Roman"/>
          <w:b w:val="false"/>
          <w:bCs w:val="false"/>
          <w:i w:val="false"/>
          <w:iCs w:val="false"/>
          <w:vertAlign w:val="superscript"/>
        </w:rPr>
        <w:t xml:space="preserve">τ</w:t>
      </w:r>
      <w:r>
        <w:rPr>
          <w:rFonts w:ascii="Times New Roman" w:cs="Times New Roman" w:eastAsia="Times New Roman" w:hAnsi="Times New Roman"/>
          <w:b w:val="false"/>
          <w:bCs w:val="false"/>
          <w:i w:val="false"/>
          <w:iCs w:val="false"/>
        </w:rPr>
        <w:t xml:space="preserve"> u</w:t>
      </w:r>
      <w:r>
        <w:rPr>
          <w:rFonts w:ascii="Times New Roman" w:cs="Times New Roman" w:eastAsia="Times New Roman" w:hAnsi="Times New Roman"/>
          <w:b w:val="false"/>
          <w:bCs w:val="false"/>
          <w:i w:val="false"/>
          <w:iCs w:val="false"/>
          <w:vertAlign w:val="subscript"/>
        </w:rPr>
        <w:t xml:space="preserve">t+τ</w:t>
      </w:r>
      <w:r>
        <w:rPr>
          <w:rFonts w:ascii="Times New Roman" w:cs="Times New Roman" w:eastAsia="Times New Roman" w:hAnsi="Times New Roman"/>
          <w:b w:val="false"/>
          <w:bCs w:val="false"/>
          <w:i w:val="false"/>
          <w:iCs w:val="false"/>
        </w:rPr>
        <w:t xml:space="preserve">, the quasi-hyperbolic form (Laibson, 1997; O’Donoghue &amp; Rabin, 1999). Here β ≤ 1 measures present bias and δ ≤ 1 is the long-run discount factor, and welfare is evaluated with β = 1. She is naive: each period’s self maximizes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and when she plans a future action she expects it to be carried out as planned. Her beliefs and valuations are shaped by the other wedges introduced below, namely a perceived defect rate φq, a share α of artifacts accepted by default, and a multiplier λ on the effort of changing a possessed artifact.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choice regime, which describes development without an assistant, the developer decides at date 0 how the task will be built at date 1. Q requires a units of time more than E at date 1, whereas E leaves a rework cost R at date 2. Her date-0 payoffs from E and Q are therefore −βδ²R and −βδva, and she chooses E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a  &gt;  δ · R.</w:t>
      </w:r>
      <w:r>
        <w:rPr>
          <w:rFonts w:ascii="Times New Roman" w:cs="Times New Roman" w:eastAsia="Times New Roman" w:hAnsi="Times New Roman"/>
        </w:rPr>
        <w:t xml:space="preserve">	(1)</w:t>
      </w:r>
    </w:p>
    <w:p>
      <w:pPr>
        <w:spacing w:after="0" w:before="0" w:line="480" w:lineRule="auto"/>
        <w:jc w:val="left"/>
      </w:pPr>
      <w:r>
        <w:rPr>
          <w:rFonts w:ascii="Times New Roman" w:cs="Times New Roman" w:eastAsia="Times New Roman" w:hAnsi="Times New Roman"/>
          <w:b w:val="false"/>
          <w:bCs w:val="false"/>
          <w:i w:val="false"/>
          <w:iCs w:val="false"/>
        </w:rPr>
        <w:t xml:space="preserve">Present bias cancels from (1) because the extra effort and the rework both lie in the future and both are scaled by β. A shortcut chosen in this way is recognized as a shortcut and is self-admitted with probability σ.</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acceptance regime, which describes development with an assistant, an artifact arrives at date 1 and is an instance of E with probability q, the model’s maintainability-defect rate. Three features distinguish this regime. First, the artifact exists before the quality decision, so the time needed to inspect it, k, drawn from a distribution G, and the time needed to refactor it into Q, r, are spent now while the rework comes later (timing). Second, the developer perceives the defect rate as φq with φ ≤ 1, and an instance of E that she does not inspect is noticed with probability ηφ, so polished output is both trusted and overlooked (appearance). Third, a share α of artifacts is accepted by default without deliberation, and changing a possessed artifact is felt as a loss, which scales the perceived cost of refactoring by λ ≥ 1 (possession).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Events in the acceptance regime occur in the following order. With probability α the artifact is accepted by default and is not inspected. Otherwise the developer decides whether to inspect it, before she learns anything about it. If she does not inspect it, an instance of E is noticed with probability ηφ. A detected instance of E, whether noticed or found by inspection, is refactored at once if doing so costs less than the perceived rework, that is,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λ · v · r  &lt;  β · δ · R.</w:t>
      </w:r>
      <w:r>
        <w:rPr>
          <w:rFonts w:ascii="Times New Roman" w:cs="Times New Roman" w:eastAsia="Times New Roman" w:hAnsi="Times New Roman"/>
        </w:rPr>
        <w:t xml:space="preserve">	(2)</w:t>
      </w:r>
    </w:p>
    <w:p>
      <w:pPr>
        <w:spacing w:after="0" w:before="0" w:line="480" w:lineRule="auto"/>
        <w:jc w:val="left"/>
      </w:pPr>
      <w:r>
        <w:rPr>
          <w:rFonts w:ascii="Times New Roman" w:cs="Times New Roman" w:eastAsia="Times New Roman" w:hAnsi="Times New Roman"/>
          <w:b w:val="false"/>
          <w:bCs w:val="false"/>
          <w:i w:val="false"/>
          <w:iCs w:val="false"/>
        </w:rPr>
        <w:t xml:space="preserve">At date 1 refactoring costs λvr immediately, whereas leaving E costs the date-2 rework R, which the date-1 self weights by βδ. Inspecting costs vk immediately and, by the same comparison, is expected to save φq(1 − ηφ)·max{0, βδR − λvr}, because the perceived probability that the artifact is an instance of E that would otherwise go unnoticed is φq(1 − ηφ). The developer therefore inspects an artifact that is not accepted by default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k  &lt;  φ · q · (1 − ηφ) · max{0, β · δ · R − λ · v · r}.</w:t>
      </w:r>
      <w:r>
        <w:rPr>
          <w:rFonts w:ascii="Times New Roman" w:cs="Times New Roman" w:eastAsia="Times New Roman" w:hAnsi="Times New Roman"/>
        </w:rPr>
        <w:t xml:space="preserve">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remains when the artifact is E and is not both detected and refactored. A developer who detects E but does not refactor it self-admits it with probability σ, and an undetected instance is self-admitted with probability σφ, in proportion to the risk the developer perceives. We call β &lt; 1, φ &lt; 1, α &gt; 0, and λ &gt; 1 the behavioral wedges; the rational benchmark sets β = φ = λ = 1 and α = 0. We assume η ≤ 1/2, so that noticing a defect without inspection is less likely than missing it; this ensures that a stronger perception wedge never makes inspection more attractive. Finally, F has a positive density on the positive reals, and G has a positive density on (0, K̄) for some K̄ &gt; 0.</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Write T(R) = βδR − λvr for the perceived net gain from refactoring a detected instance. Collecting the steps above, the probability that a task ends with debt in the acceptance regime is</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 = q · E[h(R)],</w:t>
      </w:r>
      <w:r>
        <w:rPr>
          <w:rFonts w:ascii="Times New Roman" w:cs="Times New Roman" w:eastAsia="Times New Roman" w:hAnsi="Times New Roman"/>
        </w:rPr>
        <w:t xml:space="preserve">	(4)</w:t>
      </w:r>
    </w:p>
    <w:p>
      <w:pPr>
        <w:spacing w:after="0" w:before="0" w:line="480" w:lineRule="auto"/>
        <w:jc w:val="left"/>
      </w:pPr>
      <w:r>
        <w:rPr>
          <w:rFonts w:ascii="Times New Roman" w:cs="Times New Roman" w:eastAsia="Times New Roman" w:hAnsi="Times New Roman"/>
          <w:b w:val="false"/>
          <w:bCs w:val="false"/>
          <w:i w:val="false"/>
          <w:iCs w:val="false"/>
        </w:rPr>
        <w:t xml:space="preserve">where h(R) = 1 if T(R) ≤ 0, and h(R) = (1 − ηφ)[1 − (1 − α)G(φq(1 − ηφ)T(R)/v)] if T(R) &gt; 0, and the expectation is over R. In the choice regime the corresponding probability is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 F(va/δ).</w:t>
      </w:r>
    </w:p>
    <w:p>
      <w:pPr>
        <w:pStyle w:val="Heading2"/>
        <w:keepNext/>
        <w:spacing w:after="0" w:before="120" w:line="480" w:lineRule="auto"/>
      </w:pPr>
      <w:r>
        <w:rPr>
          <w:rFonts w:ascii="Times New Roman" w:cs="Times New Roman" w:eastAsia="Times New Roman" w:hAnsi="Times New Roman"/>
          <w:b/>
          <w:bCs/>
          <w:i/>
          <w:iCs/>
          <w:sz w:val="24"/>
          <w:szCs w:val="24"/>
        </w:rPr>
        <w:t xml:space="preserve">4.2 Why Debt Can Rise When Quality Gets Cheaper</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denote the probabilities that a task ends with debt in the choice and acceptance regimes, and let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denote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in the rational benchmark.</w:t>
      </w:r>
    </w:p>
    <w:p>
      <w:pPr>
        <w:spacing w:after="0" w:line="480" w:lineRule="auto"/>
        <w:ind w:left="720" w:right="360"/>
      </w:pPr>
      <w:r>
        <w:rPr>
          <w:rFonts w:ascii="Times New Roman" w:cs="Times New Roman" w:eastAsia="Times New Roman" w:hAnsi="Times New Roman"/>
          <w:b/>
          <w:bCs/>
          <w:i/>
          <w:iCs/>
        </w:rPr>
        <w:t xml:space="preserve">Result 1 (Decomposition).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The first term, the price effect, is non-positive when refactoring is no more costly than building quality (r ≤ a) and inspection is free (k = 0). The second term, the acceleration effect, is non-negative when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The third term, the behavioral wedge, is non-negative, and strictly positive when any wedge binds on a set of tasks with positive probability.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of Section 2.1 corresponds to the first term alone, and it predicts that debt falls when quality becomes cheaper. Debt can nonetheless rise through either of the other two terms, which is why the anomaly described in Section 1 does not by itself favor either account. Take illustrative values of q = 0.8, β = 0.5, φ = 0.6, α = 0.3, λ = 1, η = 0.5, δ = 1, σ = 0.5, r = 0.4a, inspection time uniform on [0, 0.6a], and lognormal rework costs with median va and log-dispersion 0.8. The price effect lowers the probability of debt by 0.24 and the wedge raises it by 0.32 at a constant value of time, so debt rises from 0.50 to 0.58 per task even though quality has become cheaper.</w:t>
      </w:r>
    </w:p>
    <w:p>
      <w:pPr>
        <w:pStyle w:val="Heading2"/>
        <w:keepNext/>
        <w:spacing w:after="0" w:before="120" w:line="480" w:lineRule="auto"/>
      </w:pPr>
      <w:r>
        <w:rPr>
          <w:rFonts w:ascii="Times New Roman" w:cs="Times New Roman" w:eastAsia="Times New Roman" w:hAnsi="Times New Roman"/>
          <w:b/>
          <w:bCs/>
          <w:i/>
          <w:iCs/>
          <w:sz w:val="24"/>
          <w:szCs w:val="24"/>
        </w:rPr>
        <w:t xml:space="preserve">4.3 What Aggregate Debt Cannot Reveal</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define three statistics. The self-admitted share is the probability that a unit of debt is self-admitted. The possession effect is the probability of deferring refactoring with an artifact in hand, F(λva/(βδ)), minus the probability of choosing E ex ante, F(va/δ), at equal cost (r = a). The lapse rate is the probability that a detected instance of E is left unrefactored although the developer planned, from the vantage point of the current period, to refactor it in the next. Because β cancels when both the cost and the benefit of refactoring lie in the future, the plan to refactor next period holds if and only if λvr &lt; δR, whereas the refactoring itself is carried out only if λvr &lt; βδR, so the lapse rate is F(λvr/(βδ)) − F(λvr/δ).</w:t>
      </w:r>
    </w:p>
    <w:p>
      <w:pPr>
        <w:spacing w:after="0" w:line="480" w:lineRule="auto"/>
        <w:ind w:left="720" w:right="360"/>
      </w:pPr>
      <w:r>
        <w:rPr>
          <w:rFonts w:ascii="Times New Roman" w:cs="Times New Roman" w:eastAsia="Times New Roman" w:hAnsi="Times New Roman"/>
          <w:b/>
          <w:bCs/>
          <w:i/>
          <w:iCs/>
        </w:rPr>
        <w:t xml:space="preserve">Result 2 (Observational equivalence and separation). </w:t>
      </w:r>
      <w:r>
        <w:rPr>
          <w:rFonts w:ascii="Times New Roman" w:cs="Times New Roman" w:eastAsia="Times New Roman" w:hAnsi="Times New Roman"/>
          <w:b w:val="false"/>
          <w:bCs w:val="false"/>
          <w:i/>
          <w:iCs/>
        </w:rPr>
        <w:t xml:space="preserve">(a) For any configuration of wedges with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there is a value of time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at which the rational benchmark produces the same aggregate debt,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(b) In the rational benchmark, for every v, q, and G, the self-admitted share equals σ, the possession effect is zero, and the lapse rate is zero. (c) Under the wedges, the self-admitted share falls below σ if and only if φ &lt; 1 and some debt is undetected; the possession effect is positive if and only if β &lt; 1 or λ &gt; 1; and the lapse rate is positive if and only if β &lt;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(P4). The possession effect and the lapse rate isolate the timing and possession wedges (P1b and P2), and the lapse rate separates present bias from loss aversion. A developer who feels refactoring a generated artifact as a loss feels it today and tomorrow alike, so she does not plan what she will not do. A present-biased developer plans to refactor tomorrow and, when tomorrow comes, defers again. In the illustration of Section 4.2, rational acceleration matches the behavioral level of debt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2.88v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while its self-admitted share stays at σ = 0.50 and its possession effect and lapse rate stay at zero. The behavioral configuration yields a self-admitted share of 0.33, a possession effect of 0.31, and a lapse rate of 0.26. With loss aversion alone (λ = 1.8), the possession effect is 0.27 and the lapse rate is zero. Table 2 in Section 3.3 is the empirical counterpart of this result.</w:t>
      </w:r>
    </w:p>
    <w:p>
      <w:pPr>
        <w:pStyle w:val="Heading2"/>
        <w:keepNext/>
        <w:spacing w:after="0" w:before="120" w:line="480" w:lineRule="auto"/>
      </w:pPr>
      <w:r>
        <w:rPr>
          <w:rFonts w:ascii="Times New Roman" w:cs="Times New Roman" w:eastAsia="Times New Roman" w:hAnsi="Times New Roman"/>
          <w:b/>
          <w:bCs/>
          <w:i/>
          <w:iCs/>
          <w:sz w:val="24"/>
          <w:szCs w:val="24"/>
        </w:rPr>
        <w:t xml:space="preserve">4.4 The Reliability Paradox</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One might expect debt to fall as models become more reliable. The model shows that it need not. Suppose inspection time is uniform on [0, K], and consider tasks with a given rework cost R on which refactoring a detected instance of E is worthwhile, B ≡ βδR − λvr &gt; 0.</w:t>
      </w:r>
    </w:p>
    <w:p>
      <w:pPr>
        <w:spacing w:after="0" w:line="480" w:lineRule="auto"/>
        <w:ind w:left="720" w:right="360"/>
      </w:pPr>
      <w:r>
        <w:rPr>
          <w:rFonts w:ascii="Times New Roman" w:cs="Times New Roman" w:eastAsia="Times New Roman" w:hAnsi="Times New Roman"/>
          <w:b/>
          <w:bCs/>
          <w:i/>
          <w:iCs/>
        </w:rPr>
        <w:t xml:space="preserve">Result 3 (Reliability paradox). </w:t>
      </w:r>
      <w:r>
        <w:rPr>
          <w:rFonts w:ascii="Times New Roman" w:cs="Times New Roman" w:eastAsia="Times New Roman" w:hAnsi="Times New Roman"/>
          <w:b w:val="false"/>
          <w:bCs w:val="false"/>
          <w:i/>
          <w:iCs/>
        </w:rPr>
        <w:t xml:space="preserve">Debt per task is D(q) = q(1 − ηφ)[1 − (1 − α)·min{1, q/q̂}], where q̂ = vK / [φ(1 − ηφ)B]. If α &lt; 1/2, D is decreasing in q on the interval (q*, q̂), so that a more reliable model produces more debt there, where q* = q̂ / [2(1 − α)]. If α ≥ 1/2, D is increasing in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declines. The paradox is not in itself behavioral: a rational developer also relaxes inspection as models improve, and her debt also rises, efficiently, over an interval. What the wedges do is move and widen that interval and turn an efficient response into an inefficient one. Anything that lowers the perceived value of inspection, whether an appearance wedge, a present-biased view of rework, or a higher value of time, raises q̂ and extends the paradox to less reliable models. Default acceptance removes the paradox only by raising debt at every level of reliability. Figure 1 illustrates. The result implies that improvements in model quality should not be expected to reduce debt monotonically, and that the debt consequences of a model upgrade depend on how much inspection it displaces.</w:t>
      </w:r>
    </w:p>
    <w:p>
      <w:pPr>
        <w:keepNext/>
        <w:spacing w:after="0" w:before="120"/>
        <w:jc w:val="center"/>
      </w:pPr>
      <w:r>
        <w:drawing>
          <wp:inline distT="0" distB="0" distL="0" distR="0">
            <wp:extent cx="5124450" cy="3000375"/>
            <wp:effectExtent t="0" r="0" b="0" l="0"/>
            <wp:docPr id="1" name="fig_19.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1. Debt per Task as Model Reliability Improves (K = 0.3, B = 1, η = 0.5, v = 1). Horizontal axis: q, the probability that a generated artifact is expedient (lower = more reliable model). Vertical axis: debt per task.</w:t>
      </w:r>
    </w:p>
    <w:p>
      <w:pPr>
        <w:pStyle w:val="Heading2"/>
        <w:keepNext/>
        <w:spacing w:after="0" w:before="120" w:line="480" w:lineRule="auto"/>
      </w:pPr>
      <w:r>
        <w:rPr>
          <w:rFonts w:ascii="Times New Roman" w:cs="Times New Roman" w:eastAsia="Times New Roman" w:hAnsi="Times New Roman"/>
          <w:b/>
          <w:bCs/>
          <w:i/>
          <w:iCs/>
          <w:sz w:val="24"/>
          <w:szCs w:val="24"/>
        </w:rPr>
        <w:t xml:space="preserve">4.5 Debt Traps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also accumulates over time. Let H be the stock of unresolved debt in a codebase, and suppose that refactoring becomes harder as the stock grows, r(H) =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 which plays the role of interest in the debt metaphor. In each period n artifacts arrive, and a share p of those not accepted by default is examined, whether by noticing or by inspection; to keep the dynamics tractable we treat p as a fixed parameter and assume that examination detects a defect with certainty. A detected instance of E is refactored when (2) holds at r(H). The inflow of debt is therefore I(H; β) = A + C·F(λvr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where A = nq[1 − (1 − α)p] is the inflow when every detected defect is refactored and A + C, with C = nq(1 − α)p, is the inflow when none is. A fraction μ of the stock is repaid each period, so that H</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μ)H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I(H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β), and steady states solve I(H; β) = μH. Let rework costs be lognormal with median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 and log-dispersion s, and for ε ∈ (0, 1/2) let z = Φ</w:t>
      </w:r>
      <w:r>
        <w:rPr>
          <w:rFonts w:ascii="Times New Roman" w:cs="Times New Roman" w:eastAsia="Times New Roman" w:hAnsi="Times New Roman"/>
          <w:b w:val="false"/>
          <w:bCs w:val="false"/>
          <w:i w:val="false"/>
          <w:iCs w:val="false"/>
          <w:vertAlign w:val="superscript"/>
        </w:rPr>
        <w:t xml:space="preserve">−1</w:t>
      </w:r>
      <w:r>
        <w:rPr>
          <w:rFonts w:ascii="Times New Roman" w:cs="Times New Roman" w:eastAsia="Times New Roman" w:hAnsi="Times New Roman"/>
          <w:b w:val="false"/>
          <w:bCs w:val="false"/>
          <w:i w:val="false"/>
          <w:iCs w:val="false"/>
        </w:rPr>
        <w:t xml:space="preserve">(1 − ε), where Φ is the standard normal distribution function.</w:t>
      </w:r>
    </w:p>
    <w:p>
      <w:pPr>
        <w:spacing w:after="0" w:line="480" w:lineRule="auto"/>
        <w:ind w:left="720" w:right="360"/>
      </w:pPr>
      <w:r>
        <w:rPr>
          <w:rFonts w:ascii="Times New Roman" w:cs="Times New Roman" w:eastAsia="Times New Roman" w:hAnsi="Times New Roman"/>
          <w:b/>
          <w:bCs/>
          <w:i/>
          <w:iCs/>
        </w:rPr>
        <w:t xml:space="preserve">Result 4 (Debt traps and hysteresis). </w:t>
      </w:r>
      <w:r>
        <w:rPr>
          <w:rFonts w:ascii="Times New Roman" w:cs="Times New Roman" w:eastAsia="Times New Roman" w:hAnsi="Times New Roman"/>
          <w:b w:val="false"/>
          <w:bCs w:val="false"/>
          <w:i/>
          <w:iCs/>
        </w:rPr>
        <w:t xml:space="preserve">Fix ε ∈ (0, 1/2) and write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 (A + Cε)/μ,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(A + C(1 − ε))/μ,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and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C(1 − 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 If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the regions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and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are both forward invariant. A stable low-debt state lies in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a stable debt trap lies in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(A + C)/μ], and an unstable steady state lies between them. (b) This interval is non-empty if and only if rework costs are concentrated relative to the interest on debt, e</w:t>
      </w:r>
      <w:r>
        <w:rPr>
          <w:rFonts w:ascii="Times New Roman" w:cs="Times New Roman" w:eastAsia="Times New Roman" w:hAnsi="Times New Roman"/>
          <w:b w:val="false"/>
          <w:bCs w:val="false"/>
          <w:i/>
          <w:iCs/>
          <w:vertAlign w:val="superscript"/>
        </w:rPr>
        <w:t xml:space="preserve">2sz</w:t>
      </w:r>
      <w:r>
        <w:rPr>
          <w:rFonts w:ascii="Times New Roman" w:cs="Times New Roman" w:eastAsia="Times New Roman" w:hAnsi="Times New Roman"/>
          <w:b w:val="false"/>
          <w:bCs w:val="false"/>
          <w:i/>
          <w:iCs/>
        </w:rPr>
        <w:t xml:space="preserve"> &lt; [1 + γ(A + C(1 − ε))/μ] / [1 + γ(A + Cε)/μ]. (c)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C)/μ]/(δR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every steady state lies below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every steady state lies above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(d)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is forward invariant for every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and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is forward invariant for every β ≤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Consequently, a codebase that has been pushed into the trap by a value of β at or below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stays there when β returns to any value below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which lies strictly above the level that tipped it. It leaves only if β rises above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or if a one-time repayment brings H below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while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Because present bias cancels in the choice regime, a team without an assistant behaves as if β = 1 in its refactoring decisions, and adoption replaces 1 with the team’s β. Adoption can therefore tip a codebase from the low-debt state into the trap even though the assistant also lowers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Three implications follow. The distribution of debt across codebases should become bimodal after adoption. Codebases that enter adoption with more debt should be more likely to tip, because a shock to H can carry a codebase in the bistable region across the unstable steady state. And interventions that would have prevented the trap, such as nudges that raise effective β slightly, cannot reverse it; escape requires a large change in the decision environment or a one-time refactoring program. In the illustration in Figure 2 (with v = λ = δ = 1), a numerical computation of the steady states gives a bistable region of β ∈ (0.646, 0.843): codebases tip into the trap when β falls below 0.646 and escape only when it rises above 0.843. The closed-form conditions are sufficient and, in this illustration, nearly sharp: the union of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over ε reproduces the region to three decimal places, and the widest single interval, at ε = 0.14, is (0.659, 0.829).</w:t>
      </w:r>
    </w:p>
    <w:p>
      <w:pPr>
        <w:keepNext/>
        <w:spacing w:after="0" w:before="120"/>
        <w:jc w:val="center"/>
      </w:pPr>
      <w:r>
        <w:drawing>
          <wp:inline distT="0" distB="0" distL="0" distR="0">
            <wp:extent cx="5124450" cy="2933700"/>
            <wp:effectExtent t="0" r="0" b="0" l="0"/>
            <wp:docPr id="1" name="fig_21.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933700"/>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2. Steady-State Debt and Hysteresis in Present Bias (n = 1, q = 0.5, p = 0.9, α = 0, r</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0.3, γ = 3, μ = 0.5, lognormal rework costs with median 1 and log-dispersion 0.25). Horizontal axis: β (present bias; lower = stronger). Vertical axis: steady-state debt stock H*.</w:t>
      </w:r>
    </w:p>
    <w:p>
      <w:pPr>
        <w:pStyle w:val="Heading2"/>
        <w:keepNext/>
        <w:spacing w:after="0" w:before="120" w:line="480" w:lineRule="auto"/>
      </w:pPr>
      <w:r>
        <w:rPr>
          <w:rFonts w:ascii="Times New Roman" w:cs="Times New Roman" w:eastAsia="Times New Roman" w:hAnsi="Times New Roman"/>
          <w:b/>
          <w:bCs/>
          <w:i/>
          <w:iCs/>
          <w:sz w:val="24"/>
          <w:szCs w:val="24"/>
        </w:rPr>
        <w:t xml:space="preserve">4.6 A Game of Tool Design, Adoption Governance, and Shadow AI</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single-decision model treats the interface as given. In practice a tool vendor designs the interface, and whether its settings are chosen by developers or by their organization is a governance decision. We therefore model a game among three kinds of players, specified in Table 3.</w:t>
      </w:r>
    </w:p>
    <w:p>
      <w:pPr>
        <w:keepNext/>
        <w:spacing w:after="120" w:before="240" w:line="276"/>
      </w:pPr>
      <w:r>
        <w:rPr>
          <w:rFonts w:ascii="Times New Roman" w:cs="Times New Roman" w:eastAsia="Times New Roman" w:hAnsi="Times New Roman"/>
          <w:b/>
          <w:bCs/>
          <w:i w:val="false"/>
          <w:iCs w:val="false"/>
        </w:rPr>
        <w:t xml:space="preserve">Table 3. Players, Actions, and Payoffs of the Governance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000"/>
        <w:gridCol w:w="1860"/>
      </w:tblGrid>
      <w:tr>
        <w:trPr>
          <w:cantSplit/>
          <w:tblHeader/>
        </w:trPr>
        <w:tc>
          <w:tcPr>
            <w:tcW w:type="dxa" w:w="1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Player</w:t>
            </w:r>
          </w:p>
        </w:tc>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Actions</w:t>
            </w:r>
          </w:p>
        </w:tc>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Payoff</w:t>
            </w:r>
          </w:p>
        </w:tc>
        <w:tc>
          <w:tcPr>
            <w:tcW w:type="dxa" w:w="18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Information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Vendor j = 1, …, N (N = 1: monopoly; N ≥ 2: Bertrand)</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Offers an interface with friction f</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[0, 1] at price 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0 per developer</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if its offer is adopted, 0 otherwise; zero marginal cost, and friction costs the vendor nothing</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all parameters, including the wedges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Organization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Under organization-led adoption: chooses a vendor or no assistant, and, where it controls the setting, the configured friction f</w:t>
            </w:r>
            <w:r>
              <w:rPr>
                <w:rFonts w:ascii="Times New Roman" w:cs="Times New Roman" w:eastAsia="Times New Roman" w:hAnsi="Times New Roman"/>
                <w:b w:val="false"/>
                <w:bCs w:val="false"/>
                <w:i w:val="false"/>
                <w:iCs w:val="false"/>
                <w:sz w:val="20"/>
                <w:szCs w:val="20"/>
                <w:vertAlign w:val="subscript"/>
              </w:rPr>
              <w:t xml:space="preserv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Long-run payoff W</w:t>
            </w:r>
            <w:r>
              <w:rPr>
                <w:rFonts w:ascii="Times New Roman" w:cs="Times New Roman" w:eastAsia="Times New Roman" w:hAnsi="Times New Roman"/>
                <w:b w:val="false"/>
                <w:bCs w:val="false"/>
                <w:i w:val="false"/>
                <w:iCs w:val="false"/>
                <w:sz w:val="20"/>
                <w:szCs w:val="20"/>
                <w:vertAlign w:val="subscript"/>
              </w:rPr>
              <w:t xml:space="preserve">O</w:t>
            </w:r>
            <w:r>
              <w:rPr>
                <w:rFonts w:ascii="Times New Roman" w:cs="Times New Roman" w:eastAsia="Times New Roman" w:hAnsi="Times New Roman"/>
                <w:b w:val="false"/>
                <w:bCs w:val="false"/>
                <w:i w:val="false"/>
                <w:iCs w:val="false"/>
                <w:sz w:val="20"/>
                <w:szCs w:val="20"/>
              </w:rPr>
              <w:t xml:space="preserve">(f) − p, evaluated with β = φ = λ = 1 and the behavior that developers’ rules induce</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all parameters and developers’ behavioral rules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Developer (representative)</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Under developer-led adoption: chooses a vendor or no assistant. Under organization-led adoption: complies with the sanctioned tool or bypasses it at personal cost ε. For each artifact: inspects, refactors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Perceived payoff W</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(f) − p, evaluated with the wedges and rules (2) and (3)</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the offers; perceives the defect rate as φq</w:t>
            </w:r>
          </w:p>
        </w:tc>
      </w:tr>
    </w:tbl>
    <w:p>
      <w:pPr>
        <w:spacing w:after="120"/>
      </w:pP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f is the effort required to accept a suggestion without deliberation, as when large suggestions are presented as diffs to be reviewed rather than as text to be accepted. It lowers the default share to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but costs the developer time vcf²/2 per artifact, incurred now. The timing is as follows. In stage 0 the governance regime, developer-led or organization-led, is given. In stage 1 the vendors simultaneously post offers (f</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p</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In stage 2 the adopter, who is the developer under developer-led adoption and the organization under organization-led adoption, chooses the offer that maximizes its own payoff net of price, or no assistant. Where the organization controls the setting, it then chooses the configured friction f</w:t>
      </w:r>
      <w:r>
        <w:rPr>
          <w:rFonts w:ascii="Times New Roman" w:cs="Times New Roman" w:eastAsia="Times New Roman" w:hAnsi="Times New Roman"/>
          <w:b w:val="false"/>
          <w:bCs w:val="false"/>
          <w:i w:val="false"/>
          <w:iCs w:val="false"/>
          <w:vertAlign w:val="subscript"/>
        </w:rPr>
        <w:t xml:space="preserve">s</w:t>
      </w:r>
      <w:r>
        <w:rPr>
          <w:rFonts w:ascii="Times New Roman" w:cs="Times New Roman" w:eastAsia="Times New Roman" w:hAnsi="Times New Roman"/>
          <w:b w:val="false"/>
          <w:bCs w:val="false"/>
          <w:i w:val="false"/>
          <w:iCs w:val="false"/>
        </w:rPr>
        <w:t xml:space="preserve"> (stage 3). In stage 4 each developer decides whether to use the sanctioned tool or to bypass it for an unsanctioned tool, the equilibrium product of the developer-led market, at personal cost ε, which captures the shadow IT that IS research has documented for earlier technologies (Haag &amp; Eckhardt, 2017). In stage 5 the developer faces each artifact as in Section 4.1. The equilibrium concept is subgame-perfect Nash equilibrium in pure strategies, with ties broken in favor of the sanctioned tool and of the higher-surplus offer, and we solve the game by backward induction.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For tractability, rework cost is a constant R̄ with B &gt; 0, inspection time is uniform on [0, K], and we assume Δ ≤ vK, so that inspection is never certain. The stage-5 rules (2) and (3) summarize the developer’s inspection problem in two quantities: the perceived value of inspecting an artifact,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φq(1 − ηφ)(βδR̄ − λvr), and its long-run value, Δ = q(1 − ηφ)(δR̄ − vr). The wedges push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below Δ (Appendix A, Lemma 2). Inspection is worthwhile when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so the developer’s perceived option value of deliberating on an artifact is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and the long-run value that this behavior generates is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Stage-5 behavior therefore gives the payoffs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vcf²/2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vcf²/2, where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are the perceived and long-run costs of an artifact that is not inspected, which do not depend on f (Appendix A gives their expressions).</w:t>
      </w:r>
    </w:p>
    <w:p>
      <w:pPr>
        <w:spacing w:after="0" w:line="480" w:lineRule="auto"/>
        <w:ind w:left="720" w:right="360"/>
      </w:pPr>
      <w:r>
        <w:rPr>
          <w:rFonts w:ascii="Times New Roman" w:cs="Times New Roman" w:eastAsia="Times New Roman" w:hAnsi="Times New Roman"/>
          <w:b/>
          <w:bCs/>
          <w:i/>
          <w:iCs/>
        </w:rPr>
        <w:t xml:space="preserve">Result 5 (Friction wedge). </w:t>
      </w:r>
      <w:r>
        <w:rPr>
          <w:rFonts w:ascii="Times New Roman" w:cs="Times New Roman" w:eastAsia="Times New Roman" w:hAnsi="Times New Roman"/>
          <w:b w:val="false"/>
          <w:bCs w:val="false"/>
          <w:i/>
          <w:iCs/>
        </w:rPr>
        <w:t xml:space="preserve">The friction that maximizes developers’ perceived payoff is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² / (2v²cK), and the friction that maximizes the organization’s long-run payoff, given how developers inspect,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(2Δ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(2v²cK), both capped at 1. At interior values,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(v²cK) ≥ 0, with equality if and only if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Δ, which holds in the rational benchmark for every value of time v.</w:t>
      </w:r>
    </w:p>
    <w:p>
      <w:pPr>
        <w:spacing w:after="0" w:line="480" w:lineRule="auto"/>
        <w:ind w:left="720" w:right="360"/>
      </w:pPr>
      <w:r>
        <w:rPr>
          <w:rFonts w:ascii="Times New Roman" w:cs="Times New Roman" w:eastAsia="Times New Roman" w:hAnsi="Times New Roman"/>
          <w:b/>
          <w:bCs/>
          <w:i/>
          <w:iCs/>
        </w:rPr>
        <w:t xml:space="preserve">Result 6 (Governance, not competition). </w:t>
      </w:r>
      <w:r>
        <w:rPr>
          <w:rFonts w:ascii="Times New Roman" w:cs="Times New Roman" w:eastAsia="Times New Roman" w:hAnsi="Times New Roman"/>
          <w:b w:val="false"/>
          <w:bCs w:val="false"/>
          <w:i/>
          <w:iCs/>
        </w:rPr>
        <w:t xml:space="preserve">In every subgame-perfect equilibrium under developer-led adoption, the adopted interface has friction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whether the vendor is a monopolist, who charges the developer’s entire perceived surplus, or one of N ≥ 2 Bertrand competitors, who charge zero; market structure affects the price, not the design. Under organization-led adoption the equilibrium friction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Adoption governance therefore affects debt if and only if a wedge binds.</w:t>
      </w:r>
    </w:p>
    <w:p>
      <w:pPr>
        <w:spacing w:after="0" w:line="480" w:lineRule="auto"/>
        <w:ind w:left="720" w:right="360"/>
      </w:pPr>
      <w:r>
        <w:rPr>
          <w:rFonts w:ascii="Times New Roman" w:cs="Times New Roman" w:eastAsia="Times New Roman" w:hAnsi="Times New Roman"/>
          <w:b/>
          <w:bCs/>
          <w:i/>
          <w:iCs/>
        </w:rPr>
        <w:t xml:space="preserve">Result 7 (Shadow AI constraint). </w:t>
      </w:r>
      <w:r>
        <w:rPr>
          <w:rFonts w:ascii="Times New Roman" w:cs="Times New Roman" w:eastAsia="Times New Roman" w:hAnsi="Times New Roman"/>
          <w:b w:val="false"/>
          <w:bCs w:val="false"/>
          <w:i/>
          <w:iCs/>
        </w:rPr>
        <w:t xml:space="preserve">If developers can bypass a sanctioned tool at cost ε, the organization implements f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min{f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 in equilibrium. The constraint binds, and the organization closes only part of the gap, when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exceeds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vendor’s side of the game follows a familiar logic. When a cost is borne later and perceived dimly, sellers compete on what buyers perceive, as in the shrouded-attribute and self-control results of behavioral industrial organization (DellaVigna &amp; Malmendier, 2004; Gabaix &amp; Laibson, 2006). Developers will not pay for friction, and a vendor that offered more of it would lose them. The extension adds three points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only as far as developers are willing to comply, so enforcement against unsanctioned tools and choice architecture are complements. Third, as Figure 3 shows, the organization’s optimal friction is not monotone in the wedges. The closed forms rely on a quadratic friction cost, a constant rework cost, and uniform inspection time, but the sign result does not: Appendix A shows that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equality at interior optima if and only if no wedge binds, for any convex friction cost, any decreasing and convex default share, any distribution of inspection time, and heterogeneous rework costs.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 β = 0.5, φ = 0.6, and λ = 1.2, developers prefer friction of 0.05 and the organization 0.49; with a bypass cost of ε = 0.005, the organization can implement 0.31. Under rational acceleration the two preferences coincide at every value of time: doubling v lowers the friction both parties prefer from 0.71 to 0.10 but opens no gap.</w:t>
      </w:r>
    </w:p>
    <w:p>
      <w:pPr>
        <w:keepNext/>
        <w:spacing w:after="0" w:before="120"/>
        <w:jc w:val="center"/>
      </w:pPr>
      <w:r>
        <w:drawing>
          <wp:inline distT="0" distB="0" distL="0" distR="0">
            <wp:extent cx="5124450" cy="3000375"/>
            <wp:effectExtent t="0" r="0" b="0" l="0"/>
            <wp:docPr id="1" name="fig_24.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3. Developer-Preferred, Organization-Optimal, and Implementable Friction as the Wedges Weaken (q = 0.5, R̄ = 2, r = 0.4, K = 0.6, α</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0.8, c = 0.15, ε = 0.005, η = 0.5, δ = v = 1; φ and λ move linearly with β from 0.6 and 1.2 at β = 0.3 to 1 and 1 at β = 1). Horizontal axis: wedge strength (β; φ and λ move with β, from strong at left to none at right). Vertical axis: interface friction f.</w:t>
      </w:r>
    </w:p>
    <w:p>
      <w:pPr>
        <w:pStyle w:val="Heading2"/>
        <w:keepNext/>
        <w:spacing w:after="0" w:before="120" w:line="480" w:lineRule="auto"/>
      </w:pPr>
      <w:r>
        <w:rPr>
          <w:rFonts w:ascii="Times New Roman" w:cs="Times New Roman" w:eastAsia="Times New Roman" w:hAnsi="Times New Roman"/>
          <w:b/>
          <w:bCs/>
          <w:i/>
          <w:iCs/>
          <w:sz w:val="24"/>
          <w:szCs w:val="24"/>
        </w:rPr>
        <w:t xml:space="preserve">4.7 Learning and Self-Confirming Complacency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perception wedge need not be permanent, because developers can learn the defect rate. Let the perceived defect rate q̂ = φq evolve while the noticing probability stays fixed, and suppose that developers learn from inspected artifacts, which are an unbiased sample, and from rework they attribute to generated code, which happens with probability θ per instance of undetected debt. Let s(q̂) be the probability that a developer who holds belief q̂ inspects an artifact. With learning speed κ ∈ (0, 1], q̂′ = q̂ + κ[s(q̂) + θ(1 − s(q̂))](q − q̂), and we take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 Suppose inspection takes at least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&gt; 0 units of time, with a positive density above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and let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q̂(1 − ηφ)B be increasing in q̂. Then s(q̂) = 0 whenever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vk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which defines a threshold belief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&lt; q, and s(q̂) &gt; 0 if and only if q̂ &gt;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w:t>
      </w:r>
    </w:p>
    <w:p>
      <w:pPr>
        <w:spacing w:after="0" w:line="480" w:lineRule="auto"/>
        <w:ind w:left="720" w:right="360"/>
      </w:pPr>
      <w:r>
        <w:rPr>
          <w:rFonts w:ascii="Times New Roman" w:cs="Times New Roman" w:eastAsia="Times New Roman" w:hAnsi="Times New Roman"/>
          <w:b/>
          <w:bCs/>
          <w:i/>
          <w:iCs/>
        </w:rPr>
        <w:t xml:space="preserve">Result 8 (Self-confirming complacency). </w:t>
      </w:r>
      <w:r>
        <w:rPr>
          <w:rFonts w:ascii="Times New Roman" w:cs="Times New Roman" w:eastAsia="Times New Roman" w:hAnsi="Times New Roman"/>
          <w:b w:val="false"/>
          <w:bCs w:val="false"/>
          <w:i/>
          <w:iCs/>
        </w:rPr>
        <w:t xml:space="preserve">(a) If θ &gt; 0 or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&gt;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perceived defect rate converges to q and the perception wedge vanishes. (b) If θ = 0 and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belief is self-confirming: developers do not inspect, observe no evidence, and never revise. (c) In case (b), a mandate that requires inspection for T periods removes the wedge permanently if and only if (1 − κ)</w:t>
      </w:r>
      <w:r>
        <w:rPr>
          <w:rFonts w:ascii="Times New Roman" w:cs="Times New Roman" w:eastAsia="Times New Roman" w:hAnsi="Times New Roman"/>
          <w:b w:val="false"/>
          <w:bCs w:val="false"/>
          <w:i/>
          <w:iCs/>
          <w:vertAlign w:val="superscript"/>
        </w:rPr>
        <w:t xml:space="preserve">T</w:t>
      </w:r>
      <w:r>
        <w:rPr>
          <w:rFonts w:ascii="Times New Roman" w:cs="Times New Roman" w:eastAsia="Times New Roman" w:hAnsi="Times New Roman"/>
          <w:b w:val="false"/>
          <w:bCs w:val="false"/>
          <w:i/>
          <w:iCs/>
        </w:rPr>
        <w:t xml:space="preserve">(q −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Learning dissolves the perception wedge only if evidence reaches the developer, and evidence arrives mainly through the inspection that the wedge suppresses. Attribution of rework to generated code, which weak ownership makes less likely, is the other channel. Result 8 gives friction and mandates a dynamic value that Result 5 omits: by inducing inspection, they produce the evidence that corrects perception, so a temporary intervention can have permanent effects. In Figure 4, a single period of mandatory inspection moves a developer from a self-confirming belief of 0.05 onto a path toward the true defect rate of 0.5, and attributed rework does the same more slowly. The result also yields a test. Under a perception wedge, the effects of a temporary inspection mandate should persist after it is lifted; under rational acceleration, they should end with it.</w:t>
      </w:r>
    </w:p>
    <w:p>
      <w:pPr>
        <w:keepNext/>
        <w:spacing w:after="0" w:before="120"/>
        <w:jc w:val="center"/>
      </w:pPr>
      <w:r>
        <w:drawing>
          <wp:inline distT="0" distB="0" distL="0" distR="0">
            <wp:extent cx="5124450" cy="2905125"/>
            <wp:effectExtent t="0" r="0" b="0" l="0"/>
            <wp:docPr id="1" name="fig_26.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290512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4. Learning About the Defect Rate: Self-Confirming Complacency and a Temporary Mandate (q = 0.5, κ = 0.1, k</w:t>
      </w:r>
      <w:r>
        <w:rPr>
          <w:rFonts w:ascii="Times New Roman" w:cs="Times New Roman" w:eastAsia="Times New Roman" w:hAnsi="Times New Roman"/>
          <w:b/>
          <w:bCs/>
          <w:i w:val="false"/>
          <w:iCs w:val="false"/>
          <w:vertAlign w:val="subscript"/>
        </w:rPr>
        <w:t xml:space="preserve">min</w:t>
      </w:r>
      <w:r>
        <w:rPr>
          <w:rFonts w:ascii="Times New Roman" w:cs="Times New Roman" w:eastAsia="Times New Roman" w:hAnsi="Times New Roman"/>
          <w:b/>
          <w:bCs/>
          <w:i w:val="false"/>
          <w:iCs w:val="false"/>
        </w:rPr>
        <w:t xml:space="preserve"> = 0.05, K = 0.6, B = 1, η = 0.5, noticing wedge 0.6). Vertical axis: perceived defect rate q̂; horizontal axis: period.</w:t>
      </w:r>
    </w:p>
    <w:p>
      <w:pPr>
        <w:pStyle w:val="Heading2"/>
        <w:keepNext/>
        <w:spacing w:after="0" w:before="120" w:line="480" w:lineRule="auto"/>
      </w:pPr>
      <w:r>
        <w:rPr>
          <w:rFonts w:ascii="Times New Roman" w:cs="Times New Roman" w:eastAsia="Times New Roman" w:hAnsi="Times New Roman"/>
          <w:b/>
          <w:bCs/>
          <w:i/>
          <w:iCs/>
          <w:sz w:val="24"/>
          <w:szCs w:val="24"/>
        </w:rPr>
        <w:t xml:space="preserve">4.8 From the Model to the Propositions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model formalizes the frame shift at the level of a single decision and at the level of the governance game. Present bias generates P1 and P2 (Result 2), the perception wedge generates P3, P4, and P7 (Results 2, 3, and 5), the default share generates P8 (Result 3), and loss aversion generates the retention component of P5 (Result 2). Results 1 and 2 ground the contrast with rational acceleration in Table 2, and Results 3 to 8 add predictions that the verbal theory does not make. The remaining propositions, P6 and P9 to P11, are not derived from the model, for the reasons given in Section 3.2: P9 to P11 rest on rational incentives that both accounts share, and P6 concerns repair after acceptance, which enters the dynamic model only through the exogenous repayment rate μ. We retain them because they indicate where the mechanisms should be strongest, and Study 3 uses them as moderators.</w:t>
      </w:r>
    </w:p>
    <w:p>
      <w:pPr>
        <w:pStyle w:val="Heading1"/>
        <w:keepNext/>
        <w:spacing w:after="0" w:before="240" w:line="480" w:lineRule="auto"/>
      </w:pPr>
      <w:r>
        <w:rPr>
          <w:rFonts w:ascii="Times New Roman" w:cs="Times New Roman" w:eastAsia="Times New Roman" w:hAnsi="Times New Roman"/>
          <w:b/>
          <w:bCs/>
          <w:sz w:val="24"/>
          <w:szCs w:val="24"/>
        </w:rPr>
        <w:t xml:space="preserve">5. Empirical Implications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contribution of this paper is theoretical, but the theory and the model are built to be tested. This section states what evidence would bear on them and what would count against them, and Section 5.1 reports a pilot test of one proposition.</w:t>
      </w:r>
    </w:p>
    <w:p>
      <w:pPr>
        <w:pStyle w:val="Heading2"/>
        <w:keepNext/>
        <w:spacing w:after="0" w:before="120" w:line="480" w:lineRule="auto"/>
      </w:pPr>
      <w:r>
        <w:rPr>
          <w:rFonts w:ascii="Times New Roman" w:cs="Times New Roman" w:eastAsia="Times New Roman" w:hAnsi="Times New Roman"/>
          <w:b/>
          <w:bCs/>
          <w:i/>
          <w:iCs/>
          <w:sz w:val="24"/>
          <w:szCs w:val="24"/>
        </w:rPr>
        <w:t xml:space="preserve">5.1 Archival Evidence (Study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Public repositories in which LLM authorship can be identified, whether through co-author trailers, agent-opened pull requests, or assistant configuration files, support a staggered difference-in-differences comparison of adopting and non-adopting repositories, as well as change-level comparisons within repositories and reviewers. The model dictates the measures. Aggregate debt is reported but cannot adjudicate between the accounts (Result 2a). The adjudicating statistics are the self-admission rate of a change conditional on the static-analysis warnings it introduces (P4), the substantive review a change receives with reviewer fixed effects (P7), and the net-addition bias in single-contributor modules (P5). Refactoring is measured as commits per active contributor and not as a share of changed lines, which rebound would contaminate (P1a), and duplication that grows with contributor count identifies rebound rather than loss aversion (P10). The same data test the dynamic results: after adoption, the cross-repository distribution of debt should become bimodal, and repositories that enter adoption with more debt should be more likely to tip (Result 4). Within repositories that switch model generations, debt per LLM-assisted change should not fall monotonically with model reliability (Result 3).</w:t>
      </w:r>
    </w:p>
    <w:p>
      <w:pPr>
        <w:spacing w:after="0" w:line="480" w:lineRule="auto"/>
        <w:ind w:firstLine="720"/>
      </w:pPr>
      <w:r>
        <w:rPr>
          <w:rFonts w:ascii="Times New Roman" w:cs="Times New Roman" w:eastAsia="Times New Roman" w:hAnsi="Times New Roman"/>
          <w:b/>
          <w:bCs/>
        </w:rPr>
        <w:t xml:space="preserve">Pilot test of P4. </w:t>
      </w:r>
      <w:r>
        <w:rPr>
          <w:rFonts w:ascii="Times New Roman" w:cs="Times New Roman" w:eastAsia="Times New Roman" w:hAnsi="Times New Roman"/>
          <w:b w:val="false"/>
          <w:bCs w:val="false"/>
          <w:i w:val="false"/>
          <w:iCs w:val="false"/>
        </w:rPr>
        <w:t xml:space="preserve">As a first check, we tested P4 on the public history of the Aider repository (Aider-AI, 2026). The repository suits the purpose for two reasons. The tool marks the changes it writes by appending “(aider)” to the commit author’s name, which identifies LLM authorship directly, and one maintainer wrote most commits both with and without the tag, so much of the comparison is within a single developer. The analysis is exploratory and was not preregistered.</w:t>
      </w:r>
    </w:p>
    <w:p>
      <w:pPr>
        <w:spacing w:after="0" w:line="480" w:lineRule="auto"/>
        <w:ind w:firstLine="720"/>
      </w:pPr>
      <w:r>
        <w:rPr>
          <w:rFonts w:ascii="Times New Roman" w:cs="Times New Roman" w:eastAsia="Times New Roman" w:hAnsi="Times New Roman"/>
          <w:b/>
          <w:bCs/>
        </w:rPr>
        <w:t xml:space="preserve">Data and measures. </w:t>
      </w:r>
      <w:r>
        <w:rPr>
          <w:rFonts w:ascii="Times New Roman" w:cs="Times New Roman" w:eastAsia="Times New Roman" w:hAnsi="Times New Roman"/>
          <w:b w:val="false"/>
          <w:bCs w:val="false"/>
          <w:i w:val="false"/>
          <w:iCs w:val="false"/>
        </w:rPr>
        <w:t xml:space="preserve">We used the full history to May 2026 (13,138 commits) and kept the commits that add at least one line of Python after the author tag first appears, on 18 June 2024. This leaves 4,936 commits, of which 2,801 are LLM-authored and 2,135 human-authored, and one maintainer authored 4,707 of them. The tag no longer appears after the second quarter of 2025, so we include quarter fixed effects to absorb the change in composition. Self-admitted debt is the number of added comment lines containing TODO, FIXME, HACK, XXX, KLUDGE, or WORKAROUND (30 events; the strict measure). Because these markers turned out to be rare, we also report a broader measure, fixed after seeing the counts, that adds phrases such as “for now,” “temporary,” “quick fix,” “ugly,” and “refactor later” (121 events). Statically detected debt introduced is the increase, summed over the files a commit changes, in the number of warnings from the ruff linter (Astral, 2026) for excess complexity, too many branches, arguments, statements, or returns, magic values, simplifiable code, commented-out code, and likely bugs, computed on the parent and child versions of each file with suppression comments ignored.</w:t>
      </w:r>
    </w:p>
    <w:p>
      <w:pPr>
        <w:spacing w:after="0" w:line="480" w:lineRule="auto"/>
        <w:ind w:firstLine="720"/>
      </w:pPr>
      <w:r>
        <w:rPr>
          <w:rFonts w:ascii="Times New Roman" w:cs="Times New Roman" w:eastAsia="Times New Roman" w:hAnsi="Times New Roman"/>
          <w:b/>
          <w:bCs/>
        </w:rPr>
        <w:t xml:space="preserve">Results. </w:t>
      </w:r>
      <w:r>
        <w:rPr>
          <w:rFonts w:ascii="Times New Roman" w:cs="Times New Roman" w:eastAsia="Times New Roman" w:hAnsi="Times New Roman"/>
          <w:b w:val="false"/>
          <w:bCs w:val="false"/>
          <w:i w:val="false"/>
          <w:iCs w:val="false"/>
        </w:rPr>
        <w:t xml:space="preserve">We estimate Poisson regressions of marker counts on an indicator of LLM authorship, controlling for detected debt introduced, the logarithm of added lines, and quarter fixed effects, with standard errors clustered by month. LLM-authored commits carry far fewer markers. The incidence rate ratio is 0.02 (95% confidence interval 0.00 to 0.13) for the strict measure and 0.28 (0.14 to 0.56) for the broad one, and restricting the sample to the one maintainer or controlling for the number of added comment lines leaves the estimates essentially unchanged (Table 4). The gap does not arise because LLM commits contain fewer comments: they add 0.088 comment lines per added line, against 0.069 for human commits. Nor does it arise because LLM changes introduce less detected debt. The share of commits that raise the warning count is about 7.5 percent in both groups, and the number of markers per 100 new warnings is 0.2 for LLM-authored and 9.0 for human-authored commits on the strict measure, and 4.4 against 29.0 on the broad one.</w:t>
      </w:r>
    </w:p>
    <w:p>
      <w:pPr>
        <w:keepNext/>
        <w:spacing w:after="120" w:before="240" w:line="276"/>
      </w:pPr>
      <w:r>
        <w:rPr>
          <w:rFonts w:ascii="Times New Roman" w:cs="Times New Roman" w:eastAsia="Times New Roman" w:hAnsi="Times New Roman"/>
          <w:b/>
          <w:bCs/>
          <w:i w:val="false"/>
          <w:iCs w:val="false"/>
        </w:rPr>
        <w:t xml:space="preserve">Table 4. Pilot Test of P4: Self-Admitted Debt Markers in LLM-Authored versus Human-Authored Commits (Incidence Rate Ratios)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000"/>
        <w:gridCol w:w="2080"/>
        <w:gridCol w:w="2080"/>
      </w:tblGrid>
      <w:tr>
        <w:trPr>
          <w:cantSplit/>
          <w:tblHeader/>
        </w:trPr>
        <w:tc>
          <w:tcPr>
            <w:tcW w:type="dxa" w:w="4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Specification</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Commits</w:t>
            </w:r>
          </w:p>
        </w:tc>
        <w:tc>
          <w:tcPr>
            <w:tcW w:type="dxa" w:w="208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Strict markers (30 events)</w:t>
            </w:r>
          </w:p>
        </w:tc>
        <w:tc>
          <w:tcPr>
            <w:tcW w:type="dxa" w:w="208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Broad markers (121 events)</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All authors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4,936</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0.02 [0.00, 0.13]</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0.28 [0.14, 0.56]</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One maintainer only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4,707</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0.02 [0.00, 0.12]</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0.27 [0.14, 0.52]</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Adding added comment lines as a control</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4,936</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0.02 [0.00, 0.12]</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0.32 [0.17, 0.60]</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Excluding test- and benchmark-only commits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3,867</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0.03 [0.01, 0.19]</w:t>
            </w:r>
          </w:p>
        </w:tc>
        <w:tc>
          <w:tcPr>
            <w:tcW w:type="dxa" w:w="20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0.33 [0.16, 0.68]</w:t>
            </w:r>
          </w:p>
        </w:tc>
      </w:tr>
    </w:tbl>
    <w:p>
      <w:pPr>
        <w:spacing w:after="240" w:before="80" w:line="240"/>
      </w:pPr>
      <w:r>
        <w:rPr>
          <w:rFonts w:ascii="Times New Roman" w:cs="Times New Roman" w:eastAsia="Times New Roman" w:hAnsi="Times New Roman"/>
          <w:b w:val="false"/>
          <w:bCs w:val="false"/>
          <w:i w:val="false"/>
          <w:iCs w:val="false"/>
          <w:sz w:val="20"/>
          <w:szCs w:val="20"/>
        </w:rPr>
        <w:t xml:space="preserve">Note. Poisson regressions with controls for detected debt introduced, the logarithm of added lines, and quarter fixed effects; 95% confidence intervals in brackets, based on standard errors clustered by month. Values below 1 mean fewer markers in LLM-authored commits.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direction matches P4 and contradicts the prediction of rational acceleration that self-admission per unit of detected debt does not depend on authorship (Table 2). The evidence is weak in four respects. It comes from one repository and mainly one maintainer. The tool’s own prompts and conventions, which we did not examine, may discourage TODO comments, in which case the gap reflects tool design rather than the fluency mechanism. Developers choose which tasks to give the assistant, so authorship is not randomly assigned. And the comparison relies on a static-analysis proxy for debt: among the 373 commits that introduce new warnings, the strict measure yields only two events and is uninformative, while the broad measure yields 65 events for human-authored and 11 for LLM-authored commits. We therefore read the result as a consistency check that motivates the full design of Study 1, with several repositories identified through co-author trailers and agent-opened pull requests, and not as a test that the theory has passed. P7 requires review data from the platform’s interface and was not tested.</w:t>
      </w:r>
    </w:p>
    <w:p>
      <w:pPr>
        <w:pStyle w:val="Heading2"/>
        <w:keepNext/>
        <w:spacing w:after="0" w:before="120" w:line="480" w:lineRule="auto"/>
      </w:pPr>
      <w:r>
        <w:rPr>
          <w:rFonts w:ascii="Times New Roman" w:cs="Times New Roman" w:eastAsia="Times New Roman" w:hAnsi="Times New Roman"/>
          <w:b/>
          <w:bCs/>
          <w:i/>
          <w:iCs/>
          <w:sz w:val="24"/>
          <w:szCs w:val="24"/>
        </w:rPr>
        <w:t xml:space="preserve">5.2 Experimental Evidence (Study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statistics of Result 2 cannot be observed in archives because the cost of refactoring is not recorded there. A preregistered within-subjects experiment with professional developers can measure them. In a refactoring module, each participant makes eight decisions in a 2 × 2 design that crosses possession (a working generated artifact already in hand versus a choice made before any code exists) with the stated cost of refactoring, and may commit to refactor in a second session one week later. The possession effect at equal cost identifies β &lt; 1 or λ &gt; 1, and the lapse of first-session commitments identifies β &lt; 1 alone (P1b, Result 2). A simulation-based power analysis indicates that 160 participants provide power of 0.94 to detect a 10-percentage-point possession effect. In a review module, crossing an authorship label with actual authorship and seeded maintainability defects separates the appearance wedge from label-driven automation bias (P3, P7), and varying the keystroke cost of rejecting inline suggestions tests the default effect (P8). The review module uses an authorship cover story and ends with a debriefing.</w:t>
      </w:r>
    </w:p>
    <w:p>
      <w:pPr>
        <w:pStyle w:val="Heading2"/>
        <w:keepNext/>
        <w:spacing w:after="0" w:before="120" w:line="480" w:lineRule="auto"/>
      </w:pPr>
      <w:r>
        <w:rPr>
          <w:rFonts w:ascii="Times New Roman" w:cs="Times New Roman" w:eastAsia="Times New Roman" w:hAnsi="Times New Roman"/>
          <w:b/>
          <w:bCs/>
          <w:i/>
          <w:iCs/>
          <w:sz w:val="24"/>
          <w:szCs w:val="24"/>
        </w:rPr>
        <w:t xml:space="preserve">5.3 Field and Governance Evidence (Study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organizational results require variation across firms. A multi-site field study of engineering organizations would test Results 6 and 7 if the organizations differ in how they measure developers (P11), how strongly they assign module ownership (P6, P9), whether they control the configuration of AI assistants centrally, and how easily developers can use unsanctioned tools. Debt should be lower under central configuration only if the wedges operate, and the difference should shrink where bypass is easy. Organizations that introduce and later lift inspection mandates provide a test of Result 8: under a perception wedge, a temporary mandate should have effects that persist after it ends.</w:t>
      </w:r>
    </w:p>
    <w:p>
      <w:pPr>
        <w:pStyle w:val="Heading2"/>
        <w:keepNext/>
        <w:spacing w:after="0" w:before="120" w:line="480" w:lineRule="auto"/>
      </w:pPr>
      <w:r>
        <w:rPr>
          <w:rFonts w:ascii="Times New Roman" w:cs="Times New Roman" w:eastAsia="Times New Roman" w:hAnsi="Times New Roman"/>
          <w:b/>
          <w:bCs/>
          <w:i/>
          <w:iCs/>
          <w:sz w:val="24"/>
          <w:szCs w:val="24"/>
        </w:rPr>
        <w:t xml:space="preserve">5.4 What Would Count Against the Theory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can be falsified in its distinctive claims, though not in its aggregate prediction. If debt rises after adoption while the self-admitted share of debt, the possession effect, and the lapse of planned refactoring are all indistinguishable from their rational-benchmark values, rational acceleration explains the evidence and the frame shift is not needed. If debt is no lower where configuration is centrally controlled, Result 6 fails, and if the effects of temporary mandates end with them, Result 8 fails. Early descriptive evidence on review points both ways. In popular repositories, pull requests authored by coding agents are merged less often than human ones, yet those from one agent are accepted roughly ten times faster, which the authors read as a possible sign of shallow review (Li et al., 2025). If review of LLM-assisted changes proves more rather than less intensive once task type and size are held constant, the appearance wedge operates, if at all, through authors rather than reviewers, and P7 fails while P4 may still hold.</w:t>
      </w:r>
    </w:p>
    <w:p>
      <w:pPr>
        <w:pStyle w:val="Heading1"/>
        <w:keepNext/>
        <w:spacing w:after="0" w:before="240" w:line="480" w:lineRule="auto"/>
      </w:pPr>
      <w:r>
        <w:rPr>
          <w:rFonts w:ascii="Times New Roman" w:cs="Times New Roman" w:eastAsia="Times New Roman" w:hAnsi="Times New Roman"/>
          <w:b/>
          <w:bCs/>
          <w:sz w:val="24"/>
          <w:szCs w:val="24"/>
        </w:rPr>
        <w:t xml:space="preserve">6. Discussion</w:t>
      </w:r>
    </w:p>
    <w:p>
      <w:pPr>
        <w:pStyle w:val="Heading2"/>
        <w:keepNext/>
        <w:spacing w:after="0" w:before="120" w:line="480" w:lineRule="auto"/>
      </w:pPr>
      <w:r>
        <w:rPr>
          <w:rFonts w:ascii="Times New Roman" w:cs="Times New Roman" w:eastAsia="Times New Roman" w:hAnsi="Times New Roman"/>
          <w:b/>
          <w:bCs/>
          <w:i/>
          <w:iCs/>
          <w:sz w:val="24"/>
          <w:szCs w:val="24"/>
        </w:rPr>
        <w:t xml:space="preserve">6.1 Theoretical Contributions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whereas the fluency mechanism locates it in judgment that the artifact’s surface suppressed, which calls for different remedies.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Second, the paper connects the software engineering literature on technical debt to IS research on human–automation interaction, including automation bias (Goddard et al., 2012)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&amp; Eckhardt, 2017): the debt consequences of generative AI depend on who controls the configuration of the tools, and the reach of any organizational remedy is bounded by how easily developers can bypass it.</w:t>
      </w:r>
    </w:p>
    <w:p>
      <w:pPr>
        <w:pStyle w:val="Heading2"/>
        <w:keepNext/>
        <w:spacing w:after="0" w:before="120" w:line="480" w:lineRule="auto"/>
      </w:pPr>
      <w:r>
        <w:rPr>
          <w:rFonts w:ascii="Times New Roman" w:cs="Times New Roman" w:eastAsia="Times New Roman" w:hAnsi="Times New Roman"/>
          <w:b/>
          <w:bCs/>
          <w:i/>
          <w:iCs/>
          <w:sz w:val="24"/>
          <w:szCs w:val="24"/>
        </w:rPr>
        <w:t xml:space="preserve">6.2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prescriptions of the rational model, such as debt registers, interest estimates, and repayment sprints, assume that the debt is visible and will be repaid when the numbers justify it. Our mechanisms suggest that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an active choice (P5). Owner sign-off on cross-boundary changes, and routing defects to the authors of the changes,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 Each intervention is cheap relative to a refactoring program and can be tested as a moderator in Study 3.</w:t>
      </w:r>
    </w:p>
    <w:p>
      <w:pPr>
        <w:pStyle w:val="Heading2"/>
        <w:keepNext/>
        <w:spacing w:after="0" w:before="120" w:line="480" w:lineRule="auto"/>
      </w:pPr>
      <w:r>
        <w:rPr>
          <w:rFonts w:ascii="Times New Roman" w:cs="Times New Roman" w:eastAsia="Times New Roman" w:hAnsi="Times New Roman"/>
          <w:b/>
          <w:bCs/>
          <w:i/>
          <w:iCs/>
          <w:sz w:val="24"/>
          <w:szCs w:val="24"/>
        </w:rPr>
        <w:t xml:space="preserve">6.3 Limitations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With the exception of the exploratory pilot test of P4 in Section 5.1, which covers a single repository, the theory and model are developed here rather than tested; the propositions and results await the evidence that the design in Section 5 would produce. The formal model is deliberately minimal. Tasks are independent, inspection detects defects perfectly, and the debt-trap result relies on a particular form of interest on debt, so its results are statements about mechanisms and not calibrated magnitudes. The strategic extensions abstract from competition among the organizations that use the tools, and they model learning only about the defect rate, not about the heuristic component of fluency, which may resist statistical evidence. The ownership and incentive mechanisms, and with them Propositions 6 and 9 to 11, are stated verbally rather than derived, and extending the formal model to teams is left for future work. The results also rest on regularity assumptions, namely continuous rework-cost and inspection-time distributions with positive density, a representative developer, and complete information in the game, and on a constant rework cost and uniform inspection time for the closed forms. Several measurement challenges also remain unresolved. AI-authorship labels are noisy and probably understate usage, which biases Study 1 estimates toward zero. Static-analysis measures of debt are proxies that may not track the debt developers experience. The experiment’s cover story may not fully reproduce field conditions in which reviewers know which tools their colleagues use. Finally, the theory is silent on model capability. A sufficiently capable model might produce code whose surface fluency is matched by its structure, and the fluency mechanism would then become harmless. The evidence to date, which finds structural degradation increasing with model capability, suggests that this point has not been reached, but the theory should be understood as conditional on the current gap between apparent and actual quality.</w:t>
      </w:r>
    </w:p>
    <w:p>
      <w:pPr>
        <w:pStyle w:val="Heading2"/>
        <w:keepNext/>
        <w:spacing w:after="0" w:before="120" w:line="480" w:lineRule="auto"/>
      </w:pPr>
      <w:r>
        <w:rPr>
          <w:rFonts w:ascii="Times New Roman" w:cs="Times New Roman" w:eastAsia="Times New Roman" w:hAnsi="Times New Roman"/>
          <w:b/>
          <w:bCs/>
          <w:i/>
          <w:iCs/>
          <w:sz w:val="24"/>
          <w:szCs w:val="24"/>
        </w:rPr>
        <w:t xml:space="preserve">6.4 Future Research</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Three extensions suggest themselves.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Extending the formal model to teams would also allow the incentive mechanisms to be analyzed jointly with the behavioral wedges.</w:t>
      </w:r>
    </w:p>
    <w:p>
      <w:pPr>
        <w:pStyle w:val="Heading1"/>
        <w:keepNext/>
        <w:spacing w:after="0" w:before="240" w:line="480" w:lineRule="auto"/>
      </w:pPr>
      <w:r>
        <w:rPr>
          <w:rFonts w:ascii="Times New Roman" w:cs="Times New Roman" w:eastAsia="Times New Roman" w:hAnsi="Times New Roman"/>
          <w:b/>
          <w:bCs/>
          <w:sz w:val="24"/>
          <w:szCs w:val="24"/>
        </w:rPr>
        <w:t xml:space="preserve">7. Conclusion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LLM coding assistants have made code cheap to produce, and the first evidence suggests that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The model adds two warnings: better models do not guarantee less debt, and a codebase that has tipped into a high-debt state will not be rescued by the nudges that would have prevented it. If the theory is correct, the remedy lies in better choice architecture and not in better accounting.</w:t>
      </w:r>
    </w:p>
    <w:p>
      <w:pPr>
        <w:spacing w:before="240" w:line="480" w:lineRule="auto"/>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before="0" w:line="480" w:lineRule="auto"/>
        <w:jc w:val="left"/>
      </w:pPr>
      <w:r>
        <w:rPr>
          <w:rFonts w:ascii="Times New Roman" w:cs="Times New Roman" w:eastAsia="Times New Roman" w:hAnsi="Times New Roman"/>
          <w:b w:val="false"/>
          <w:bCs w:val="false"/>
          <w:i/>
          <w:iCs/>
        </w:rPr>
        <w:t xml:space="preserve">[Authors to complete in accordance with Elsevier policy.]</w:t>
      </w:r>
    </w:p>
    <w:p>
      <w:pPr>
        <w:spacing w:before="120" w:line="480" w:lineRule="auto"/>
      </w:pPr>
      <w:r>
        <w:rPr>
          <w:rFonts w:ascii="Times New Roman" w:cs="Times New Roman" w:eastAsia="Times New Roman" w:hAnsi="Times New Roman"/>
          <w:b/>
          <w:bCs/>
          <w:sz w:val="24"/>
          <w:szCs w:val="24"/>
        </w:rPr>
        <w:t xml:space="preserve">Declaration of competing interest</w:t>
      </w:r>
    </w:p>
    <w:p>
      <w:pPr>
        <w:spacing w:after="0" w:before="0" w:line="480" w:lineRule="auto"/>
        <w:jc w:val="left"/>
      </w:pPr>
      <w:r>
        <w:rPr>
          <w:rFonts w:ascii="Times New Roman" w:cs="Times New Roman" w:eastAsia="Times New Roman" w:hAnsi="Times New Roman"/>
          <w:b w:val="false"/>
          <w:bCs w:val="false"/>
          <w:i/>
          <w:iCs/>
        </w:rPr>
        <w:t xml:space="preserve">[Authors to complete.]</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Appendix A. Proofs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Throughout, the standing assumptions of Section 4.1 hold: β ≤ 1, φ ≤ 1, λ ≥ 1, α ∈ [0, 1), η ∈ [0, 1/2], q ∈ (0, 1], δ ∈ (0, 1], and v, a, r &gt; 0; F has a positive density on the positive reals, and G has a positive density on (0, K̄). Write T*(R) = δR − vr for the net gain from refactoring in the rational benchmark, and let h*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be the benchmark counterparts of h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 obtained by setting β = φ = λ = 1 and α = 0.</w:t>
      </w:r>
    </w:p>
    <w:p>
      <w:pPr>
        <w:pStyle w:val="Heading2"/>
        <w:keepNext/>
        <w:spacing w:after="0" w:before="120" w:line="480" w:lineRule="auto"/>
      </w:pPr>
      <w:r>
        <w:rPr>
          <w:rFonts w:ascii="Times New Roman" w:cs="Times New Roman" w:eastAsia="Times New Roman" w:hAnsi="Times New Roman"/>
          <w:b/>
          <w:bCs/>
          <w:i/>
          <w:iCs/>
          <w:sz w:val="24"/>
          <w:szCs w:val="24"/>
        </w:rPr>
        <w:t xml:space="preserve">A.1 Two lemmas</w:t>
      </w:r>
    </w:p>
    <w:p>
      <w:pPr>
        <w:spacing w:after="0" w:line="480" w:lineRule="auto"/>
        <w:ind w:left="720" w:right="360"/>
      </w:pPr>
      <w:r>
        <w:rPr>
          <w:rFonts w:ascii="Times New Roman" w:cs="Times New Roman" w:eastAsia="Times New Roman" w:hAnsi="Times New Roman"/>
          <w:b/>
          <w:bCs/>
          <w:i/>
          <w:iCs/>
        </w:rPr>
        <w:t xml:space="preserve">Lemma 1. </w:t>
      </w:r>
      <w:r>
        <w:rPr>
          <w:rFonts w:ascii="Times New Roman" w:cs="Times New Roman" w:eastAsia="Times New Roman" w:hAnsi="Times New Roman"/>
          <w:b w:val="false"/>
          <w:bCs w:val="false"/>
          <w:i/>
          <w:iCs/>
        </w:rPr>
        <w:t xml:space="preserve">(i) T(R) ≤ T*(R) for every R, and φ(1 − ηφ) ≤ 1 − η ≤ 1 − ηφ. (ii) h(R) ≥ h*(R) for every R, and the inequality is strict on a set of rework costs of positive probability if α &gt; 0, φ &lt; 1, β &lt; 1, or λ &gt; 1. (iii) For every R, h*(R; v) is nondecreasing in v;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 is continuous and nondecreasing in v, and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 → q as v → ∞.</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(i) β ≤ 1 and λ ≥ 1 give βδR ≤ δR and λvr ≥ vr. The function φ ↦ φ(1 − ηφ) has derivative 1 − 2ηφ ≥ 0 because η ≤ 1/2 and φ ≤ 1, so φ(1 − ηφ) ≤ 1 − η, and 1 − η ≤ 1 − ηφ because φ ≤ 1. (ii) If T(R) ≤ 0, then h(R) = 1 ≥ h*(R). If T(R) &gt; 0, then T*(R) &gt; 0 by (i), and h(R) = (1 − ηφ)[1 −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with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φq(1 − ηφ)T(R)/v, while h*(R) = (1 − η)[1 − G(x*)] with x* = q(1 − η)T*(R)/v. By (i),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x*, so 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1 −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1 − G(x*), and 1 − ηφ ≥ 1 − η. Hence h ≥ h*. For strictness, note first that h*(R) &lt; 1 whenever T*(R) &gt; 0, because G(x*) &gt; 0. If α &gt; 0, then for every R with T*(R) &gt; 0 either T(R) ≤ 0 and h = 1 &gt; h*, or T(R) &gt; 0,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0,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0, and 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1 −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so h &gt; h*; the set {T* &gt; 0} = (vr/δ, ∞) has positive probability. If α = 0 and β &lt; 1 or λ &gt; 1, the interval (vr/δ, λvr/(βδ)] has positive probability, and on it T ≤ 0 &lt; T*, so h = 1 &gt; h*. If α = 0, β = 1, λ = 1, and φ &lt; 1, then T = T* for all R, and for R slightly above vr/δ the arguments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φ(1 − ηφ)y and x* = (1 − η)y, with y = qT*/v, are small and satisfy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&lt; x*, because φ(1 − ηφ) is strictly increasing on [0, 1] when φ &lt; 1; since G has a positive density near zero,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&lt; G(x*), and together with 1 − ηφ ≥ 1 − η this gives h &gt; h*. (iii) For fixed R, raising v enlarges the set of values at which T*(R) ≤ 0, where h* = 1, and on T*(R) &gt; 0 the argument q(1 − η)(δR/v − r) of G decreases in v, so h* = (1 − η)[1 − G(·)] increases in v. When v crosses δR/r, h* jumps from a value below 1 to 1. Hence h* is nondecreasing in v for each R, and so is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 qE[h*(R; v)]. For each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h*(R; v) → h*(R;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as v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for every R except R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r/δ, which has probability zero because F is continuous, so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is continuous by dominated convergence. Finally F(vr/δ) → 1 as v → ∞, so h* → 1 with probability approaching one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 q.</w:t>
      </w:r>
    </w:p>
    <w:p>
      <w:pPr>
        <w:spacing w:after="0" w:line="480" w:lineRule="auto"/>
        <w:ind w:left="720" w:right="360"/>
      </w:pPr>
      <w:r>
        <w:rPr>
          <w:rFonts w:ascii="Times New Roman" w:cs="Times New Roman" w:eastAsia="Times New Roman" w:hAnsi="Times New Roman"/>
          <w:b/>
          <w:bCs/>
          <w:i/>
          <w:iCs/>
        </w:rPr>
        <w:t xml:space="preserve">Lemma 2. </w:t>
      </w:r>
      <w:r>
        <w:rPr>
          <w:rFonts w:ascii="Times New Roman" w:cs="Times New Roman" w:eastAsia="Times New Roman" w:hAnsi="Times New Roman"/>
          <w:b w:val="false"/>
          <w:bCs w:val="false"/>
          <w:i/>
          <w:iCs/>
        </w:rPr>
        <w:t xml:space="preserve">Let R be such that B = βδR − λvr &gt; 0, and define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φq(1 − ηφ)(βδR − λvr) and Δ = q(1 − ηφ)(δR − vr). Then δR − vr &gt; 0 and 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with equality if and only if β = φ = λ = 1.</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B &gt; 0 gives δR &gt; λvr/β ≥ vr, so δR − vr &gt; 0. Moreover (Δ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)/[q(1 − ηφ)] = X ≡ δR(1 − φβ) − vr(1 − φλ). If φβ &lt; 1, then X &gt; (λvr/β)(1 − φβ) − vr(1 − φλ) = vr(λ/β − 1) ≥ 0, using δR &gt; λvr/β. If φβ = 1, then β = φ = 1 and X = vr(λ − 1) ≥ 0, with equality if and only if λ = 1. Hence X ≥ 0, and X = 0 only if β = φ = λ = 1. When β = φ = λ = 1 the two quantities coincide.</w:t>
      </w:r>
    </w:p>
    <w:p>
      <w:pPr>
        <w:pStyle w:val="Heading2"/>
        <w:keepNext/>
        <w:spacing w:after="0" w:before="120" w:line="480" w:lineRule="auto"/>
      </w:pPr>
      <w:r>
        <w:rPr>
          <w:rFonts w:ascii="Times New Roman" w:cs="Times New Roman" w:eastAsia="Times New Roman" w:hAnsi="Times New Roman"/>
          <w:b/>
          <w:bCs/>
          <w:i/>
          <w:iCs/>
          <w:sz w:val="24"/>
          <w:szCs w:val="24"/>
        </w:rPr>
        <w:t xml:space="preserve">A.2 Proof of Result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decomposition is an identity: add and subtract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For the first term, if inspection is free then G(x) = 1 for every x &gt; 0, so h*(R) = 1 if T*(R) ≤ 0 and h*(R) = 0 otherwise,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qF(v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r/δ). Because q ≤ 1, r ≤ a, and F is increasing,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F(v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a/δ) =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The second term is non-negative by Lemma 1(iii). The third term equals qE[h(R) − h*(R)]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which is non-negative and, whenever a wedge binds, strictly positive, by Lemma 1(ii) and because q &gt; 0.</w:t>
      </w:r>
    </w:p>
    <w:p>
      <w:pPr>
        <w:pStyle w:val="Heading2"/>
        <w:keepNext/>
        <w:spacing w:after="0" w:before="120" w:line="480" w:lineRule="auto"/>
      </w:pPr>
      <w:r>
        <w:rPr>
          <w:rFonts w:ascii="Times New Roman" w:cs="Times New Roman" w:eastAsia="Times New Roman" w:hAnsi="Times New Roman"/>
          <w:b/>
          <w:bCs/>
          <w:i/>
          <w:iCs/>
          <w:sz w:val="24"/>
          <w:szCs w:val="24"/>
        </w:rPr>
        <w:t xml:space="preserve">A.3 Proof of Result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By Result 1,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&lt; q. By Lemma 1(iii),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is continuous and nondecreasing in v and converges to q. The intermediate value theorem therefore yields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with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 In the rational benchmark φ = 1, so every unit of debt, whether detected or undetected, is self-admitted with probability σ. In the choice regime every unit of debt is self-admitted with probability σ. The possession effect is F(va/δ) − F(va/δ) = 0 and the lapse rate is F(vr/δ) − F(vr/δ) = 0. None of this depends on v, q, or 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 Debt consists of detected instances of E that are not refactored, which arise only when T(R) ≤ 0 (inspection never occurs there, and a noticed instance is left in place), and of undetected instances. Let u be the share of debt that is undetected. The self-admitted share is σ[(1 − u) + φu] = σ[1 − (1 − φ)u], which is below σ if and only if φ &lt; 1 and u &gt; 0. Because F is strictly increasing, F(λva/(βδ)) &gt; F(va/δ) if and only if λ/β &gt; 1, that is, if and only if β &lt; 1 or λ &gt; 1. Likewise F(λvr/(βδ)) &gt; F(λvr/δ) if and only if β &lt; 1.</w:t>
      </w:r>
    </w:p>
    <w:p>
      <w:pPr>
        <w:pStyle w:val="Heading2"/>
        <w:keepNext/>
        <w:spacing w:after="0" w:before="120" w:line="480" w:lineRule="auto"/>
      </w:pPr>
      <w:r>
        <w:rPr>
          <w:rFonts w:ascii="Times New Roman" w:cs="Times New Roman" w:eastAsia="Times New Roman" w:hAnsi="Times New Roman"/>
          <w:b/>
          <w:bCs/>
          <w:i/>
          <w:iCs/>
          <w:sz w:val="24"/>
          <w:szCs w:val="24"/>
        </w:rPr>
        <w:t xml:space="preserve">A.4 Proof of Result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Take R fixed with B &gt; 0, so that T(R) = B and the noticed branch carries no debt. Inspection time is uniform on [0, K], so G(x) = min{1, x/K}, and G(φq(1 − ηφ)B/v) = min{1, q/q̂} with q̂ = vK/[φ(1 − ηφ)B]. Substituting into (4) gives D(q) = q(1 − ηφ)[1 − (1 − α)min{1, q/q̂}]. For q ≥ q̂ this equals α(1 − ηφ)q, which is increasing in q. For q &lt; q̂ it equals (1 − ηφ)[q − (1 − α)q²/q̂], whose derivative (1 − ηφ)[1 − 2(1 − α)q/q̂] is positive if and only if q &lt; q* = q̂/[2(1 − α)]. If α &lt; 1/2, then q* &lt; q̂, so D is increasing on (0, q*), decreasing on (q*, q̂), and increasing on (q̂, 1]; a reduction in q within (q*, q̂) therefore raises debt. If α ≥ 1/2, then q* ≥ q̂, so the derivative is non-negative on (0, q̂), and D is increasing everywhere.</w:t>
      </w:r>
    </w:p>
    <w:p>
      <w:pPr>
        <w:pStyle w:val="Heading2"/>
        <w:keepNext/>
        <w:spacing w:after="0" w:before="120" w:line="480" w:lineRule="auto"/>
      </w:pPr>
      <w:r>
        <w:rPr>
          <w:rFonts w:ascii="Times New Roman" w:cs="Times New Roman" w:eastAsia="Times New Roman" w:hAnsi="Times New Roman"/>
          <w:b/>
          <w:bCs/>
          <w:i/>
          <w:iCs/>
          <w:sz w:val="24"/>
          <w:szCs w:val="24"/>
        </w:rPr>
        <w:t xml:space="preserve">A.5 Proof of Result 4</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(1 − μ)H + I(H; β)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I(H; β) − μH, so that H</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Because F is increasing, I(·; β) is continuous and increasing with values in [A, A + C], and μ ∈ (0, 1]; hence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is continuous and increasing. Orbits of an increasing map are monotone and converge to fixed points, so steady states are the zeros of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all of which lie in [A/μ, (A + C)/μ]. A zero at which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changes sign from positive to negative attracts the orbits that start near it (it is stable), and a zero at which it changes sign from negative to positive repels them (it is unstable); we ignore non-generic tangencies, which occur only at isolated values of β. Write x(H)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Since F(x) = Φ(ln(x/R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)/s), F(x) &lt; ε if and only if x &lt;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and F(x) &gt; 1 − ε if and only if x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Let β &gt;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This is equivalent to x(H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so I(H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A + Cε = μH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that is,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Since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(0) = I(0) &gt; 0 and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is increasing,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maps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into itself. Moreover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(0) &gt; 0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0, so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changes sign from positive to negative somewhere in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which gives a stable low-debt state there. Next let β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equivalently x(H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I(H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A + C(1 − ε) = μH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so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and for H ≥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monotonicity gives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thus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is forward invariant. Because I ≤ A + C,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((A + C)/μ) ≤ 0, while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0, so there is a downward crossing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 + C)/μ], the stable trap. Finally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because ε &lt; 1/2 and C &gt; 0,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0 &lt;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so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crosses from negative to positive in between, which gives the unstable steady state.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if and only if [1 + γ(A + Cε)/μ]e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&lt; [1 + γ(A + C(1 − ε))/μ]e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which rearranges to the stated condition.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γ(A + C)/μ]/(δR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x(H) ≤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for all H ≤ (A + C)/μ, so F(x(H)) ≤ ε and I(H) ≤ A + Cε there. Every steady state satisfies H ≤ (A + C)/μ and μH = I(H) ≤ A + Cε, hence H ≤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x(H)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for every H &gt; 0, so I(H) &gt; A + C(1 − ε) and every steady state satisfies H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 The invariance arguments in (a) used only β &gt;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and β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respectively, and they extend to the boundary cases by the same inequalities, so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is forward invariant for every β ≥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and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for every β ≤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part (c) shows that every orbit converges to a steady state above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and so eventually lies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Because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 [1 + γ(A + C(1 − ε))/μ], which exceeds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strictly, the codebase remains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as β rises back to any value below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It can leave only if β exceeds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or if H is lowered into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while β ≥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after which invariance keeps it there.</w:t>
      </w:r>
    </w:p>
    <w:p>
      <w:pPr>
        <w:pStyle w:val="Heading2"/>
        <w:keepNext/>
        <w:spacing w:after="0" w:before="120" w:line="480" w:lineRule="auto"/>
      </w:pPr>
      <w:r>
        <w:rPr>
          <w:rFonts w:ascii="Times New Roman" w:cs="Times New Roman" w:eastAsia="Times New Roman" w:hAnsi="Times New Roman"/>
          <w:b/>
          <w:bCs/>
          <w:i/>
          <w:iCs/>
          <w:sz w:val="24"/>
          <w:szCs w:val="24"/>
        </w:rPr>
        <w:t xml:space="preserve">A.6 Derivation of the equilibrium and proofs of Results 5 to 7</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Stage 5. By (2) and (3), given constant rework cost R̄ with B &gt; 0, a detected instance is always refactored and the developer inspects an artifact that is not accepted by default if and only if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With k uniform on [0, K] and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 vK (Lemma 2 and the assumption in Section 4.6), the probability of inspection is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An artifact that is not inspected, whether accepted by default or not, costs the developer, in perceived terms,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φq[ηφλvr + (1 − ηφ)βδR̄], because a perceived instance of E is noticed and refactored with probability ηφ and left to produce rework otherwise, and costs the organization, in long-run terms,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q[ηφvr + (1 − ηφ)δR̄]. An artifact that is deliberated on and inspected when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saves φq(1 − ηφ)(βδR̄ − λvr)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perceived units and q(1 − ηφ)(δR̄ − vr) = Δ long-run units at a time cost vk. Taking expectations over k and over the default share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and subtracting the friction cost vcf²/2, gives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vcf²/2 with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vcf²/2 with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vertAlign w:val="superscript"/>
        </w:rPr>
        <w:t xml:space="preserve">Δ_{p</w:t>
      </w:r>
      <w:r>
        <w:rPr>
          <w:rFonts w:ascii="Times New Roman" w:cs="Times New Roman" w:eastAsia="Times New Roman" w:hAnsi="Times New Roman"/>
          <w:b w:val="false"/>
          <w:bCs w:val="false"/>
          <w:i w:val="false"/>
          <w:iCs w:val="false"/>
        </w:rPr>
        <w:t xml:space="preserve">/v}(Δ − vk)dk/K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Both payoffs are strictly concave quadratics in 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5. Differentiating,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 vcf, which vanishes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²/(2v²cK),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 vcf, which vanishes 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)/(2v²cK). Strict concavity makes each the unique maximizer on [0, 1] once capped at 1. The difference is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)/(v²cK), which by Lemma 2 is non-negative and zero if and only if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(for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&gt; 0), that is, if and only if β = φ = λ = 1. In that case, for every v,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 q(1 − η)(δR̄ − vr), so the two preferences coincide whatever the value of time.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6. Under developer-led adoption the developer accepts the offer that maximizes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 p</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or no assistant if that is better; let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vertAlign w:val="superscript"/>
        </w:rPr>
        <w:t xml:space="preserve">0</w:t>
      </w:r>
      <w:r>
        <w:rPr>
          <w:rFonts w:ascii="Times New Roman" w:cs="Times New Roman" w:eastAsia="Times New Roman" w:hAnsi="Times New Roman"/>
          <w:b w:val="false"/>
          <w:bCs w:val="false"/>
          <w:i w:val="false"/>
          <w:iCs w:val="false"/>
        </w:rPr>
        <w:t xml:space="preserve"> be her payoff without the assistant and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vertAlign w:val="superscript"/>
        </w:rPr>
        <w:t xml:space="preserve">0</w:t>
      </w:r>
      <w:r>
        <w:rPr>
          <w:rFonts w:ascii="Times New Roman" w:cs="Times New Roman" w:eastAsia="Times New Roman" w:hAnsi="Times New Roman"/>
          <w:b w:val="false"/>
          <w:bCs w:val="false"/>
          <w:i w:val="false"/>
          <w:iCs w:val="false"/>
        </w:rPr>
        <w:t xml:space="preserve">, which we assume is positive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a monopolist, participation requires p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so profit p is at most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equality holds only at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p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by strict concavity; the unique equilibrium offer therefore has friction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N ≥ 2 vendors, suppose the winning offers include one with friction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price p* ≥ 0. A vendor that does not win, or that shares the market with others, can deviate to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p′) with p′ = p*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(f*)]/2 &gt; p*, which gives the developer a strictly higher perceived payoff and a profit of p′ &gt; 0 that exceeds its earlier profit, so no such offer survives in equilibrium. Every winning offer has friction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the usual undercutting argument drives the price to zero. Under organization-led adoption, the same arguments with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in place of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give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where the organization controls the setting it chooses f</w:t>
      </w:r>
      <w:r>
        <w:rPr>
          <w:rFonts w:ascii="Times New Roman" w:cs="Times New Roman" w:eastAsia="Times New Roman" w:hAnsi="Times New Roman"/>
          <w:b w:val="false"/>
          <w:bCs w:val="false"/>
          <w:i w:val="false"/>
          <w:iCs w:val="false"/>
          <w:vertAlign w:val="subscript"/>
        </w:rPr>
        <w:t xml:space="preserve">s</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directly. For the debt statement, Result 3 with q/q̂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gives debt per task D(f) = q(1 − ηφ)[1 − (1 − α(f))Δ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which is strictly decreasing in f when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&gt; 0. Debt under organization control is therefore lower than under developer control if and only if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&gt;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which by Result 5 holds if and only if a wedge binds (at interior values).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7. Because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is a quadratic with leading coefficient −vc/2 and maximum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(vc/2)(f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)² at interior values. A developer therefore uses a sanctioned tool with friction f if and only if (vc/2)(f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)² ≤ ε, that is,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 The organization maximizes the concave function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whose peak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is at least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over the set of frictions that developers comply with. That set is an interval around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containing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itself, so the organization is at least as well off as under bypass, which yields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the constrained maximizer is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min{f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 The constraint binds if and only if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exceeds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w:t>
      </w:r>
    </w:p>
    <w:p>
      <w:pPr>
        <w:spacing w:after="0" w:line="480" w:lineRule="auto"/>
        <w:ind w:left="720" w:right="360"/>
      </w:pPr>
      <w:r>
        <w:rPr>
          <w:rFonts w:ascii="Times New Roman" w:cs="Times New Roman" w:eastAsia="Times New Roman" w:hAnsi="Times New Roman"/>
          <w:b/>
          <w:bCs/>
          <w:i/>
          <w:iCs/>
        </w:rPr>
        <w:t xml:space="preserve">Proposition A1 (general sign result). </w:t>
      </w:r>
      <w:r>
        <w:rPr>
          <w:rFonts w:ascii="Times New Roman" w:cs="Times New Roman" w:eastAsia="Times New Roman" w:hAnsi="Times New Roman"/>
          <w:b w:val="false"/>
          <w:bCs w:val="false"/>
          <w:i/>
          <w:iCs/>
        </w:rPr>
        <w:t xml:space="preserve">Let the friction cost κ(f) be increasing and convex, the default share α(f) decreasing and convex, inspection time have any distribution, and rework costs be heterogeneous. Then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and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&gt;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if some wedge binds,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&lt; 1, α′(f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&lt; 0, and inspection occurs with positive probability.</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With heterogeneous rework costs, for each R with T(R) &gt; 0 define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φq(1 − ηφ)T(R) and Δ(R) = q(1 − ηφ)T*(R), and let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and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E[(Δ(R)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with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0 where T(R) ≤ 0. The payoffs are W</w:t>
      </w:r>
      <w:r>
        <w:rPr>
          <w:rFonts w:ascii="Times New Roman" w:cs="Times New Roman" w:eastAsia="Times New Roman" w:hAnsi="Times New Roman"/>
          <w:b w:val="false"/>
          <w:bCs w:val="false"/>
          <w:i w:val="false"/>
          <w:iCs w:val="false"/>
          <w:vertAlign w:val="subscript"/>
        </w:rPr>
        <w:t xml:space="preserve">i</w:t>
      </w:r>
      <w:r>
        <w:rPr>
          <w:rFonts w:ascii="Times New Roman" w:cs="Times New Roman" w:eastAsia="Times New Roman" w:hAnsi="Times New Roman"/>
          <w:b w:val="false"/>
          <w:bCs w:val="false"/>
          <w:i w:val="false"/>
          <w:iCs w:val="false"/>
        </w:rPr>
        <w:t xml:space="preserve">(f) = (1 − α(f))V</w:t>
      </w:r>
      <w:r>
        <w:rPr>
          <w:rFonts w:ascii="Times New Roman" w:cs="Times New Roman" w:eastAsia="Times New Roman" w:hAnsi="Times New Roman"/>
          <w:b w:val="false"/>
          <w:bCs w:val="false"/>
          <w:i w:val="false"/>
          <w:iCs w:val="false"/>
          <w:vertAlign w:val="subscript"/>
        </w:rPr>
        <w:t xml:space="preserve">i</w:t>
      </w:r>
      <w:r>
        <w:rPr>
          <w:rFonts w:ascii="Times New Roman" w:cs="Times New Roman" w:eastAsia="Times New Roman" w:hAnsi="Times New Roman"/>
          <w:b w:val="false"/>
          <w:bCs w:val="false"/>
          <w:i w:val="false"/>
          <w:iCs w:val="false"/>
        </w:rPr>
        <w:t xml:space="preserve"> − κ(f) minus a constant, for i = D, O. By Lemma 2,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E[(Δ(R)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0. The function U(f; V) = (1 − α(f))V − κ(f) has increasing differences in (f, V), since ∂U/∂f = −α′(f)V − κ′(f) and −α′ ≥ 0. By Topkis’s monotone comparative statics theorem the maximizers are nondecreasing in V, so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For strictness, U is concave in f, and ∂U(f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∂U(f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&gt; 0 when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&lt; 0 and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&gt;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this last inequality holds when a wedge binds and inspection occurs with positive probability, by Lemma 2. Concavity then places the maximizer of U(·;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strictly above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w:t>
      </w:r>
    </w:p>
    <w:p>
      <w:pPr>
        <w:pStyle w:val="Heading2"/>
        <w:keepNext/>
        <w:spacing w:after="0" w:before="120" w:line="480" w:lineRule="auto"/>
      </w:pPr>
      <w:r>
        <w:rPr>
          <w:rFonts w:ascii="Times New Roman" w:cs="Times New Roman" w:eastAsia="Times New Roman" w:hAnsi="Times New Roman"/>
          <w:b/>
          <w:bCs/>
          <w:i/>
          <w:iCs/>
          <w:sz w:val="24"/>
          <w:szCs w:val="24"/>
        </w:rPr>
        <w:t xml:space="preserve">A.7 Proof of Result 8</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q − 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0 and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s(q̂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θ(1 − s(q̂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[0, 1], so that e</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κw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with κ ∈ (0, 1]. The belief is therefore nondecreasing and never exceeds q. (a) If θ &gt; 0, then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θ for all t, so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(1 − κθ)</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If θ = 0 and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&gt;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then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&gt; 0; since the belief is nondecreasing and s is nondecreasing,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for all t, and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(1 − κs(q̂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(b) If θ = 0 and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then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so w</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and q̂</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by induction the belief never changes. (c) During a mandate that requires inspection for T periods, s = 1 and e</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κ)e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so q̂ after the mandate equals q − (1 − κ)</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(q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By (a), the belief then converges to q, and the wedge vanishes, if and only if this exceeds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that is, if and only if (1 − κ)</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(q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&lt; q −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If it does not, the belief is again at or below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and, by (b), stays at its post-mandate value below q.</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References</w:t>
      </w:r>
    </w:p>
    <w:p>
      <w:pPr>
        <w:spacing w:after="0" w:line="480" w:lineRule="auto"/>
        <w:ind w:left="720" w:hanging="720"/>
      </w:pPr>
      <w:r>
        <w:rPr>
          <w:rFonts w:ascii="Times New Roman" w:cs="Times New Roman" w:eastAsia="Times New Roman" w:hAnsi="Times New Roman"/>
          <w:b w:val="false"/>
          <w:bCs w:val="false"/>
          <w:i w:val="false"/>
          <w:iCs w:val="false"/>
        </w:rPr>
        <w:t xml:space="preserve">Aider-AI. (2026). </w:t>
      </w:r>
      <w:r>
        <w:rPr>
          <w:rFonts w:ascii="Times New Roman" w:cs="Times New Roman" w:eastAsia="Times New Roman" w:hAnsi="Times New Roman"/>
          <w:b w:val="false"/>
          <w:bCs w:val="false"/>
          <w:i/>
          <w:iCs/>
        </w:rPr>
        <w:t xml:space="preserve">aider</w:t>
      </w:r>
      <w:r>
        <w:rPr>
          <w:rFonts w:ascii="Times New Roman" w:cs="Times New Roman" w:eastAsia="Times New Roman" w:hAnsi="Times New Roman"/>
          <w:b w:val="false"/>
          <w:bCs w:val="false"/>
          <w:i w:val="false"/>
          <w:iCs w:val="false"/>
        </w:rPr>
        <w:t xml:space="preserve"> [Source code repository]. GitHub. https://github.com/Aider-AI/aider</w:t>
      </w:r>
    </w:p>
    <w:p>
      <w:pPr>
        <w:spacing w:after="0" w:line="480" w:lineRule="auto"/>
        <w:ind w:left="720" w:hanging="720"/>
      </w:pPr>
      <w:r>
        <w:rPr>
          <w:rFonts w:ascii="Times New Roman" w:cs="Times New Roman" w:eastAsia="Times New Roman" w:hAnsi="Times New Roman"/>
          <w:b w:val="false"/>
          <w:bCs w:val="false"/>
          <w:i w:val="false"/>
          <w:iCs w:val="false"/>
        </w:rPr>
        <w:t xml:space="preserve">Alter, A. L., &amp; Oppenheimer, D. M. (2009). Uniting the tribes of fluency to form a metacognitive nation. </w:t>
      </w:r>
      <w:r>
        <w:rPr>
          <w:rFonts w:ascii="Times New Roman" w:cs="Times New Roman" w:eastAsia="Times New Roman" w:hAnsi="Times New Roman"/>
          <w:b w:val="false"/>
          <w:bCs w:val="false"/>
          <w:i/>
          <w:iCs/>
        </w:rPr>
        <w:t xml:space="preserve">Personality and Social Psychology Review, 13</w:t>
      </w:r>
      <w:r>
        <w:rPr>
          <w:rFonts w:ascii="Times New Roman" w:cs="Times New Roman" w:eastAsia="Times New Roman" w:hAnsi="Times New Roman"/>
          <w:b w:val="false"/>
          <w:bCs w:val="false"/>
          <w:i w:val="false"/>
          <w:iCs w:val="false"/>
        </w:rPr>
        <w:t xml:space="preserve">(3), 219–235.</w:t>
      </w:r>
    </w:p>
    <w:p>
      <w:pPr>
        <w:spacing w:after="0" w:line="480" w:lineRule="auto"/>
        <w:ind w:left="720" w:hanging="720"/>
      </w:pPr>
      <w:r>
        <w:rPr>
          <w:rFonts w:ascii="Times New Roman" w:cs="Times New Roman" w:eastAsia="Times New Roman" w:hAnsi="Times New Roman"/>
          <w:b w:val="false"/>
          <w:bCs w:val="false"/>
          <w:i w:val="false"/>
          <w:iCs w:val="false"/>
        </w:rPr>
        <w:t xml:space="preserve">Arrow, K. J. (1963). Uncertainty and the welfare economics of medical care. </w:t>
      </w:r>
      <w:r>
        <w:rPr>
          <w:rFonts w:ascii="Times New Roman" w:cs="Times New Roman" w:eastAsia="Times New Roman" w:hAnsi="Times New Roman"/>
          <w:b w:val="false"/>
          <w:bCs w:val="false"/>
          <w:i/>
          <w:iCs/>
        </w:rPr>
        <w:t xml:space="preserve">American Economic Review, 53</w:t>
      </w:r>
      <w:r>
        <w:rPr>
          <w:rFonts w:ascii="Times New Roman" w:cs="Times New Roman" w:eastAsia="Times New Roman" w:hAnsi="Times New Roman"/>
          <w:b w:val="false"/>
          <w:bCs w:val="false"/>
          <w:i w:val="false"/>
          <w:iCs w:val="false"/>
        </w:rPr>
        <w:t xml:space="preserve">(5), 941–973.</w:t>
      </w:r>
    </w:p>
    <w:p>
      <w:pPr>
        <w:spacing w:after="0" w:line="480" w:lineRule="auto"/>
        <w:ind w:left="720" w:hanging="720"/>
      </w:pPr>
      <w:r>
        <w:rPr>
          <w:rFonts w:ascii="Times New Roman" w:cs="Times New Roman" w:eastAsia="Times New Roman" w:hAnsi="Times New Roman"/>
          <w:b w:val="false"/>
          <w:bCs w:val="false"/>
          <w:i w:val="false"/>
          <w:iCs w:val="false"/>
        </w:rPr>
        <w:t xml:space="preserve">Astral. (2026). </w:t>
      </w:r>
      <w:r>
        <w:rPr>
          <w:rFonts w:ascii="Times New Roman" w:cs="Times New Roman" w:eastAsia="Times New Roman" w:hAnsi="Times New Roman"/>
          <w:b w:val="false"/>
          <w:bCs w:val="false"/>
          <w:i/>
          <w:iCs/>
        </w:rPr>
        <w:t xml:space="preserve">Ruff</w:t>
      </w:r>
      <w:r>
        <w:rPr>
          <w:rFonts w:ascii="Times New Roman" w:cs="Times New Roman" w:eastAsia="Times New Roman" w:hAnsi="Times New Roman"/>
          <w:b w:val="false"/>
          <w:bCs w:val="false"/>
          <w:i w:val="false"/>
          <w:iCs w:val="false"/>
        </w:rPr>
        <w:t xml:space="preserve"> [Computer software]. https://github.com/astral-sh/ruff</w:t>
      </w:r>
    </w:p>
    <w:p>
      <w:pPr>
        <w:spacing w:after="0" w:line="480" w:lineRule="auto"/>
        <w:ind w:left="720" w:hanging="720"/>
      </w:pPr>
      <w:r>
        <w:rPr>
          <w:rFonts w:ascii="Times New Roman" w:cs="Times New Roman" w:eastAsia="Times New Roman" w:hAnsi="Times New Roman"/>
          <w:b w:val="false"/>
          <w:bCs w:val="false"/>
          <w:i w:val="false"/>
          <w:iCs w:val="false"/>
        </w:rPr>
        <w:t xml:space="preserve">Avgeriou, P., Kruchten, P., Ozkaya, I., &amp; Seaman, C. (2016). Managing technical debt in software engineering (Dagstuhl Seminar 16162). </w:t>
      </w:r>
      <w:r>
        <w:rPr>
          <w:rFonts w:ascii="Times New Roman" w:cs="Times New Roman" w:eastAsia="Times New Roman" w:hAnsi="Times New Roman"/>
          <w:b w:val="false"/>
          <w:bCs w:val="false"/>
          <w:i/>
          <w:iCs/>
        </w:rPr>
        <w:t xml:space="preserve">Dagstuhl Reports, 6</w:t>
      </w:r>
      <w:r>
        <w:rPr>
          <w:rFonts w:ascii="Times New Roman" w:cs="Times New Roman" w:eastAsia="Times New Roman" w:hAnsi="Times New Roman"/>
          <w:b w:val="false"/>
          <w:bCs w:val="false"/>
          <w:i w:val="false"/>
          <w:iCs w:val="false"/>
        </w:rPr>
        <w:t xml:space="preserve">(4), 110–138.</w:t>
      </w:r>
    </w:p>
    <w:p>
      <w:pPr>
        <w:spacing w:after="0" w:line="480" w:lineRule="auto"/>
        <w:ind w:left="720" w:hanging="720"/>
      </w:pPr>
      <w:r>
        <w:rPr>
          <w:rFonts w:ascii="Times New Roman" w:cs="Times New Roman" w:eastAsia="Times New Roman" w:hAnsi="Times New Roman"/>
          <w:b w:val="false"/>
          <w:bCs w:val="false"/>
          <w:i w:val="false"/>
          <w:iCs w:val="false"/>
        </w:rPr>
        <w:t xml:space="preserve">Bavota, G., &amp; Russo, B. (2016). A large-scale empirical study on self-admitted technical debt. In </w:t>
      </w:r>
      <w:r>
        <w:rPr>
          <w:rFonts w:ascii="Times New Roman" w:cs="Times New Roman" w:eastAsia="Times New Roman" w:hAnsi="Times New Roman"/>
          <w:b w:val="false"/>
          <w:bCs w:val="false"/>
          <w:i/>
          <w:iCs/>
        </w:rPr>
        <w:t xml:space="preserve">Proceedings of the 13th International Conference on Mining Software Repositories</w:t>
      </w:r>
      <w:r>
        <w:rPr>
          <w:rFonts w:ascii="Times New Roman" w:cs="Times New Roman" w:eastAsia="Times New Roman" w:hAnsi="Times New Roman"/>
          <w:b w:val="false"/>
          <w:bCs w:val="false"/>
          <w:i w:val="false"/>
          <w:iCs w:val="false"/>
        </w:rPr>
        <w:t xml:space="preserve"> (pp. 315–326). ACM.</w:t>
      </w:r>
    </w:p>
    <w:p>
      <w:pPr>
        <w:spacing w:after="0" w:line="480" w:lineRule="auto"/>
        <w:ind w:left="720" w:hanging="720"/>
      </w:pPr>
      <w:r>
        <w:rPr>
          <w:rFonts w:ascii="Times New Roman" w:cs="Times New Roman" w:eastAsia="Times New Roman" w:hAnsi="Times New Roman"/>
          <w:b w:val="false"/>
          <w:bCs w:val="false"/>
          <w:i w:val="false"/>
          <w:iCs w:val="false"/>
        </w:rPr>
        <w:t xml:space="preserve">Buehler, R., Griffin, D., &amp; Ross, M. (1994). Exploring the “planning fallacy”: Why people underestimate their task completion times. </w:t>
      </w:r>
      <w:r>
        <w:rPr>
          <w:rFonts w:ascii="Times New Roman" w:cs="Times New Roman" w:eastAsia="Times New Roman" w:hAnsi="Times New Roman"/>
          <w:b w:val="false"/>
          <w:bCs w:val="false"/>
          <w:i/>
          <w:iCs/>
        </w:rPr>
        <w:t xml:space="preserve">Journal of Personality and Social Psychology, 67</w:t>
      </w:r>
      <w:r>
        <w:rPr>
          <w:rFonts w:ascii="Times New Roman" w:cs="Times New Roman" w:eastAsia="Times New Roman" w:hAnsi="Times New Roman"/>
          <w:b w:val="false"/>
          <w:bCs w:val="false"/>
          <w:i w:val="false"/>
          <w:iCs w:val="false"/>
        </w:rPr>
        <w:t xml:space="preserve">(3), 366–381.</w:t>
      </w:r>
    </w:p>
    <w:p>
      <w:pPr>
        <w:spacing w:after="0" w:line="480" w:lineRule="auto"/>
        <w:ind w:left="720" w:hanging="720"/>
      </w:pPr>
      <w:r>
        <w:rPr>
          <w:rFonts w:ascii="Times New Roman" w:cs="Times New Roman" w:eastAsia="Times New Roman" w:hAnsi="Times New Roman"/>
          <w:b w:val="false"/>
          <w:bCs w:val="false"/>
          <w:i w:val="false"/>
          <w:iCs w:val="false"/>
        </w:rPr>
        <w:t xml:space="preserve">Buschmann, F. (2011). To pay or not to pay technical debt. </w:t>
      </w:r>
      <w:r>
        <w:rPr>
          <w:rFonts w:ascii="Times New Roman" w:cs="Times New Roman" w:eastAsia="Times New Roman" w:hAnsi="Times New Roman"/>
          <w:b w:val="false"/>
          <w:bCs w:val="false"/>
          <w:i/>
          <w:iCs/>
        </w:rPr>
        <w:t xml:space="preserve">IEEE Software, 28</w:t>
      </w:r>
      <w:r>
        <w:rPr>
          <w:rFonts w:ascii="Times New Roman" w:cs="Times New Roman" w:eastAsia="Times New Roman" w:hAnsi="Times New Roman"/>
          <w:b w:val="false"/>
          <w:bCs w:val="false"/>
          <w:i w:val="false"/>
          <w:iCs w:val="false"/>
        </w:rPr>
        <w:t xml:space="preserve">(6), 29–31.</w:t>
      </w:r>
    </w:p>
    <w:p>
      <w:pPr>
        <w:spacing w:after="0" w:line="480" w:lineRule="auto"/>
        <w:ind w:left="720" w:hanging="720"/>
      </w:pPr>
      <w:r>
        <w:rPr>
          <w:rFonts w:ascii="Times New Roman" w:cs="Times New Roman" w:eastAsia="Times New Roman" w:hAnsi="Times New Roman"/>
          <w:b w:val="false"/>
          <w:bCs w:val="false"/>
          <w:i w:val="false"/>
          <w:iCs w:val="false"/>
        </w:rPr>
        <w:t xml:space="preserve">Cunningham, W. (1992). The WyCash portfolio management system. In </w:t>
      </w:r>
      <w:r>
        <w:rPr>
          <w:rFonts w:ascii="Times New Roman" w:cs="Times New Roman" w:eastAsia="Times New Roman" w:hAnsi="Times New Roman"/>
          <w:b w:val="false"/>
          <w:bCs w:val="false"/>
          <w:i/>
          <w:iCs/>
        </w:rPr>
        <w:t xml:space="preserve">Addendum to the Proceedings of Object-Oriented Programming Systems, Languages, and Applications</w:t>
      </w:r>
      <w:r>
        <w:rPr>
          <w:rFonts w:ascii="Times New Roman" w:cs="Times New Roman" w:eastAsia="Times New Roman" w:hAnsi="Times New Roman"/>
          <w:b w:val="false"/>
          <w:bCs w:val="false"/>
          <w:i w:val="false"/>
          <w:iCs w:val="false"/>
        </w:rPr>
        <w:t xml:space="preserve"> (pp. 29–30). ACM.</w:t>
      </w:r>
    </w:p>
    <w:p>
      <w:pPr>
        <w:spacing w:after="0" w:line="480" w:lineRule="auto"/>
        <w:ind w:left="720" w:hanging="720"/>
      </w:pPr>
      <w:r>
        <w:rPr>
          <w:rFonts w:ascii="Times New Roman" w:cs="Times New Roman" w:eastAsia="Times New Roman" w:hAnsi="Times New Roman"/>
          <w:b w:val="false"/>
          <w:bCs w:val="false"/>
          <w:i w:val="false"/>
          <w:iCs w:val="false"/>
        </w:rPr>
        <w:t xml:space="preserve">DellaVigna, S., &amp; Malmendier, U. (2004). Contract design and self-control: Theory and evidence. </w:t>
      </w:r>
      <w:r>
        <w:rPr>
          <w:rFonts w:ascii="Times New Roman" w:cs="Times New Roman" w:eastAsia="Times New Roman" w:hAnsi="Times New Roman"/>
          <w:b w:val="false"/>
          <w:bCs w:val="false"/>
          <w:i/>
          <w:iCs/>
        </w:rPr>
        <w:t xml:space="preserve">Quarterly Journal of Economics, 119</w:t>
      </w:r>
      <w:r>
        <w:rPr>
          <w:rFonts w:ascii="Times New Roman" w:cs="Times New Roman" w:eastAsia="Times New Roman" w:hAnsi="Times New Roman"/>
          <w:b w:val="false"/>
          <w:bCs w:val="false"/>
          <w:i w:val="false"/>
          <w:iCs w:val="false"/>
        </w:rPr>
        <w:t xml:space="preserve">(2), 353–402.</w:t>
      </w:r>
    </w:p>
    <w:p>
      <w:pPr>
        <w:spacing w:after="0" w:line="480" w:lineRule="auto"/>
        <w:ind w:left="720" w:hanging="720"/>
      </w:pPr>
      <w:r>
        <w:rPr>
          <w:rFonts w:ascii="Times New Roman" w:cs="Times New Roman" w:eastAsia="Times New Roman" w:hAnsi="Times New Roman"/>
          <w:b w:val="false"/>
          <w:bCs w:val="false"/>
          <w:i w:val="false"/>
          <w:iCs w:val="false"/>
        </w:rPr>
        <w:t xml:space="preserve">Dietvorst, B. J., Simmons, J. P., &amp; Massey, C. (2015). Algorithm aversion: People erroneously avoid algorithms after seeing them err. </w:t>
      </w:r>
      <w:r>
        <w:rPr>
          <w:rFonts w:ascii="Times New Roman" w:cs="Times New Roman" w:eastAsia="Times New Roman" w:hAnsi="Times New Roman"/>
          <w:b w:val="false"/>
          <w:bCs w:val="false"/>
          <w:i/>
          <w:iCs/>
        </w:rPr>
        <w:t xml:space="preserve">Journal of Experimental Psychology: General, 144</w:t>
      </w:r>
      <w:r>
        <w:rPr>
          <w:rFonts w:ascii="Times New Roman" w:cs="Times New Roman" w:eastAsia="Times New Roman" w:hAnsi="Times New Roman"/>
          <w:b w:val="false"/>
          <w:bCs w:val="false"/>
          <w:i w:val="false"/>
          <w:iCs w:val="false"/>
        </w:rPr>
        <w:t xml:space="preserve">(1), 114–126.</w:t>
      </w:r>
    </w:p>
    <w:p>
      <w:pPr>
        <w:spacing w:after="0" w:line="480" w:lineRule="auto"/>
        <w:ind w:left="720" w:hanging="720"/>
      </w:pPr>
      <w:r>
        <w:rPr>
          <w:rFonts w:ascii="Times New Roman" w:cs="Times New Roman" w:eastAsia="Times New Roman" w:hAnsi="Times New Roman"/>
          <w:b w:val="false"/>
          <w:bCs w:val="false"/>
          <w:i w:val="false"/>
          <w:iCs w:val="false"/>
        </w:rPr>
        <w:t xml:space="preserve">Ehsani, R., Rawal, S., Cai, Y., &amp; Chatterjee, P. (2026). Faster code, deeper debt? A multivocal literature review on technical debt and its early signs in LLM-assisted software development. </w:t>
      </w:r>
      <w:r>
        <w:rPr>
          <w:rFonts w:ascii="Times New Roman" w:cs="Times New Roman" w:eastAsia="Times New Roman" w:hAnsi="Times New Roman"/>
          <w:b w:val="false"/>
          <w:bCs w:val="false"/>
          <w:i/>
          <w:iCs/>
        </w:rPr>
        <w:t xml:space="preserve">ACM Transactions on Software Engineering and Methodology</w:t>
      </w:r>
      <w:r>
        <w:rPr>
          <w:rFonts w:ascii="Times New Roman" w:cs="Times New Roman" w:eastAsia="Times New Roman" w:hAnsi="Times New Roman"/>
          <w:b w:val="false"/>
          <w:bCs w:val="false"/>
          <w:i w:val="false"/>
          <w:iCs w:val="false"/>
        </w:rPr>
        <w:t xml:space="preserve">. Advance online publication. https://doi.org/10.1145/3820165</w:t>
      </w:r>
    </w:p>
    <w:p>
      <w:pPr>
        <w:spacing w:after="0" w:line="480" w:lineRule="auto"/>
        <w:ind w:left="720" w:hanging="720"/>
      </w:pPr>
      <w:r>
        <w:rPr>
          <w:rFonts w:ascii="Times New Roman" w:cs="Times New Roman" w:eastAsia="Times New Roman" w:hAnsi="Times New Roman"/>
          <w:b w:val="false"/>
          <w:bCs w:val="false"/>
          <w:i w:val="false"/>
          <w:iCs w:val="false"/>
        </w:rPr>
        <w:t xml:space="preserve">Fu, Y., Liang, P., Tahir, A., Li, Z., Shahin, M., Yu, J., &amp; Chen, J. (2025). Security weaknesses of Copilot-generated code in GitHub projects: An empirical study. </w:t>
      </w:r>
      <w:r>
        <w:rPr>
          <w:rFonts w:ascii="Times New Roman" w:cs="Times New Roman" w:eastAsia="Times New Roman" w:hAnsi="Times New Roman"/>
          <w:b w:val="false"/>
          <w:bCs w:val="false"/>
          <w:i/>
          <w:iCs/>
        </w:rPr>
        <w:t xml:space="preserve">ACM Transactions on Software Engineering and Methodology, 34</w:t>
      </w:r>
      <w:r>
        <w:rPr>
          <w:rFonts w:ascii="Times New Roman" w:cs="Times New Roman" w:eastAsia="Times New Roman" w:hAnsi="Times New Roman"/>
          <w:b w:val="false"/>
          <w:bCs w:val="false"/>
          <w:i w:val="false"/>
          <w:iCs w:val="false"/>
        </w:rPr>
        <w:t xml:space="preserve">(8), 1–34.</w:t>
      </w:r>
    </w:p>
    <w:p>
      <w:pPr>
        <w:spacing w:after="0" w:line="480" w:lineRule="auto"/>
        <w:ind w:left="720" w:hanging="720"/>
      </w:pPr>
      <w:r>
        <w:rPr>
          <w:rFonts w:ascii="Times New Roman" w:cs="Times New Roman" w:eastAsia="Times New Roman" w:hAnsi="Times New Roman"/>
          <w:b w:val="false"/>
          <w:bCs w:val="false"/>
          <w:i w:val="false"/>
          <w:iCs w:val="false"/>
        </w:rPr>
        <w:t xml:space="preserve">Gabaix, X., &amp; Laibson, D. (2006). Shrouded attributes, consumer myopia, and information suppression in competitive markets. </w:t>
      </w:r>
      <w:r>
        <w:rPr>
          <w:rFonts w:ascii="Times New Roman" w:cs="Times New Roman" w:eastAsia="Times New Roman" w:hAnsi="Times New Roman"/>
          <w:b w:val="false"/>
          <w:bCs w:val="false"/>
          <w:i/>
          <w:iCs/>
        </w:rPr>
        <w:t xml:space="preserve">Quarterly Journal of Economics, 121</w:t>
      </w:r>
      <w:r>
        <w:rPr>
          <w:rFonts w:ascii="Times New Roman" w:cs="Times New Roman" w:eastAsia="Times New Roman" w:hAnsi="Times New Roman"/>
          <w:b w:val="false"/>
          <w:bCs w:val="false"/>
          <w:i w:val="false"/>
          <w:iCs w:val="false"/>
        </w:rPr>
        <w:t xml:space="preserve">(2), 505–540.</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(2025). </w:t>
      </w:r>
      <w:r>
        <w:rPr>
          <w:rFonts w:ascii="Times New Roman" w:cs="Times New Roman" w:eastAsia="Times New Roman" w:hAnsi="Times New Roman"/>
          <w:b w:val="false"/>
          <w:bCs w:val="false"/>
          <w:i/>
          <w:iCs/>
        </w:rPr>
        <w:t xml:space="preserve">AI copilot code quality: 2025 data suggests 4x growth in code clones</w:t>
      </w:r>
      <w:r>
        <w:rPr>
          <w:rFonts w:ascii="Times New Roman" w:cs="Times New Roman" w:eastAsia="Times New Roman" w:hAnsi="Times New Roman"/>
          <w:b w:val="false"/>
          <w:bCs w:val="false"/>
          <w:i w:val="false"/>
          <w:iCs w:val="false"/>
        </w:rPr>
        <w:t xml:space="preserve"> [Report]. https://www.gitclear.com/ai_assistant_code_quality_2025_research</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(2026). </w:t>
      </w:r>
      <w:r>
        <w:rPr>
          <w:rFonts w:ascii="Times New Roman" w:cs="Times New Roman" w:eastAsia="Times New Roman" w:hAnsi="Times New Roman"/>
          <w:b w:val="false"/>
          <w:bCs w:val="false"/>
          <w:i/>
          <w:iCs/>
        </w:rPr>
        <w:t xml:space="preserve">The maintainability gap: 2026 AI code quality research</w:t>
      </w:r>
      <w:r>
        <w:rPr>
          <w:rFonts w:ascii="Times New Roman" w:cs="Times New Roman" w:eastAsia="Times New Roman" w:hAnsi="Times New Roman"/>
          <w:b w:val="false"/>
          <w:bCs w:val="false"/>
          <w:i w:val="false"/>
          <w:iCs w:val="false"/>
        </w:rPr>
        <w:t xml:space="preserve"> [Report]. https://www.gitclear.com/the_ai_code_quality_maintainability_gap</w:t>
      </w:r>
    </w:p>
    <w:p>
      <w:pPr>
        <w:spacing w:after="0" w:line="480" w:lineRule="auto"/>
        <w:ind w:left="720" w:hanging="720"/>
      </w:pPr>
      <w:r>
        <w:rPr>
          <w:rFonts w:ascii="Times New Roman" w:cs="Times New Roman" w:eastAsia="Times New Roman" w:hAnsi="Times New Roman"/>
          <w:b w:val="false"/>
          <w:bCs w:val="false"/>
          <w:i w:val="false"/>
          <w:iCs w:val="false"/>
        </w:rPr>
        <w:t xml:space="preserve">Goddard, K., Roudsari, A., &amp; Wyatt, J. C. (2012). Automation bias: A systematic review of frequency, effect mediators, and mitigators. </w:t>
      </w:r>
      <w:r>
        <w:rPr>
          <w:rFonts w:ascii="Times New Roman" w:cs="Times New Roman" w:eastAsia="Times New Roman" w:hAnsi="Times New Roman"/>
          <w:b w:val="false"/>
          <w:bCs w:val="false"/>
          <w:i/>
          <w:iCs/>
        </w:rPr>
        <w:t xml:space="preserve">Journal of the American Medical Informatics Association, 19</w:t>
      </w:r>
      <w:r>
        <w:rPr>
          <w:rFonts w:ascii="Times New Roman" w:cs="Times New Roman" w:eastAsia="Times New Roman" w:hAnsi="Times New Roman"/>
          <w:b w:val="false"/>
          <w:bCs w:val="false"/>
          <w:i w:val="false"/>
          <w:iCs w:val="false"/>
        </w:rPr>
        <w:t xml:space="preserve">(1), 121–127.</w:t>
      </w:r>
    </w:p>
    <w:p>
      <w:pPr>
        <w:spacing w:after="0" w:line="480" w:lineRule="auto"/>
        <w:ind w:left="720" w:hanging="720"/>
      </w:pPr>
      <w:r>
        <w:rPr>
          <w:rFonts w:ascii="Times New Roman" w:cs="Times New Roman" w:eastAsia="Times New Roman" w:hAnsi="Times New Roman"/>
          <w:b w:val="false"/>
          <w:bCs w:val="false"/>
          <w:i w:val="false"/>
          <w:iCs w:val="false"/>
        </w:rPr>
        <w:t xml:space="preserve">Haag, S., &amp; Eckhardt, A. (2017). Shadow IT. </w:t>
      </w:r>
      <w:r>
        <w:rPr>
          <w:rFonts w:ascii="Times New Roman" w:cs="Times New Roman" w:eastAsia="Times New Roman" w:hAnsi="Times New Roman"/>
          <w:b w:val="false"/>
          <w:bCs w:val="false"/>
          <w:i/>
          <w:iCs/>
        </w:rPr>
        <w:t xml:space="preserve">Business &amp; Information Systems Engineering, 59</w:t>
      </w:r>
      <w:r>
        <w:rPr>
          <w:rFonts w:ascii="Times New Roman" w:cs="Times New Roman" w:eastAsia="Times New Roman" w:hAnsi="Times New Roman"/>
          <w:b w:val="false"/>
          <w:bCs w:val="false"/>
          <w:i w:val="false"/>
          <w:iCs w:val="false"/>
        </w:rPr>
        <w:t xml:space="preserve">(6), 469–473.</w:t>
      </w:r>
    </w:p>
    <w:p>
      <w:pPr>
        <w:spacing w:after="0" w:line="480" w:lineRule="auto"/>
        <w:ind w:left="720" w:hanging="720"/>
      </w:pPr>
      <w:r>
        <w:rPr>
          <w:rFonts w:ascii="Times New Roman" w:cs="Times New Roman" w:eastAsia="Times New Roman" w:hAnsi="Times New Roman"/>
          <w:b w:val="false"/>
          <w:bCs w:val="false"/>
          <w:i w:val="false"/>
          <w:iCs w:val="false"/>
        </w:rPr>
        <w:t xml:space="preserve">Hardin, G. (1968). The tragedy of the commons. </w:t>
      </w:r>
      <w:r>
        <w:rPr>
          <w:rFonts w:ascii="Times New Roman" w:cs="Times New Roman" w:eastAsia="Times New Roman" w:hAnsi="Times New Roman"/>
          <w:b w:val="false"/>
          <w:bCs w:val="false"/>
          <w:i/>
          <w:iCs/>
        </w:rPr>
        <w:t xml:space="preserve">Science, 162</w:t>
      </w:r>
      <w:r>
        <w:rPr>
          <w:rFonts w:ascii="Times New Roman" w:cs="Times New Roman" w:eastAsia="Times New Roman" w:hAnsi="Times New Roman"/>
          <w:b w:val="false"/>
          <w:bCs w:val="false"/>
          <w:i w:val="false"/>
          <w:iCs w:val="false"/>
        </w:rPr>
        <w:t xml:space="preserve">(3859), 1243–1248.</w:t>
      </w:r>
    </w:p>
    <w:p>
      <w:pPr>
        <w:spacing w:after="0" w:line="480" w:lineRule="auto"/>
        <w:ind w:left="720" w:hanging="720"/>
      </w:pPr>
      <w:r>
        <w:rPr>
          <w:rFonts w:ascii="Times New Roman" w:cs="Times New Roman" w:eastAsia="Times New Roman" w:hAnsi="Times New Roman"/>
          <w:b w:val="false"/>
          <w:bCs w:val="false"/>
          <w:i w:val="false"/>
          <w:iCs w:val="false"/>
        </w:rPr>
        <w:t xml:space="preserve">He, H., Miller, C., Agarwal, S., Kästner, C., &amp; Vasilescu, B. (2026). Speed at the cost of quality: How Cursor AI increases short-term velocity and long-term complexity in open-source projects.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(Preprint arXiv:2511.04427)</w:t>
      </w:r>
    </w:p>
    <w:p>
      <w:pPr>
        <w:spacing w:after="0" w:line="480" w:lineRule="auto"/>
        <w:ind w:left="720" w:hanging="720"/>
      </w:pPr>
      <w:r>
        <w:rPr>
          <w:rFonts w:ascii="Times New Roman" w:cs="Times New Roman" w:eastAsia="Times New Roman" w:hAnsi="Times New Roman"/>
          <w:b w:val="false"/>
          <w:bCs w:val="false"/>
          <w:i w:val="false"/>
          <w:iCs w:val="false"/>
        </w:rPr>
        <w:t xml:space="preserve">Jevons, W. S. (1865). </w:t>
      </w:r>
      <w:r>
        <w:rPr>
          <w:rFonts w:ascii="Times New Roman" w:cs="Times New Roman" w:eastAsia="Times New Roman" w:hAnsi="Times New Roman"/>
          <w:b w:val="false"/>
          <w:bCs w:val="false"/>
          <w:i/>
          <w:iCs/>
        </w:rPr>
        <w:t xml:space="preserve">The coal question</w:t>
      </w:r>
      <w:r>
        <w:rPr>
          <w:rFonts w:ascii="Times New Roman" w:cs="Times New Roman" w:eastAsia="Times New Roman" w:hAnsi="Times New Roman"/>
          <w:b w:val="false"/>
          <w:bCs w:val="false"/>
          <w:i w:val="false"/>
          <w:iCs w:val="false"/>
        </w:rPr>
        <w:t xml:space="preserve">. Macmillan.</w:t>
      </w:r>
    </w:p>
    <w:p>
      <w:pPr>
        <w:spacing w:after="0" w:line="480" w:lineRule="auto"/>
        <w:ind w:left="720" w:hanging="720"/>
      </w:pPr>
      <w:r>
        <w:rPr>
          <w:rFonts w:ascii="Times New Roman" w:cs="Times New Roman" w:eastAsia="Times New Roman" w:hAnsi="Times New Roman"/>
          <w:b w:val="false"/>
          <w:bCs w:val="false"/>
          <w:i w:val="false"/>
          <w:iCs w:val="false"/>
        </w:rPr>
        <w:t xml:space="preserve">Johnson, E. J., &amp; Goldstein, D. (2003). Do defaults save lives? </w:t>
      </w:r>
      <w:r>
        <w:rPr>
          <w:rFonts w:ascii="Times New Roman" w:cs="Times New Roman" w:eastAsia="Times New Roman" w:hAnsi="Times New Roman"/>
          <w:b w:val="false"/>
          <w:bCs w:val="false"/>
          <w:i/>
          <w:iCs/>
        </w:rPr>
        <w:t xml:space="preserve">Science, 302</w:t>
      </w:r>
      <w:r>
        <w:rPr>
          <w:rFonts w:ascii="Times New Roman" w:cs="Times New Roman" w:eastAsia="Times New Roman" w:hAnsi="Times New Roman"/>
          <w:b w:val="false"/>
          <w:bCs w:val="false"/>
          <w:i w:val="false"/>
          <w:iCs w:val="false"/>
        </w:rPr>
        <w:t xml:space="preserve">(5649), 1338–1339.</w:t>
      </w:r>
    </w:p>
    <w:p>
      <w:pPr>
        <w:spacing w:after="0" w:line="480" w:lineRule="auto"/>
        <w:ind w:left="720" w:hanging="720"/>
      </w:pPr>
      <w:r>
        <w:rPr>
          <w:rFonts w:ascii="Times New Roman" w:cs="Times New Roman" w:eastAsia="Times New Roman" w:hAnsi="Times New Roman"/>
          <w:b w:val="false"/>
          <w:bCs w:val="false"/>
          <w:i w:val="false"/>
          <w:iCs w:val="false"/>
        </w:rPr>
        <w:t xml:space="preserve">Kahneman, D., &amp; Tversky, A. (1979). Prospect theory: An analysis of decision under risk. </w:t>
      </w:r>
      <w:r>
        <w:rPr>
          <w:rFonts w:ascii="Times New Roman" w:cs="Times New Roman" w:eastAsia="Times New Roman" w:hAnsi="Times New Roman"/>
          <w:b w:val="false"/>
          <w:bCs w:val="false"/>
          <w:i/>
          <w:iCs/>
        </w:rPr>
        <w:t xml:space="preserve">Econometrica, 47</w:t>
      </w:r>
      <w:r>
        <w:rPr>
          <w:rFonts w:ascii="Times New Roman" w:cs="Times New Roman" w:eastAsia="Times New Roman" w:hAnsi="Times New Roman"/>
          <w:b w:val="false"/>
          <w:bCs w:val="false"/>
          <w:i w:val="false"/>
          <w:iCs w:val="false"/>
        </w:rPr>
        <w:t xml:space="preserve">(2), 263–291.</w:t>
      </w:r>
    </w:p>
    <w:p>
      <w:pPr>
        <w:spacing w:after="0" w:line="480" w:lineRule="auto"/>
        <w:ind w:left="720" w:hanging="720"/>
      </w:pPr>
      <w:r>
        <w:rPr>
          <w:rFonts w:ascii="Times New Roman" w:cs="Times New Roman" w:eastAsia="Times New Roman" w:hAnsi="Times New Roman"/>
          <w:b w:val="false"/>
          <w:bCs w:val="false"/>
          <w:i w:val="false"/>
          <w:iCs w:val="false"/>
        </w:rPr>
        <w:t xml:space="preserve">Kruchten, P., Nord, R. L., &amp; Ozkaya, I. (2012). Technical debt: From metaphor to theory and practice. </w:t>
      </w:r>
      <w:r>
        <w:rPr>
          <w:rFonts w:ascii="Times New Roman" w:cs="Times New Roman" w:eastAsia="Times New Roman" w:hAnsi="Times New Roman"/>
          <w:b w:val="false"/>
          <w:bCs w:val="false"/>
          <w:i/>
          <w:iCs/>
        </w:rPr>
        <w:t xml:space="preserve">IEEE Software, 29</w:t>
      </w:r>
      <w:r>
        <w:rPr>
          <w:rFonts w:ascii="Times New Roman" w:cs="Times New Roman" w:eastAsia="Times New Roman" w:hAnsi="Times New Roman"/>
          <w:b w:val="false"/>
          <w:bCs w:val="false"/>
          <w:i w:val="false"/>
          <w:iCs w:val="false"/>
        </w:rPr>
        <w:t xml:space="preserve">(6), 18–21.</w:t>
      </w:r>
    </w:p>
    <w:p>
      <w:pPr>
        <w:spacing w:after="0" w:line="480" w:lineRule="auto"/>
        <w:ind w:left="720" w:hanging="720"/>
      </w:pPr>
      <w:r>
        <w:rPr>
          <w:rFonts w:ascii="Times New Roman" w:cs="Times New Roman" w:eastAsia="Times New Roman" w:hAnsi="Times New Roman"/>
          <w:b w:val="false"/>
          <w:bCs w:val="false"/>
          <w:i w:val="false"/>
          <w:iCs w:val="false"/>
        </w:rPr>
        <w:t xml:space="preserve">Laibson, D. (1997). Golden eggs and hyperbolic discounting. </w:t>
      </w:r>
      <w:r>
        <w:rPr>
          <w:rFonts w:ascii="Times New Roman" w:cs="Times New Roman" w:eastAsia="Times New Roman" w:hAnsi="Times New Roman"/>
          <w:b w:val="false"/>
          <w:bCs w:val="false"/>
          <w:i/>
          <w:iCs/>
        </w:rPr>
        <w:t xml:space="preserve">Quarterly Journal of Economics, 112</w:t>
      </w:r>
      <w:r>
        <w:rPr>
          <w:rFonts w:ascii="Times New Roman" w:cs="Times New Roman" w:eastAsia="Times New Roman" w:hAnsi="Times New Roman"/>
          <w:b w:val="false"/>
          <w:bCs w:val="false"/>
          <w:i w:val="false"/>
          <w:iCs w:val="false"/>
        </w:rPr>
        <w:t xml:space="preserve">(2), 443–478.</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(2025). </w:t>
      </w:r>
      <w:r>
        <w:rPr>
          <w:rFonts w:ascii="Times New Roman" w:cs="Times New Roman" w:eastAsia="Times New Roman" w:hAnsi="Times New Roman"/>
          <w:b w:val="false"/>
          <w:bCs w:val="false"/>
          <w:i/>
          <w:iCs/>
        </w:rPr>
        <w:t xml:space="preserve">The rise of AI teammates in software engineering (SE) 3.0: How autonomous coding agents are reshaping software engineering</w:t>
      </w:r>
      <w:r>
        <w:rPr>
          <w:rFonts w:ascii="Times New Roman" w:cs="Times New Roman" w:eastAsia="Times New Roman" w:hAnsi="Times New Roman"/>
          <w:b w:val="false"/>
          <w:bCs w:val="false"/>
          <w:i w:val="false"/>
          <w:iCs w:val="false"/>
        </w:rPr>
        <w:t xml:space="preserve"> (arXiv:2507.15003). arXiv.</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(2026). AIDev: Studying AI coding agents on GitHub.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https://doi.org/10.1145/3793302.3797249</w:t>
      </w:r>
    </w:p>
    <w:p>
      <w:pPr>
        <w:spacing w:after="0" w:line="480" w:lineRule="auto"/>
        <w:ind w:left="720" w:hanging="720"/>
      </w:pPr>
      <w:r>
        <w:rPr>
          <w:rFonts w:ascii="Times New Roman" w:cs="Times New Roman" w:eastAsia="Times New Roman" w:hAnsi="Times New Roman"/>
          <w:b w:val="false"/>
          <w:bCs w:val="false"/>
          <w:i w:val="false"/>
          <w:iCs w:val="false"/>
        </w:rPr>
        <w:t xml:space="preserve">Logg, J. M., Minson, J. A., &amp; Moore, D. A. (2019). Algorithm appreciation: People prefer algorithmic to human judgment. </w:t>
      </w:r>
      <w:r>
        <w:rPr>
          <w:rFonts w:ascii="Times New Roman" w:cs="Times New Roman" w:eastAsia="Times New Roman" w:hAnsi="Times New Roman"/>
          <w:b w:val="false"/>
          <w:bCs w:val="false"/>
          <w:i/>
          <w:iCs/>
        </w:rPr>
        <w:t xml:space="preserve">Organizational Behavior and Human Decision Processes, 151</w:t>
      </w:r>
      <w:r>
        <w:rPr>
          <w:rFonts w:ascii="Times New Roman" w:cs="Times New Roman" w:eastAsia="Times New Roman" w:hAnsi="Times New Roman"/>
          <w:b w:val="false"/>
          <w:bCs w:val="false"/>
          <w:i w:val="false"/>
          <w:iCs w:val="false"/>
        </w:rPr>
        <w:t xml:space="preserve">, 90–103.</w:t>
      </w:r>
    </w:p>
    <w:p>
      <w:pPr>
        <w:spacing w:after="0" w:line="480" w:lineRule="auto"/>
        <w:ind w:left="720" w:hanging="720"/>
      </w:pPr>
      <w:r>
        <w:rPr>
          <w:rFonts w:ascii="Times New Roman" w:cs="Times New Roman" w:eastAsia="Times New Roman" w:hAnsi="Times New Roman"/>
          <w:b w:val="false"/>
          <w:bCs w:val="false"/>
          <w:i w:val="false"/>
          <w:iCs w:val="false"/>
        </w:rPr>
        <w:t xml:space="preserve">Norton, M. I., Mochon, D., &amp; Ariely, D. (2012). The IKEA effect: When labor leads to love. </w:t>
      </w:r>
      <w:r>
        <w:rPr>
          <w:rFonts w:ascii="Times New Roman" w:cs="Times New Roman" w:eastAsia="Times New Roman" w:hAnsi="Times New Roman"/>
          <w:b w:val="false"/>
          <w:bCs w:val="false"/>
          <w:i/>
          <w:iCs/>
        </w:rPr>
        <w:t xml:space="preserve">Journal of Consumer Psychology, 22</w:t>
      </w:r>
      <w:r>
        <w:rPr>
          <w:rFonts w:ascii="Times New Roman" w:cs="Times New Roman" w:eastAsia="Times New Roman" w:hAnsi="Times New Roman"/>
          <w:b w:val="false"/>
          <w:bCs w:val="false"/>
          <w:i w:val="false"/>
          <w:iCs w:val="false"/>
        </w:rPr>
        <w:t xml:space="preserve">(3), 453–460.</w:t>
      </w:r>
    </w:p>
    <w:p>
      <w:pPr>
        <w:spacing w:after="0" w:line="480" w:lineRule="auto"/>
        <w:ind w:left="720" w:hanging="720"/>
      </w:pPr>
      <w:r>
        <w:rPr>
          <w:rFonts w:ascii="Times New Roman" w:cs="Times New Roman" w:eastAsia="Times New Roman" w:hAnsi="Times New Roman"/>
          <w:b w:val="false"/>
          <w:bCs w:val="false"/>
          <w:i w:val="false"/>
          <w:iCs w:val="false"/>
        </w:rPr>
        <w:t xml:space="preserve">O’Donoghue, T., &amp; Rabin, M. (1999). Doing it now or later. </w:t>
      </w:r>
      <w:r>
        <w:rPr>
          <w:rFonts w:ascii="Times New Roman" w:cs="Times New Roman" w:eastAsia="Times New Roman" w:hAnsi="Times New Roman"/>
          <w:b w:val="false"/>
          <w:bCs w:val="false"/>
          <w:i/>
          <w:iCs/>
        </w:rPr>
        <w:t xml:space="preserve">American Economic Review, 89</w:t>
      </w:r>
      <w:r>
        <w:rPr>
          <w:rFonts w:ascii="Times New Roman" w:cs="Times New Roman" w:eastAsia="Times New Roman" w:hAnsi="Times New Roman"/>
          <w:b w:val="false"/>
          <w:bCs w:val="false"/>
          <w:i w:val="false"/>
          <w:iCs w:val="false"/>
        </w:rPr>
        <w:t xml:space="preserve">(1), 103–124.</w:t>
      </w:r>
    </w:p>
    <w:p>
      <w:pPr>
        <w:spacing w:after="0" w:line="480" w:lineRule="auto"/>
        <w:ind w:left="720" w:hanging="720"/>
      </w:pPr>
      <w:r>
        <w:rPr>
          <w:rFonts w:ascii="Times New Roman" w:cs="Times New Roman" w:eastAsia="Times New Roman" w:hAnsi="Times New Roman"/>
          <w:b w:val="false"/>
          <w:bCs w:val="false"/>
          <w:i w:val="false"/>
          <w:iCs w:val="false"/>
        </w:rPr>
        <w:t xml:space="preserve">Ostrom, E. (1990). </w:t>
      </w:r>
      <w:r>
        <w:rPr>
          <w:rFonts w:ascii="Times New Roman" w:cs="Times New Roman" w:eastAsia="Times New Roman" w:hAnsi="Times New Roman"/>
          <w:b w:val="false"/>
          <w:bCs w:val="false"/>
          <w:i/>
          <w:iCs/>
        </w:rPr>
        <w:t xml:space="preserve">Governing the commons: The evolution of institutions for collective action</w:t>
      </w:r>
      <w:r>
        <w:rPr>
          <w:rFonts w:ascii="Times New Roman" w:cs="Times New Roman" w:eastAsia="Times New Roman" w:hAnsi="Times New Roman"/>
          <w:b w:val="false"/>
          <w:bCs w:val="false"/>
          <w:i w:val="false"/>
          <w:iCs w:val="false"/>
        </w:rPr>
        <w:t xml:space="preserve">. Cambridge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Parasuraman, R., &amp; Manzey, D. H. (2010). Complacency and bias in human use of automation: An attentional integration. </w:t>
      </w:r>
      <w:r>
        <w:rPr>
          <w:rFonts w:ascii="Times New Roman" w:cs="Times New Roman" w:eastAsia="Times New Roman" w:hAnsi="Times New Roman"/>
          <w:b w:val="false"/>
          <w:bCs w:val="false"/>
          <w:i/>
          <w:iCs/>
        </w:rPr>
        <w:t xml:space="preserve">Human Factors, 52</w:t>
      </w:r>
      <w:r>
        <w:rPr>
          <w:rFonts w:ascii="Times New Roman" w:cs="Times New Roman" w:eastAsia="Times New Roman" w:hAnsi="Times New Roman"/>
          <w:b w:val="false"/>
          <w:bCs w:val="false"/>
          <w:i w:val="false"/>
          <w:iCs w:val="false"/>
        </w:rPr>
        <w:t xml:space="preserve">(3), 381–410.</w:t>
      </w:r>
    </w:p>
    <w:p>
      <w:pPr>
        <w:spacing w:after="0" w:line="480" w:lineRule="auto"/>
        <w:ind w:left="720" w:hanging="720"/>
      </w:pPr>
      <w:r>
        <w:rPr>
          <w:rFonts w:ascii="Times New Roman" w:cs="Times New Roman" w:eastAsia="Times New Roman" w:hAnsi="Times New Roman"/>
          <w:b w:val="false"/>
          <w:bCs w:val="false"/>
          <w:i w:val="false"/>
          <w:iCs w:val="false"/>
        </w:rPr>
        <w:t xml:space="preserve">Pearce, H., Ahmad, B., Tan, B., Dolan-Gavitt, B., &amp; Karri, R. (2022). Asleep at the keyboard? Assessing the security of GitHub Copilot’s code contributions. In </w:t>
      </w:r>
      <w:r>
        <w:rPr>
          <w:rFonts w:ascii="Times New Roman" w:cs="Times New Roman" w:eastAsia="Times New Roman" w:hAnsi="Times New Roman"/>
          <w:b w:val="false"/>
          <w:bCs w:val="false"/>
          <w:i/>
          <w:iCs/>
        </w:rPr>
        <w:t xml:space="preserve">Proceedings of the 2022 IEEE Symposium on Security and Privacy</w:t>
      </w:r>
      <w:r>
        <w:rPr>
          <w:rFonts w:ascii="Times New Roman" w:cs="Times New Roman" w:eastAsia="Times New Roman" w:hAnsi="Times New Roman"/>
          <w:b w:val="false"/>
          <w:bCs w:val="false"/>
          <w:i w:val="false"/>
          <w:iCs w:val="false"/>
        </w:rPr>
        <w:t xml:space="preserve"> (pp. 754–768). IEEE.</w:t>
      </w:r>
    </w:p>
    <w:p>
      <w:pPr>
        <w:spacing w:after="0" w:line="480" w:lineRule="auto"/>
        <w:ind w:left="720" w:hanging="720"/>
      </w:pPr>
      <w:r>
        <w:rPr>
          <w:rFonts w:ascii="Times New Roman" w:cs="Times New Roman" w:eastAsia="Times New Roman" w:hAnsi="Times New Roman"/>
          <w:b w:val="false"/>
          <w:bCs w:val="false"/>
          <w:i w:val="false"/>
          <w:iCs w:val="false"/>
        </w:rPr>
        <w:t xml:space="preserve">Pierce, J. L., Kostova, T., &amp; Dirks, K. T. (2001). Toward a theory of psychological ownership in organizations. </w:t>
      </w:r>
      <w:r>
        <w:rPr>
          <w:rFonts w:ascii="Times New Roman" w:cs="Times New Roman" w:eastAsia="Times New Roman" w:hAnsi="Times New Roman"/>
          <w:b w:val="false"/>
          <w:bCs w:val="false"/>
          <w:i/>
          <w:iCs/>
        </w:rPr>
        <w:t xml:space="preserve">Academy of Management Review, 26</w:t>
      </w:r>
      <w:r>
        <w:rPr>
          <w:rFonts w:ascii="Times New Roman" w:cs="Times New Roman" w:eastAsia="Times New Roman" w:hAnsi="Times New Roman"/>
          <w:b w:val="false"/>
          <w:bCs w:val="false"/>
          <w:i w:val="false"/>
          <w:iCs w:val="false"/>
        </w:rPr>
        <w:t xml:space="preserve">(2), 298–310.</w:t>
      </w:r>
    </w:p>
    <w:p>
      <w:pPr>
        <w:spacing w:after="0" w:line="480" w:lineRule="auto"/>
        <w:ind w:left="720" w:hanging="720"/>
      </w:pPr>
      <w:r>
        <w:rPr>
          <w:rFonts w:ascii="Times New Roman" w:cs="Times New Roman" w:eastAsia="Times New Roman" w:hAnsi="Times New Roman"/>
          <w:b w:val="false"/>
          <w:bCs w:val="false"/>
          <w:i w:val="false"/>
          <w:iCs w:val="false"/>
        </w:rPr>
        <w:t xml:space="preserve">Potdar, A., &amp; Shihab, E. (2014). An exploratory study on self-admitted technical debt. In </w:t>
      </w:r>
      <w:r>
        <w:rPr>
          <w:rFonts w:ascii="Times New Roman" w:cs="Times New Roman" w:eastAsia="Times New Roman" w:hAnsi="Times New Roman"/>
          <w:b w:val="false"/>
          <w:bCs w:val="false"/>
          <w:i/>
          <w:iCs/>
        </w:rPr>
        <w:t xml:space="preserve">Proceedings of the 2014 IEEE International Conference on Software Maintenance and Evolution</w:t>
      </w:r>
      <w:r>
        <w:rPr>
          <w:rFonts w:ascii="Times New Roman" w:cs="Times New Roman" w:eastAsia="Times New Roman" w:hAnsi="Times New Roman"/>
          <w:b w:val="false"/>
          <w:bCs w:val="false"/>
          <w:i w:val="false"/>
          <w:iCs w:val="false"/>
        </w:rPr>
        <w:t xml:space="preserve"> (pp. 91–100). IEEE.</w:t>
      </w:r>
    </w:p>
    <w:p>
      <w:pPr>
        <w:spacing w:after="0" w:line="480" w:lineRule="auto"/>
        <w:ind w:left="720" w:hanging="720"/>
      </w:pPr>
      <w:r>
        <w:rPr>
          <w:rFonts w:ascii="Times New Roman" w:cs="Times New Roman" w:eastAsia="Times New Roman" w:hAnsi="Times New Roman"/>
          <w:b w:val="false"/>
          <w:bCs w:val="false"/>
          <w:i w:val="false"/>
          <w:iCs w:val="false"/>
        </w:rPr>
        <w:t xml:space="preserve">Samuelson, W., &amp; Zeckhauser, R. (1988). Status quo bias in decision making. </w:t>
      </w:r>
      <w:r>
        <w:rPr>
          <w:rFonts w:ascii="Times New Roman" w:cs="Times New Roman" w:eastAsia="Times New Roman" w:hAnsi="Times New Roman"/>
          <w:b w:val="false"/>
          <w:bCs w:val="false"/>
          <w:i/>
          <w:iCs/>
        </w:rPr>
        <w:t xml:space="preserve">Journal of Risk and Uncertainty, 1</w:t>
      </w:r>
      <w:r>
        <w:rPr>
          <w:rFonts w:ascii="Times New Roman" w:cs="Times New Roman" w:eastAsia="Times New Roman" w:hAnsi="Times New Roman"/>
          <w:b w:val="false"/>
          <w:bCs w:val="false"/>
          <w:i w:val="false"/>
          <w:iCs w:val="false"/>
        </w:rPr>
        <w:t xml:space="preserve">(1), 7–59.</w:t>
      </w:r>
    </w:p>
    <w:p>
      <w:pPr>
        <w:spacing w:after="0" w:line="480" w:lineRule="auto"/>
        <w:ind w:left="720" w:hanging="720"/>
      </w:pPr>
      <w:r>
        <w:rPr>
          <w:rFonts w:ascii="Times New Roman" w:cs="Times New Roman" w:eastAsia="Times New Roman" w:hAnsi="Times New Roman"/>
          <w:b w:val="false"/>
          <w:bCs w:val="false"/>
          <w:i w:val="false"/>
          <w:iCs w:val="false"/>
        </w:rPr>
        <w:t xml:space="preserve">Seaman, C., &amp; Guo, Y. (2011). Measuring and monitoring technical debt. </w:t>
      </w:r>
      <w:r>
        <w:rPr>
          <w:rFonts w:ascii="Times New Roman" w:cs="Times New Roman" w:eastAsia="Times New Roman" w:hAnsi="Times New Roman"/>
          <w:b w:val="false"/>
          <w:bCs w:val="false"/>
          <w:i/>
          <w:iCs/>
        </w:rPr>
        <w:t xml:space="preserve">Advances in Computers, 82</w:t>
      </w:r>
      <w:r>
        <w:rPr>
          <w:rFonts w:ascii="Times New Roman" w:cs="Times New Roman" w:eastAsia="Times New Roman" w:hAnsi="Times New Roman"/>
          <w:b w:val="false"/>
          <w:bCs w:val="false"/>
          <w:i w:val="false"/>
          <w:iCs w:val="false"/>
        </w:rPr>
        <w:t xml:space="preserve">, 25–46.</w:t>
      </w:r>
    </w:p>
    <w:p>
      <w:pPr>
        <w:spacing w:after="0" w:line="480" w:lineRule="auto"/>
        <w:ind w:left="720" w:hanging="720"/>
      </w:pPr>
      <w:r>
        <w:rPr>
          <w:rFonts w:ascii="Times New Roman" w:cs="Times New Roman" w:eastAsia="Times New Roman" w:hAnsi="Times New Roman"/>
          <w:b w:val="false"/>
          <w:bCs w:val="false"/>
          <w:i w:val="false"/>
          <w:iCs w:val="false"/>
        </w:rPr>
        <w:t xml:space="preserve">Slater, T. (2025). </w:t>
      </w:r>
      <w:r>
        <w:rPr>
          <w:rFonts w:ascii="Times New Roman" w:cs="Times New Roman" w:eastAsia="Times New Roman" w:hAnsi="Times New Roman"/>
          <w:b w:val="false"/>
          <w:bCs w:val="false"/>
          <w:i/>
          <w:iCs/>
        </w:rPr>
        <w:t xml:space="preserve">Quantitative analysis of technical debt and pattern violation in large language model architectures</w:t>
      </w:r>
      <w:r>
        <w:rPr>
          <w:rFonts w:ascii="Times New Roman" w:cs="Times New Roman" w:eastAsia="Times New Roman" w:hAnsi="Times New Roman"/>
          <w:b w:val="false"/>
          <w:bCs w:val="false"/>
          <w:i w:val="false"/>
          <w:iCs w:val="false"/>
        </w:rPr>
        <w:t xml:space="preserve"> (arXiv:2512.04273). arXiv.</w:t>
      </w:r>
    </w:p>
    <w:p>
      <w:pPr>
        <w:spacing w:after="0" w:line="480" w:lineRule="auto"/>
        <w:ind w:left="720" w:hanging="720"/>
      </w:pPr>
      <w:r>
        <w:rPr>
          <w:rFonts w:ascii="Times New Roman" w:cs="Times New Roman" w:eastAsia="Times New Roman" w:hAnsi="Times New Roman"/>
          <w:b w:val="false"/>
          <w:bCs w:val="false"/>
          <w:i w:val="false"/>
          <w:iCs w:val="false"/>
        </w:rPr>
        <w:t xml:space="preserve">Sorrell, S. (2009). Jevons’ paradox revisited: The evidence for backfire from improved energy efficiency. </w:t>
      </w:r>
      <w:r>
        <w:rPr>
          <w:rFonts w:ascii="Times New Roman" w:cs="Times New Roman" w:eastAsia="Times New Roman" w:hAnsi="Times New Roman"/>
          <w:b w:val="false"/>
          <w:bCs w:val="false"/>
          <w:i/>
          <w:iCs/>
        </w:rPr>
        <w:t xml:space="preserve">Energy Policy, 37</w:t>
      </w:r>
      <w:r>
        <w:rPr>
          <w:rFonts w:ascii="Times New Roman" w:cs="Times New Roman" w:eastAsia="Times New Roman" w:hAnsi="Times New Roman"/>
          <w:b w:val="false"/>
          <w:bCs w:val="false"/>
          <w:i w:val="false"/>
          <w:iCs w:val="false"/>
        </w:rPr>
        <w:t xml:space="preserve">(4), 1456–1469.</w:t>
      </w:r>
    </w:p>
    <w:p>
      <w:pPr>
        <w:spacing w:after="0" w:line="480" w:lineRule="auto"/>
        <w:ind w:left="720" w:hanging="720"/>
      </w:pPr>
      <w:r>
        <w:rPr>
          <w:rFonts w:ascii="Times New Roman" w:cs="Times New Roman" w:eastAsia="Times New Roman" w:hAnsi="Times New Roman"/>
          <w:b w:val="false"/>
          <w:bCs w:val="false"/>
          <w:i w:val="false"/>
          <w:iCs w:val="false"/>
        </w:rPr>
        <w:t xml:space="preserve">Stack Overflow. (2025). </w:t>
      </w:r>
      <w:r>
        <w:rPr>
          <w:rFonts w:ascii="Times New Roman" w:cs="Times New Roman" w:eastAsia="Times New Roman" w:hAnsi="Times New Roman"/>
          <w:b w:val="false"/>
          <w:bCs w:val="false"/>
          <w:i/>
          <w:iCs/>
        </w:rPr>
        <w:t xml:space="preserve">2025 developer survey</w:t>
      </w:r>
      <w:r>
        <w:rPr>
          <w:rFonts w:ascii="Times New Roman" w:cs="Times New Roman" w:eastAsia="Times New Roman" w:hAnsi="Times New Roman"/>
          <w:b w:val="false"/>
          <w:bCs w:val="false"/>
          <w:i w:val="false"/>
          <w:iCs w:val="false"/>
        </w:rPr>
        <w:t xml:space="preserve">. Retrieved September 27, 2026, from https://survey.stackoverflow.co/2025/</w:t>
      </w:r>
    </w:p>
    <w:p>
      <w:pPr>
        <w:spacing w:after="0" w:line="480" w:lineRule="auto"/>
        <w:ind w:left="720" w:hanging="720"/>
      </w:pPr>
      <w:r>
        <w:rPr>
          <w:rFonts w:ascii="Times New Roman" w:cs="Times New Roman" w:eastAsia="Times New Roman" w:hAnsi="Times New Roman"/>
          <w:b w:val="false"/>
          <w:bCs w:val="false"/>
          <w:i w:val="false"/>
          <w:iCs w:val="false"/>
        </w:rPr>
        <w:t xml:space="preserve">Sun, X., Ståhl, D., Sandahl, K., &amp; Kessler, C. (2026). Quality assurance of LLM-generated code: Addressing non-functional quality characteristics. </w:t>
      </w:r>
      <w:r>
        <w:rPr>
          <w:rFonts w:ascii="Times New Roman" w:cs="Times New Roman" w:eastAsia="Times New Roman" w:hAnsi="Times New Roman"/>
          <w:b w:val="false"/>
          <w:bCs w:val="false"/>
          <w:i/>
          <w:iCs/>
        </w:rPr>
        <w:t xml:space="preserve">Journal of Systems and Software, 238</w:t>
      </w:r>
      <w:r>
        <w:rPr>
          <w:rFonts w:ascii="Times New Roman" w:cs="Times New Roman" w:eastAsia="Times New Roman" w:hAnsi="Times New Roman"/>
          <w:b w:val="false"/>
          <w:bCs w:val="false"/>
          <w:i w:val="false"/>
          <w:iCs w:val="false"/>
        </w:rPr>
        <w:t xml:space="preserve">, Article 112885.</w:t>
      </w:r>
    </w:p>
    <w:p>
      <w:pPr>
        <w:spacing w:after="0" w:line="480" w:lineRule="auto"/>
        <w:ind w:left="720" w:hanging="720"/>
      </w:pPr>
      <w:r>
        <w:rPr>
          <w:rFonts w:ascii="Times New Roman" w:cs="Times New Roman" w:eastAsia="Times New Roman" w:hAnsi="Times New Roman"/>
          <w:b w:val="false"/>
          <w:bCs w:val="false"/>
          <w:i w:val="false"/>
          <w:iCs w:val="false"/>
        </w:rPr>
        <w:t xml:space="preserve">Thaler, R. H., &amp; Sunstein, C. R. (2008). </w:t>
      </w:r>
      <w:r>
        <w:rPr>
          <w:rFonts w:ascii="Times New Roman" w:cs="Times New Roman" w:eastAsia="Times New Roman" w:hAnsi="Times New Roman"/>
          <w:b w:val="false"/>
          <w:bCs w:val="false"/>
          <w:i/>
          <w:iCs/>
        </w:rPr>
        <w:t xml:space="preserve">Nudge: Improving decisions about health, wealth, and happiness</w:t>
      </w:r>
      <w:r>
        <w:rPr>
          <w:rFonts w:ascii="Times New Roman" w:cs="Times New Roman" w:eastAsia="Times New Roman" w:hAnsi="Times New Roman"/>
          <w:b w:val="false"/>
          <w:bCs w:val="false"/>
          <w:i w:val="false"/>
          <w:iCs w:val="false"/>
        </w:rPr>
        <w:t xml:space="preserve">. Yale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Tom, E., Aurum, A., &amp; Vidgen, R. (2013). An exploration of technical debt. </w:t>
      </w:r>
      <w:r>
        <w:rPr>
          <w:rFonts w:ascii="Times New Roman" w:cs="Times New Roman" w:eastAsia="Times New Roman" w:hAnsi="Times New Roman"/>
          <w:b w:val="false"/>
          <w:bCs w:val="false"/>
          <w:i/>
          <w:iCs/>
        </w:rPr>
        <w:t xml:space="preserve">Journal of Systems and Software, 86</w:t>
      </w:r>
      <w:r>
        <w:rPr>
          <w:rFonts w:ascii="Times New Roman" w:cs="Times New Roman" w:eastAsia="Times New Roman" w:hAnsi="Times New Roman"/>
          <w:b w:val="false"/>
          <w:bCs w:val="false"/>
          <w:i w:val="false"/>
          <w:iCs w:val="false"/>
        </w:rPr>
        <w:t xml:space="preserve">(6), 1498–1516.</w:t>
      </w:r>
    </w:p>
    <w:p>
      <w:pPr>
        <w:spacing w:after="0" w:line="480" w:lineRule="auto"/>
        <w:ind w:left="720" w:hanging="720"/>
      </w:pPr>
      <w:r>
        <w:rPr>
          <w:rFonts w:ascii="Times New Roman" w:cs="Times New Roman" w:eastAsia="Times New Roman" w:hAnsi="Times New Roman"/>
          <w:b w:val="false"/>
          <w:bCs w:val="false"/>
          <w:i w:val="false"/>
          <w:iCs w:val="false"/>
        </w:rPr>
        <w:t xml:space="preserve">Yetiştiren, B., Özsoy, I., Ayerdem, M., &amp; Tüzün, E. (2023). </w:t>
      </w:r>
      <w:r>
        <w:rPr>
          <w:rFonts w:ascii="Times New Roman" w:cs="Times New Roman" w:eastAsia="Times New Roman" w:hAnsi="Times New Roman"/>
          <w:b w:val="false"/>
          <w:bCs w:val="false"/>
          <w:i/>
          <w:iCs/>
        </w:rPr>
        <w:t xml:space="preserve">Evaluating the code quality of AI-assisted code generation tools: An empirical study on GitHub Copilot, Amazon CodeWhisperer, and ChatGPT</w:t>
      </w:r>
      <w:r>
        <w:rPr>
          <w:rFonts w:ascii="Times New Roman" w:cs="Times New Roman" w:eastAsia="Times New Roman" w:hAnsi="Times New Roman"/>
          <w:b w:val="false"/>
          <w:bCs w:val="false"/>
          <w:i w:val="false"/>
          <w:iCs w:val="false"/>
        </w:rPr>
        <w:t xml:space="preserve"> (arXiv:2304.10778). arXiv.</w:t>
      </w:r>
    </w:p>
    <w:p>
      <w:pPr>
        <w:spacing w:after="0" w:line="480" w:lineRule="auto"/>
        <w:ind w:left="720" w:hanging="720"/>
      </w:pPr>
      <w:r>
        <w:rPr>
          <w:rFonts w:ascii="Times New Roman" w:cs="Times New Roman" w:eastAsia="Times New Roman" w:hAnsi="Times New Roman"/>
          <w:b w:val="false"/>
          <w:bCs w:val="false"/>
          <w:i w:val="false"/>
          <w:iCs w:val="false"/>
        </w:rPr>
        <w:t xml:space="preserve">Zhu, Y., Tsantalis, N., &amp; Rigby, P. C. (2026). </w:t>
      </w:r>
      <w:r>
        <w:rPr>
          <w:rFonts w:ascii="Times New Roman" w:cs="Times New Roman" w:eastAsia="Times New Roman" w:hAnsi="Times New Roman"/>
          <w:b w:val="false"/>
          <w:bCs w:val="false"/>
          <w:i/>
          <w:iCs/>
        </w:rPr>
        <w:t xml:space="preserve">AI-generated smells: An analysis of code and architecture in LLM and agent-driven development</w:t>
      </w:r>
      <w:r>
        <w:rPr>
          <w:rFonts w:ascii="Times New Roman" w:cs="Times New Roman" w:eastAsia="Times New Roman" w:hAnsi="Times New Roman"/>
          <w:b w:val="false"/>
          <w:bCs w:val="false"/>
          <w:i w:val="false"/>
          <w:iCs w:val="false"/>
        </w:rPr>
        <w:t xml:space="preserve"> (arXiv:2605.02741). arXiv.</w:t>
      </w:r>
    </w:p>
    <w:sectPr>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9bc4798610b290a7dfde4c5351cf3a673f365a0.png"/><Relationship Id="rId10" Type="http://schemas.openxmlformats.org/officeDocument/2006/relationships/image" Target="media/deadd7be2eaf4deb9e30ab605344e5485aa98fbe.png"/><Relationship Id="rId11" Type="http://schemas.openxmlformats.org/officeDocument/2006/relationships/image" Target="media/5f81bb9b1e9d553a8ce2780fba2d3e5391d0c2c8.png"/><Relationship Id="rId12" Type="http://schemas.openxmlformats.org/officeDocument/2006/relationships/image" Target="media/3ceccea5fa9c191d46751b8686057f1384e04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dc:title>
  <cp:lastModifiedBy>Un-named</cp:lastModifiedBy>
  <cp:revision>1</cp:revision>
  <dcterms:created xsi:type="dcterms:W3CDTF">2026-10-10T07:33:37.534Z</dcterms:created>
  <dcterms:modified xsi:type="dcterms:W3CDTF">2026-10-10T07:33:37.534Z</dcterms:modified>
</cp:coreProperties>
</file>

<file path=docProps/custom.xml><?xml version="1.0" encoding="utf-8"?>
<Properties xmlns="http://schemas.openxmlformats.org/officeDocument/2006/custom-properties" xmlns:vt="http://schemas.openxmlformats.org/officeDocument/2006/docPropsVTypes"/>
</file>