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Do Model Labels Mislead an Event Study? Presidential Posts and Oil Prices in the 2026 Hormuz Closure</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Large language models (LLMs) are increasingly used to label social media content in event studies, and the agreement between repeated model runs is often reported as evidence of reliability. We examine what such labels do to an event-study estimate. Using 191 posts made by the U.S. president during the 2026 closure of the Strait of Hormuz and tick-level oil quotes, we compare LLM labels with those of two human coders. The models agree with the humans at κ = 0.50 and over-label escalation (precision 0.49), and four further runs under the humans’ own codebook do not close the gap. On human labels, oil moves in the direction a post implies within 30 minutes, by 1.05% after de-escalation posts (n = 29) and 0.48% after escalation posts (n = 16); model labels yield smaller escalation estimates (0.17% to 0.35%). An independent third coder, brought in to replace the investigator’s adjudications, moved 13 of the 27 adjudicated escalation labels out of that class; the escalation response remains positive (0.45%) but rests on only ten events. Treating the model label as a misclassified categorical variable, we show that the shortfall comes almost entirely from posts that humans read as de-escalation or as unrelated, not from a weaker response among correctly labelled posts. The market moves are preceded by drift and cannot be attributed to the posts beyond short windows. The case suggests that agreement with human readers, not agreement between model runs, is the evidence a labelling needs before it enters downstream inference.</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annotation, measurement validity, misclassification, event study, social media, executive communication</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On the evening of April 7, 2026, a post on the U.S. president’s social media platform announced a conditional two-week ceasefire with Iran, contingent on the reopening of the Strait of Hormuz. West Texas Intermediate (WTI) crude, which had risen from about $67 to $114.6 per barrel since the first U.S. trading day of the war, fell by 12% within hours. Two weeks earlier, a post announcing a five-day postponement of strikes had been followed by a fall of 9.8%. Between and after these dates, many other posts threatened strikes, restated demands, or linked to commentary, and the market often barely moved. Whether posts like these are associated with price movements, and in which direction, depends first on how the posts are classified.</w:t>
      </w:r>
    </w:p>
    <w:p>
      <w:pPr>
        <w:spacing w:after="0" w:before="0" w:line="480" w:lineRule="auto"/>
        <w:ind w:firstLine="720"/>
      </w:pPr>
      <w:r>
        <w:rPr>
          <w:rFonts w:ascii="Times New Roman" w:cs="Times New Roman" w:eastAsia="Times New Roman" w:hAnsi="Times New Roman"/>
        </w:rPr>
        <w:t xml:space="preserve">Research on social media and financial markets has largely asked whether platform content predicts prices (Bollen et al. 2011; Chen et al. 2014; see Tetlock 2007 for the news-media precursor) and how firms’ dissemination through Twitter affects liquidity (Blankespoor et al. 2014). Closer to our setting, studies of presidential communication relate tweets to firm values and intraday returns (Born et al. 2017; Ge et al. 2019). The explanations offered range from Bayesian updating on public announcements (Kim and Verrecchia 1991) to limited attention (Barber and Odean 2008), rational inattention (Sims 2003), and the distinction between words and actions in central-bank communication (Gürkaynak et al. 2005). Almost all of this work classifies text automatically, and increasingly with LLMs, which can match or exceed crowd workers on several annotation tasks (Gilardi et al. 2023; Ziems et al. 2024).</w:t>
      </w:r>
    </w:p>
    <w:p>
      <w:pPr>
        <w:spacing w:after="0" w:before="0" w:line="480" w:lineRule="auto"/>
        <w:ind w:firstLine="720"/>
      </w:pPr>
      <w:r>
        <w:rPr>
          <w:rFonts w:ascii="Times New Roman" w:cs="Times New Roman" w:eastAsia="Times New Roman" w:hAnsi="Times New Roman"/>
        </w:rPr>
        <w:t xml:space="preserve">The text-as-data literature has long warned that automated classifications must be validated against human reading before they enter downstream analysis (Grimmer and Stewart 2013), and recent work shows that imperfect machine labels bias downstream estimates unless they are corrected with a validated subsample (Angelopoulos et al. 2023; Egami et al. 2023). Econometrics has an older theory of the same problem. When a categorical variable is misclassified, the error is necessarily correlated with the true category, so it does not attenuate an effect by a constant factor as classical measurement error does; the bias of a class mean depends on which classes the misclassified units come from and on how their outcomes differ (Aigner 1973; Bollinger 1996; Bound et al. 2001; Mahajan 2006; Lewbel 2007). In applied event studies, however, the agreement between two runs of the same model is still often reported as reliability. That statistic measures consistency, not validity, and agreement with human readers is reported far less often next to the market result.</w:t>
      </w:r>
    </w:p>
    <w:p>
      <w:pPr>
        <w:spacing w:after="0" w:before="0" w:line="480" w:lineRule="auto"/>
        <w:ind w:firstLine="720"/>
      </w:pPr>
      <w:r>
        <w:rPr>
          <w:rFonts w:ascii="Times New Roman" w:cs="Times New Roman" w:eastAsia="Times New Roman" w:hAnsi="Times New Roman"/>
        </w:rPr>
        <w:t xml:space="preserve">We use the 2026 Hormuz closure to examine this gap. The setting is well suited to the question: a single physical state (whether the strait was open) dominated the news for months, the president posted about it frequently, and oil was priced continuously. Our analysis began as a conventional model-labelled event study, which found a response of oil to de-escalation posts and none to escalation posts. Two human coders then labelled all 191 war-period posts in the frame. Against their labels, the model over-labels escalation, and four further runs under the clearer codebook the humans used, including two runs of the very model that produced the original labels, do not close the gap. On human labels, both classes are followed by a directional move in oil that exceeds the move at matched placebo times.</w:t>
      </w:r>
    </w:p>
    <w:p>
      <w:pPr>
        <w:spacing w:after="0" w:before="0" w:line="480" w:lineRule="auto"/>
        <w:ind w:firstLine="720"/>
      </w:pPr>
      <w:r>
        <w:rPr>
          <w:rFonts w:ascii="Times New Roman" w:cs="Times New Roman" w:eastAsia="Times New Roman" w:hAnsi="Times New Roman"/>
        </w:rPr>
        <w:t xml:space="preserve">The paper makes two contributions. First, it shows, on one documented case, how the choice of labels changes an event-study answer and why. The escalation response is attenuated under every model label set we tried. Writing the model-label estimate as an exact mixture of human-class means, we find that the attenuation comes from the posts the models add to the escalation class, mostly posts that humans read as de-escalation or as unrelated, and not from a weaker response among posts that both humans and models call escalation. Second, we separate the part of the human-label market result that is robust (the direction of the post-period move) from the part that is not (its separation from pre-post drift beyond short windows). An independent third coder, brought in under a pre-specified plan to replace the investigator’s adjudications, removes a third of the escalation labels; the escalation response survives, but only narrowly and on ten events. We do not identify a causal effect of posts on prices. The study was originally motivated by a Bayesian account of price reactions to public announcements, and its pre-specified tests are not supported; we report them in Appendix F because they do not bear on the labelling question.</w:t>
      </w:r>
    </w:p>
    <w:p>
      <w:pPr>
        <w:spacing w:after="0" w:before="0" w:line="480" w:lineRule="auto"/>
        <w:ind w:firstLine="720"/>
      </w:pPr>
      <w:r>
        <w:rPr>
          <w:rFonts w:ascii="Times New Roman" w:cs="Times New Roman" w:eastAsia="Times New Roman" w:hAnsi="Times New Roman"/>
        </w:rPr>
        <w:t xml:space="preserve">The remainder of the paper is organized as follows. The next section describes the data and the design. We then report the results, discuss what the evidence supports and what it implies for IS research that uses LLMs as measurement instruments, and conclude. Exploratory, model-labelled, and theory-motivated analyses are reported in the appendices.</w:t>
      </w:r>
    </w:p>
    <w:p>
      <w:pPr>
        <w:pStyle w:val="Heading1"/>
        <w:keepNext/>
        <w:spacing w:after="0" w:before="240" w:line="480" w:lineRule="auto"/>
        <w:jc w:val="center"/>
      </w:pPr>
      <w:r>
        <w:rPr>
          <w:rFonts w:ascii="Times New Roman" w:cs="Times New Roman" w:eastAsia="Times New Roman" w:hAnsi="Times New Roman"/>
          <w:b/>
          <w:bCs/>
        </w:rPr>
        <w:t xml:space="preserve">Data and Design</w:t>
      </w:r>
    </w:p>
    <w:p>
      <w:pPr>
        <w:pStyle w:val="Heading2"/>
        <w:keepNext/>
        <w:spacing w:after="0" w:before="0" w:line="480" w:lineRule="auto"/>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rPr>
        <w:t xml:space="preserve">The war began on Saturday, February 28, 2026. The strait was effectively closed from early March, and the first U.S. trading day of the war was March 2. WTI rose from about $67 to $114.6 by April 7 and stood near $96 at the end of our sample.</w:t>
      </w:r>
    </w:p>
    <w:p>
      <w:pPr>
        <w:spacing w:after="0" w:before="0" w:line="480" w:lineRule="auto"/>
        <w:ind w:firstLine="720"/>
      </w:pPr>
      <w:r>
        <w:rPr>
          <w:rFonts w:ascii="Times New Roman" w:cs="Times New Roman" w:eastAsia="Times New Roman" w:hAnsi="Times New Roman"/>
          <w:i/>
          <w:iCs/>
        </w:rPr>
        <w:t xml:space="preserve">Posts.</w:t>
      </w:r>
      <w:r>
        <w:rPr>
          <w:rFonts w:ascii="Times New Roman" w:cs="Times New Roman" w:eastAsia="Times New Roman" w:hAnsi="Times New Roman"/>
        </w:rPr>
        <w:t xml:space="preserve"> We use the archive of the president’s posts maintained by CNN. Between March 1 and October 13, 2026, the archive contains 4,838 original posts after pure re-posts are removed; 373 mention Iran, and 108 mention Iran together with a threat term. A keyword-selected set of 191 war-period posts forms the frame for classification.</w:t>
      </w:r>
    </w:p>
    <w:p>
      <w:pPr>
        <w:spacing w:after="0" w:before="0" w:line="480" w:lineRule="auto"/>
        <w:ind w:firstLine="720"/>
      </w:pPr>
      <w:r>
        <w:rPr>
          <w:rFonts w:ascii="Times New Roman" w:cs="Times New Roman" w:eastAsia="Times New Roman" w:hAnsi="Times New Roman"/>
          <w:i/>
          <w:iCs/>
        </w:rPr>
        <w:t xml:space="preserve">Markets.</w:t>
      </w:r>
      <w:r>
        <w:rPr>
          <w:rFonts w:ascii="Times New Roman" w:cs="Times New Roman" w:eastAsia="Times New Roman" w:hAnsi="Times New Roman"/>
        </w:rPr>
        <w:t xml:space="preserve"> Hourly bars for WTI and Brent, E-mini S&amp;P 500 and ten-year Treasury futures, the dollar index, USD/CNH, USD/KRW, gold, and several equities cover October 2024 to October 2026. For timing, we use tick quotes (mid price and bid–ask spread) for a WTI crude contract for difference from Dukascopy for 2017 to 2026; its hourly returns correlate at 0.999 with the futures series. The price at time t is the mid quote of the last tick before t, accepted only if that tick is no more than ten minutes old. All windows used in the tick-level results have a tick no more than two minutes old.</w:t>
      </w:r>
    </w:p>
    <w:p>
      <w:pPr>
        <w:pStyle w:val="Heading2"/>
        <w:keepNext/>
        <w:spacing w:after="0" w:before="0" w:line="480" w:lineRule="auto"/>
      </w:pPr>
      <w:r>
        <w:rPr>
          <w:rFonts w:ascii="Times New Roman" w:cs="Times New Roman" w:eastAsia="Times New Roman" w:hAnsi="Times New Roman"/>
          <w:b/>
          <w:bCs/>
        </w:rPr>
        <w:t xml:space="preserve">Labels</w:t>
      </w:r>
    </w:p>
    <w:p>
      <w:pPr>
        <w:spacing w:after="0" w:before="0" w:line="480" w:lineRule="auto"/>
        <w:ind w:firstLine="720"/>
      </w:pPr>
      <w:r>
        <w:rPr>
          <w:rFonts w:ascii="Times New Roman" w:cs="Times New Roman" w:eastAsia="Times New Roman" w:hAnsi="Times New Roman"/>
          <w:i/>
          <w:iCs/>
        </w:rPr>
        <w:t xml:space="preserve">Model labels, first stage.</w:t>
      </w:r>
      <w:r>
        <w:rPr>
          <w:rFonts w:ascii="Times New Roman" w:cs="Times New Roman" w:eastAsia="Times New Roman" w:hAnsi="Times New Roman"/>
        </w:rPr>
        <w:t xml:space="preserve"> Each post was classified by direction (escalation, de-escalation, mixed, or other) in two independent runs of the same LLM, claude-sonnet-5-5, run on October 14, 2026, as sub-agents of the Claude Code agent (version 2.1.300). Each run received only the text of the post. Sampling parameters were the agent’s defaults; we did not set the temperature. The two runs agree at κ = 0.74 on the human-validation sample and between 0.62 and 0.96 elsewhere, which measures their consistency. The first-stage analysis uses the labels of the first run (“model 1”). The model was not given the codebook that the human coders later used (Appendix B).</w:t>
      </w:r>
    </w:p>
    <w:p>
      <w:pPr>
        <w:spacing w:after="0" w:before="0" w:line="480" w:lineRule="auto"/>
        <w:ind w:firstLine="720"/>
      </w:pPr>
      <w:r>
        <w:rPr>
          <w:rFonts w:ascii="Times New Roman" w:cs="Times New Roman" w:eastAsia="Times New Roman" w:hAnsi="Times New Roman"/>
          <w:i/>
          <w:iCs/>
        </w:rPr>
        <w:t xml:space="preserve">Model labels, codebook v2.</w:t>
      </w:r>
      <w:r>
        <w:rPr>
          <w:rFonts w:ascii="Times New Roman" w:cs="Times New Roman" w:eastAsia="Times New Roman" w:hAnsi="Times New Roman"/>
        </w:rPr>
        <w:t xml:space="preserve"> After the human validation, we re-labelled all 191 posts in four blind runs: claude-opus-5-5, claude-sonnet-5-5, claude-haiku-5-5, and a second run of claude-sonnet-5-5. Each run received the human codebook (v2) and the post texts exactly as the coders saw them, in a different random order, and nothing else. We refer to the majority label of the four runs as the “v2 majority.”</w:t>
      </w:r>
    </w:p>
    <w:p>
      <w:pPr>
        <w:spacing w:after="0" w:before="0" w:line="480" w:lineRule="auto"/>
        <w:ind w:firstLine="720"/>
      </w:pPr>
      <w:r>
        <w:rPr>
          <w:rFonts w:ascii="Times New Roman" w:cs="Times New Roman" w:eastAsia="Times New Roman" w:hAnsi="Times New Roman"/>
          <w:i/>
          <w:iCs/>
        </w:rPr>
        <w:t xml:space="preserve">Human labels.</w:t>
      </w:r>
      <w:r>
        <w:rPr>
          <w:rFonts w:ascii="Times New Roman" w:cs="Times New Roman" w:eastAsia="Times New Roman" w:hAnsi="Times New Roman"/>
        </w:rPr>
        <w:t xml:space="preserve"> Two human coders labelled the posts independently from the text alone in three rounds, and we report their agreement as Cohen’s (1960) κ. Disagreements were adjudicated from the text by the lead investigator, who knew the research question. Adjudicated labels make up 23.6% of all final labels, 66% of the final escalation labels, and 11% of the final de-escalation labels; we therefore report results for the coder-consensus and the adjudicated subsamples separately. The coders were doctoral students in information systems from the authors’ department. Neither had seen market data or had a particular interest in oil prices, and neither knew the research question. Because the war was widely reported, both remembered its course, and their labels may reflect that knowledge.</w:t>
      </w:r>
    </w:p>
    <w:p>
      <w:pPr>
        <w:spacing w:after="0" w:before="0" w:line="480" w:lineRule="auto"/>
        <w:ind w:firstLine="720"/>
      </w:pPr>
      <w:r>
        <w:rPr>
          <w:rFonts w:ascii="Times New Roman" w:cs="Times New Roman" w:eastAsia="Times New Roman" w:hAnsi="Times New Roman"/>
          <w:i/>
          <w:iCs/>
        </w:rPr>
        <w:t xml:space="preserve">Independent third coder.</w:t>
      </w:r>
      <w:r>
        <w:rPr>
          <w:rFonts w:ascii="Times New Roman" w:cs="Times New Roman" w:eastAsia="Times New Roman" w:hAnsi="Times New Roman"/>
        </w:rPr>
        <w:t xml:space="preserve"> Because the investigator who adjudicated the disagreements knew the hypotheses, we registered a plan to replace those adjudications with an independent third coder before any of that coder’s labels were seen. The third coder, an undergraduate student in computer science at the authors’ university with no training in information systems and no interest in oil markets, had not been told the research question and had seen neither the earlier labels nor any market data. Working alone from codebook v2 and the post text, the coder labelled the 45 adjudicated posts mixed with 15 randomly chosen posts on which the two original coders had agreed, in random order and without any marker of which posts were controls. The new final label (“v3”) for each of the 45 posts is the majority of the three coders; when all three differ, the label is mixed if any coder chose mixed and other otherwise, so that no label is decided by the investigator. One adjudicated post had no label from coder A, a case the plan did not anticipate; we treated the missing label as casting no vote. Like the other coders, the third coder remembered the course of the war.</w:t>
      </w:r>
    </w:p>
    <w:p>
      <w:pPr>
        <w:pStyle w:val="Heading2"/>
        <w:keepNext/>
        <w:spacing w:after="0" w:before="0" w:line="480" w:lineRule="auto"/>
      </w:pPr>
      <w:r>
        <w:rPr>
          <w:rFonts w:ascii="Times New Roman" w:cs="Times New Roman" w:eastAsia="Times New Roman" w:hAnsi="Times New Roman"/>
          <w:b/>
          <w:bCs/>
        </w:rPr>
        <w:t xml:space="preserve">Outcomes and Event Sample</w:t>
      </w:r>
    </w:p>
    <w:p>
      <w:pPr>
        <w:spacing w:after="0" w:before="0" w:line="480" w:lineRule="auto"/>
        <w:ind w:firstLine="720"/>
      </w:pPr>
      <w:r>
        <w:rPr>
          <w:rFonts w:ascii="Times New Roman" w:cs="Times New Roman" w:eastAsia="Times New Roman" w:hAnsi="Times New Roman"/>
        </w:rPr>
        <w:t xml:space="preserve">The tick-level outcome is the log return from the last tick before the post to 5, 15, 30, or 60 minutes after it, signed so that positive values are in the direction the post implies; the 30-minute window is primary. We compute the same return over the window before the post for comparison. The hourly outcome used in the first stage is the signed log change from the open of the bar containing the post to the close of the following bar. A post is dropped if another of the 191 posts was made in the previous three hours (the cluster filter) or if the market was not open, meaning that no tick was recorded within ten minutes of the post or of the end of the 30-minute window.</w:t>
      </w:r>
    </w:p>
    <w:p>
      <w:pPr>
        <w:pStyle w:val="Heading2"/>
        <w:keepNext/>
        <w:spacing w:after="0" w:before="0" w:line="480" w:lineRule="auto"/>
      </w:pPr>
      <w:r>
        <w:rPr>
          <w:rFonts w:ascii="Times New Roman" w:cs="Times New Roman" w:eastAsia="Times New Roman" w:hAnsi="Times New Roman"/>
          <w:b/>
          <w:bCs/>
        </w:rPr>
        <w:t xml:space="preserve">Posting Times Are Not Random</w:t>
      </w:r>
    </w:p>
    <w:p>
      <w:pPr>
        <w:spacing w:after="0" w:before="0" w:line="480" w:lineRule="auto"/>
        <w:ind w:firstLine="720"/>
      </w:pPr>
      <w:r>
        <w:rPr>
          <w:rFonts w:ascii="Times New Roman" w:cs="Times New Roman" w:eastAsia="Times New Roman" w:hAnsi="Times New Roman"/>
        </w:rPr>
        <w:t xml:space="preserve">Posting is bursty. The 108 posts that mention Iran with a threat term have daily counts with mean 0.48 and variance 0.74; the Pearson dispersion statistic is 350 on 226 degrees of freedom (p &lt; 0.001), and a negative binomial model (Cameron and Trivedi 2013) fits far better than a Poisson model (likelihood-ratio p = 3 × 10⁻⁶). Inter-arrival times have a mean of 51 hours, a median of 21 hours, and a coefficient of variation of 1.94, against 1 for an exponential distribution. Posting is also related to market conditions. In an hourly logit over 3,605 war-period bars, the absolute oil return over the previous six hours predicts both a de-escalation post (coefficient 0.115, p = 0.033) and an escalation post (0.144, p = 0.024), while the signed return does not (p = 0.32 and 0.18). Posts follow volatile hours, so their timing cannot be treated as random for identification. Further analyses of the arrival process are in Appendix D.</w:t>
      </w:r>
    </w:p>
    <w:p>
      <w:pPr>
        <w:pStyle w:val="Heading2"/>
        <w:keepNext/>
        <w:spacing w:after="0" w:before="0" w:line="480" w:lineRule="auto"/>
      </w:pPr>
      <w:r>
        <w:rPr>
          <w:rFonts w:ascii="Times New Roman" w:cs="Times New Roman" w:eastAsia="Times New Roman" w:hAnsi="Times New Roman"/>
          <w:b/>
          <w:bCs/>
        </w:rPr>
        <w:t xml:space="preserve">Status of Analyses</w:t>
      </w:r>
    </w:p>
    <w:p>
      <w:pPr>
        <w:spacing w:after="0" w:before="0" w:line="480" w:lineRule="auto"/>
        <w:ind w:firstLine="720"/>
      </w:pPr>
      <w:r>
        <w:rPr>
          <w:rFonts w:ascii="Times New Roman" w:cs="Times New Roman" w:eastAsia="Times New Roman" w:hAnsi="Times New Roman"/>
        </w:rPr>
        <w:t xml:space="preserve">Each analysis had a written plan committed to the project repository before estimation, and each plan states what had already been seen. We call results that follow such a plan pre-specified, not pre-registered: the repository is not an independent registry, many plans were written after related results were known, several were amended after a first result, and the commit dates cluster on October 13 and 14, 2026. We follow the case for pre-registration in observational work with many analytic choices (Nosek et al. 2018) but treat the plans as a transparency device, and Table A1 classifies every reported result as pre-specified, amended, exploratory, or post hoc. Holm’s (1979) procedure is applied within the families defined in the plans; other p-values are unadjusted. The human-label result reported below was not the original plan. A first pass with keyword classes, and then the model labels, proved misleading, and the primary sample was redefined three times (33 model-labelled posts; 25 posts after the second round of human coding; 29 and 16 posts after the third), each time after label quality or outcomes were known. We report the earlier versions, and the model re-labelling and the robustness variants were planned before they were computed.</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pStyle w:val="Heading2"/>
        <w:keepNext/>
        <w:spacing w:after="0" w:before="0" w:line="480" w:lineRule="auto"/>
      </w:pPr>
      <w:r>
        <w:rPr>
          <w:rFonts w:ascii="Times New Roman" w:cs="Times New Roman" w:eastAsia="Times New Roman" w:hAnsi="Times New Roman"/>
          <w:b/>
          <w:bCs/>
        </w:rPr>
        <w:t xml:space="preserve">A First-Stage Result on Model Labels</w:t>
      </w:r>
    </w:p>
    <w:p>
      <w:pPr>
        <w:spacing w:after="0" w:before="0" w:line="480" w:lineRule="auto"/>
        <w:ind w:firstLine="720"/>
      </w:pPr>
      <w:r>
        <w:rPr>
          <w:rFonts w:ascii="Times New Roman" w:cs="Times New Roman" w:eastAsia="Times New Roman" w:hAnsi="Times New Roman"/>
        </w:rPr>
        <w:t xml:space="preserve">With the labels of model 1, WTI fell by 1.29% in the two hours after a de-escalation post (n = 33; median 0.31%; 24 of 33 declines; sign test p = 0.007; Wilcoxon p = 0.005; week-block bootstrap 95% confidence interval [CI] 0.43 to 2.27, 16 weeks). Two events (March 23, −9.8%, and April 7, −12.0%) account for half of the summed move; without them, the mean is 0.67% and the median 0.30%. Brent fell by 1.21% and USD/KRW by 0.14%, while Treasury futures rose by 0.10% (Holm-adjusted p = 0.004), the dollar index fell by 0.11% (p = 0.014), and USD/CNH fell by 0.04% (p = 0.02). Because these responses are measured on the same events and share a common oil and geopolitical factor, we treat them as one finding observed in several assets. Posts that the model labelled escalation (n = 28) showed no response (WTI −0.02%; CI −0.58 to 0.35), and the difference between the two classes was 1.31 percentage points (permutation p = 0.011; rank-based p = 0.051).</w:t>
      </w:r>
    </w:p>
    <w:p>
      <w:pPr>
        <w:spacing w:after="0" w:before="0" w:line="480" w:lineRule="auto"/>
        <w:ind w:firstLine="720"/>
      </w:pPr>
      <w:r>
        <w:rPr>
          <w:rFonts w:ascii="Times New Roman" w:cs="Times New Roman" w:eastAsia="Times New Roman" w:hAnsi="Times New Roman"/>
        </w:rPr>
        <w:t xml:space="preserve">At hourly resolution, however, the post cannot be separated from what preceded it. The return in the hour before the post bar is already 0.36% in the direction of the post (p = 0.10), and the first full hour after it adds 0.34% (p = 0.18); the paired difference is −0.02%. All 20 cases that we examined against contemporaneous market-wire coverage show other reported drivers. We therefore describe the first-stage finding as co-movement. More importantly for this paper, the asymmetry between the two classes was only as credible as the labels behind it, which we tested next (Figure E1 shows the model-labelled paths).</w:t>
      </w:r>
    </w:p>
    <w:p>
      <w:pPr>
        <w:pStyle w:val="Heading2"/>
        <w:keepNext/>
        <w:spacing w:after="0" w:before="0" w:line="480" w:lineRule="auto"/>
      </w:pPr>
      <w:r>
        <w:rPr>
          <w:rFonts w:ascii="Times New Roman" w:cs="Times New Roman" w:eastAsia="Times New Roman" w:hAnsi="Times New Roman"/>
          <w:b/>
          <w:bCs/>
        </w:rPr>
        <w:t xml:space="preserve">Validation Against Human Coders</w:t>
      </w:r>
    </w:p>
    <w:p>
      <w:pPr>
        <w:spacing w:after="0" w:before="0" w:line="480" w:lineRule="auto"/>
        <w:ind w:firstLine="720"/>
      </w:pPr>
      <w:r>
        <w:rPr>
          <w:rFonts w:ascii="Times New Roman" w:cs="Times New Roman" w:eastAsia="Times New Roman" w:hAnsi="Times New Roman"/>
        </w:rPr>
        <w:t xml:space="preserve">In the first round, the two coders labelled 150 posts (67 from the war period, 23 pre-war posts about Iran, and 60 other oil-related posts). They agree at κ = 0.51. On the 97 posts on which both coders agree, the two model runs reach κ = 0.43 and 0.56, while agreeing with each other at κ = 0.74. The dominant error is a de-escalation label on a post that the humans read as unrelated (de-escalation precision of about 0.52 and 0.54; recall 0.77 and 0.88).</w:t>
      </w:r>
    </w:p>
    <w:p>
      <w:pPr>
        <w:spacing w:after="0" w:before="0" w:line="480" w:lineRule="auto"/>
        <w:ind w:firstLine="720"/>
      </w:pPr>
      <w:r>
        <w:rPr>
          <w:rFonts w:ascii="Times New Roman" w:cs="Times New Roman" w:eastAsia="Times New Roman" w:hAnsi="Times New Roman"/>
        </w:rPr>
        <w:t xml:space="preserve">In the second round, the coders labelled all 61 war-period posts that the model had flagged as signals, which are the posts on which the first-stage result rests, using a clarified codebook. Under the clarified rules, demands and ultimatums without an announced pause count as escalation, and de-escalation requires an announced pause, agreement, progress, or reopening. The coders agree at κ = 0.69, 13 disagreements were adjudicated, and model 1 agrees with the final labels at only κ = 0.29. In the third round, the coders labelled the remaining 130 war-period keyword posts (κ = 0.61 on the 129 posts with two labels). Across all 191 posts, the final human labels are 79 other, 46 de-escalation, 41 escalation, and 25 mixed. The model also misses signals: of the 71 posts that it called other or mixed, 14 (20%) are escalation or de-escalation for the humans.</w:t>
      </w:r>
    </w:p>
    <w:p>
      <w:pPr>
        <w:keepNext/>
        <w:spacing w:after="120" w:before="240" w:line="240" w:lineRule="auto"/>
        <w:jc w:val="center"/>
      </w:pPr>
      <w:r>
        <w:rPr>
          <w:rFonts w:ascii="Times New Roman" w:cs="Times New Roman" w:eastAsia="Times New Roman" w:hAnsi="Times New Roman"/>
          <w:b/>
          <w:bCs/>
          <w:sz w:val="22"/>
          <w:szCs w:val="22"/>
        </w:rPr>
        <w:t xml:space="preserve">Table 1. Agreement Between the Human Coders and Between Model 1 and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546"/>
        <w:gridCol w:w="888"/>
        <w:gridCol w:w="1708"/>
        <w:gridCol w:w="1912"/>
        <w:gridCol w:w="2120"/>
      </w:tblGrid>
      <w:tr>
        <w:trPr>
          <w:cantSplit/>
          <w:tblHeader/>
        </w:trPr>
        <w:tc>
          <w:tcPr>
            <w:tcW w:type="dxa" w:w="218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Round</w:t>
            </w:r>
          </w:p>
        </w:tc>
        <w:tc>
          <w:tcPr>
            <w:tcW w:type="dxa" w:w="5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Posts</w:t>
            </w:r>
          </w:p>
        </w:tc>
        <w:tc>
          <w:tcPr>
            <w:tcW w:type="dxa" w:w="8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Human–human κ</w:t>
            </w:r>
          </w:p>
        </w:tc>
        <w:tc>
          <w:tcPr>
            <w:tcW w:type="dxa" w:w="17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vs humans κ</w:t>
            </w:r>
          </w:p>
        </w:tc>
        <w:tc>
          <w:tcPr>
            <w:tcW w:type="dxa" w:w="19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escalation precision</w:t>
            </w:r>
          </w:p>
        </w:tc>
        <w:tc>
          <w:tcPr>
            <w:tcW w:type="dxa" w:w="2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de-escalation precision</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1</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0.43 (97 consensus posts)</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computed</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2</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61</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0.69</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0.36 (10 of 28)</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 (21 of 33)</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3</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0.55</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 (21 of 35)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(14 of 24)</w:t>
            </w:r>
          </w:p>
        </w:tc>
      </w:tr>
      <w:tr>
        <w:trPr>
          <w:cantSplit/>
          <w:tblHeader w:val="off"/>
        </w:trPr>
        <w:tc>
          <w:tcPr>
            <w:tcW w:type="dxa" w:w="218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Rounds 2–3, all war-period posts</w:t>
            </w:r>
          </w:p>
        </w:tc>
        <w:tc>
          <w:tcPr>
            <w:tcW w:type="dxa" w:w="5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191</w:t>
            </w:r>
          </w:p>
        </w:tc>
        <w:tc>
          <w:tcPr>
            <w:tcW w:type="dxa" w:w="8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0.67</w:t>
            </w:r>
          </w:p>
        </w:tc>
        <w:tc>
          <w:tcPr>
            <w:tcW w:type="dxa" w:w="17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0.50</w:t>
            </w:r>
          </w:p>
        </w:tc>
        <w:tc>
          <w:tcPr>
            <w:tcW w:type="dxa" w:w="19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0.49 (31 of 63)</w:t>
            </w:r>
          </w:p>
        </w:tc>
        <w:tc>
          <w:tcPr>
            <w:tcW w:type="dxa" w:w="2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 (35 of 57)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In round 1, the second model run reaches κ = 0.56.</w:t>
      </w:r>
    </w:p>
    <w:p>
      <w:pPr>
        <w:spacing w:after="0" w:before="0" w:line="480" w:lineRule="auto"/>
        <w:ind w:firstLine="720"/>
      </w:pPr>
      <w:r>
        <w:rPr>
          <w:rFonts w:ascii="Times New Roman" w:cs="Times New Roman" w:eastAsia="Times New Roman" w:hAnsi="Times New Roman"/>
        </w:rPr>
        <w:t xml:space="preserve">The 36% escalation precision that first prompted our concern is a second-round figure, computed on posts that the model itself had selected as signals. Pooled over all war-period posts, the figure is 49%: about half of the model’s escalation labels are escalation in human judgment. Because κ is sensitive to class prevalence (79 of the 191 posts are “other”), Table 2 also reports Gwet’s AC1.</w:t>
      </w:r>
    </w:p>
    <w:p>
      <w:pPr>
        <w:pStyle w:val="Heading2"/>
        <w:keepNext/>
        <w:spacing w:after="0" w:before="0" w:line="480" w:lineRule="auto"/>
      </w:pPr>
      <w:r>
        <w:rPr>
          <w:rFonts w:ascii="Times New Roman" w:cs="Times New Roman" w:eastAsia="Times New Roman" w:hAnsi="Times New Roman"/>
          <w:b/>
          <w:bCs/>
        </w:rPr>
        <w:t xml:space="preserve">Does a Clearer Codebook Repair the Model Labels?</w:t>
      </w:r>
    </w:p>
    <w:p>
      <w:pPr>
        <w:spacing w:after="0" w:before="0" w:line="480" w:lineRule="auto"/>
        <w:ind w:firstLine="720"/>
      </w:pPr>
      <w:r>
        <w:rPr>
          <w:rFonts w:ascii="Times New Roman" w:cs="Times New Roman" w:eastAsia="Times New Roman" w:hAnsi="Times New Roman"/>
        </w:rPr>
        <w:t xml:space="preserve">The human coders used a codebook written after the first round had shown where the model went wrong, whereas model 1 never saw it, so the gap might reflect the prompt rather than the model. We tested this with the four codebook-v2 runs, under a plan written before any of their labels were seen. The runs agree with each other at κ between 0.69 and 0.84, but with the humans at only κ = 0.48 to 0.51 over all 191 posts, no better than model 1 (Table 2). The two sonnet runs use the same model as model 1, so for them only the prompt differs, and their agreement with the humans (κ = 0.51 and 0.49) is essentially unchanged. The codebook raised agreement on the second-round posts (from κ = 0.29 to between 0.37 and 0.45) but not over the full set. The persistent problem is over-labelling of escalation: the humans label 41 posts escalation, whereas each run labels between 73 and 85, with precision of 0.45 to 0.48 and recall of 0.85 to 0.93. Under the rule we fixed in advance, a prompt explanation would have required κ ≥ 0.60 and escalation precision ≥ 0.70, so we conclude that the first-stage failure was not a prompt problem.</w:t>
      </w:r>
    </w:p>
    <w:p>
      <w:pPr>
        <w:keepNext/>
        <w:spacing w:after="120" w:before="240" w:line="240" w:lineRule="auto"/>
        <w:jc w:val="center"/>
      </w:pPr>
      <w:r>
        <w:rPr>
          <w:rFonts w:ascii="Times New Roman" w:cs="Times New Roman" w:eastAsia="Times New Roman" w:hAnsi="Times New Roman"/>
          <w:b/>
          <w:bCs/>
          <w:sz w:val="22"/>
          <w:szCs w:val="22"/>
        </w:rPr>
        <w:t xml:space="preserve">Table 2. Agreement of Model Label Sets with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3"/>
        <w:gridCol w:w="1136"/>
        <w:gridCol w:w="1069"/>
        <w:gridCol w:w="534"/>
        <w:gridCol w:w="1337"/>
        <w:gridCol w:w="1938"/>
        <w:gridCol w:w="2143"/>
      </w:tblGrid>
      <w:tr>
        <w:trPr>
          <w:cantSplit/>
          <w:tblHeader/>
        </w:trPr>
        <w:tc>
          <w:tcPr>
            <w:tcW w:type="dxa" w:w="12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Labels</w:t>
            </w:r>
          </w:p>
        </w:tc>
        <w:tc>
          <w:tcPr>
            <w:tcW w:type="dxa" w:w="11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Model</w:t>
            </w:r>
          </w:p>
        </w:tc>
        <w:tc>
          <w:tcPr>
            <w:tcW w:type="dxa" w:w="10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κ (95% CI)</w:t>
            </w:r>
          </w:p>
        </w:tc>
        <w:tc>
          <w:tcPr>
            <w:tcW w:type="dxa" w:w="5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AC1</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predicted</w:t>
            </w:r>
          </w:p>
        </w:tc>
        <w:tc>
          <w:tcPr>
            <w:tcW w:type="dxa" w:w="19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precision / recall</w:t>
            </w:r>
          </w:p>
        </w:tc>
        <w:tc>
          <w:tcPr>
            <w:tcW w:type="dxa" w:w="21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De-escalation precision / recall</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 (original)</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(0.41–0.59)</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 0.76</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0.61 / 0.76</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opus</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claude-opus-5-5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(0.39–0.57)</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78</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0.68 / 0.78</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0.51 (0.43–0.60)</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85</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0.93</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0.76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haiku</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claude-haiku-5-5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(0.41–0.58)</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76</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0.46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0.77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 repeat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(0.41–0.58)</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0.70</w:t>
            </w:r>
          </w:p>
        </w:tc>
      </w:tr>
      <w:tr>
        <w:trPr>
          <w:cantSplit/>
          <w:tblHeader w:val="off"/>
        </w:trPr>
        <w:tc>
          <w:tcPr>
            <w:tcW w:type="dxa" w:w="12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11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four runs</w:t>
            </w:r>
          </w:p>
        </w:tc>
        <w:tc>
          <w:tcPr>
            <w:tcW w:type="dxa" w:w="10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(0.41–0.59)</w:t>
            </w:r>
          </w:p>
        </w:tc>
        <w:tc>
          <w:tcPr>
            <w:tcW w:type="dxa" w:w="5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0.52</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77</w:t>
            </w:r>
          </w:p>
        </w:tc>
        <w:tc>
          <w:tcPr>
            <w:tcW w:type="dxa" w:w="19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0.85</w:t>
            </w:r>
          </w:p>
        </w:tc>
        <w:tc>
          <w:tcPr>
            <w:tcW w:type="dxa" w:w="21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0.71 / 0.78</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191 war-period posts; the humans label 41 posts escalation and 46 de-escalation. AC1 is Gwet’s prevalence-robust agreement coefficient.</w:t>
      </w:r>
    </w:p>
    <w:p>
      <w:pPr>
        <w:pStyle w:val="Heading2"/>
        <w:keepNext/>
        <w:spacing w:after="0" w:before="0" w:line="480" w:lineRule="auto"/>
      </w:pPr>
      <w:r>
        <w:rPr>
          <w:rFonts w:ascii="Times New Roman" w:cs="Times New Roman" w:eastAsia="Times New Roman" w:hAnsi="Times New Roman"/>
          <w:b/>
          <w:bCs/>
        </w:rPr>
        <w:t xml:space="preserve">Label Sets and the Market Estimate</w:t>
      </w:r>
    </w:p>
    <w:p>
      <w:pPr>
        <w:spacing w:after="0" w:before="0" w:line="480" w:lineRule="auto"/>
        <w:ind w:firstLine="720"/>
      </w:pPr>
      <w:r>
        <w:rPr>
          <w:rFonts w:ascii="Times New Roman" w:cs="Times New Roman" w:eastAsia="Times New Roman" w:hAnsi="Times New Roman"/>
        </w:rPr>
        <w:t xml:space="preserve">We next asked whether the choice of label set matters for the market estimate. To ensure that only the labelling differs, every comparison uses the same 95 events: the posts that pass the cluster filter and have a valid 30-minute window (Table 3 and Figure 1). The de-escalation response is nearly identical under every label set (0.90% to 1.05%). The escalation response, by contrast, is smaller under every model label set (0.17% to 0.35%, against 0.48% on human labels). Under the original labels, it cannot be distinguished from zero (p = 0.53) and differs from the human estimate (difference 0.31 percentage points; day-clustered 95% CI 0.02 to 0.65; p = 0.04). Under the v2 majority, it is 0.32% (p = 0.047), and the difference from the human estimate is 0.16 points (CI −0.12 to 0.47; p = 0.27).</w:t>
      </w:r>
    </w:p>
    <w:p>
      <w:pPr>
        <w:spacing w:after="0" w:before="0" w:line="480" w:lineRule="auto"/>
        <w:ind w:firstLine="720"/>
      </w:pPr>
      <w:r>
        <w:rPr>
          <w:rFonts w:ascii="Times New Roman" w:cs="Times New Roman" w:eastAsia="Times New Roman" w:hAnsi="Times New Roman"/>
        </w:rPr>
        <w:t xml:space="preserve">The first-stage statement that escalation posts show no response therefore holds only for the original labels. What every label set supports is the weaker statement that the escalation response is smaller and less certain than the de-escalation response. The contrast with the human estimate is one of twelve comparisons, none of which is corrected for multiplicity; the intervals overlap, and the difference between a significant and a non-significant estimate is not itself a test. We therefore regard the difference as suggestive rather than established.</w:t>
      </w:r>
    </w:p>
    <w:p>
      <w:pPr>
        <w:keepNext/>
        <w:spacing w:after="120" w:before="240" w:line="240" w:lineRule="auto"/>
        <w:jc w:val="center"/>
      </w:pPr>
      <w:r>
        <w:rPr>
          <w:rFonts w:ascii="Times New Roman" w:cs="Times New Roman" w:eastAsia="Times New Roman" w:hAnsi="Times New Roman"/>
          <w:b/>
          <w:bCs/>
          <w:sz w:val="22"/>
          <w:szCs w:val="22"/>
        </w:rPr>
        <w:t xml:space="preserve">Table 3. Directional 30-Minute WTI Return (Percent) by Class Under Each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9"/>
        <w:gridCol w:w="2357"/>
        <w:gridCol w:w="2149"/>
        <w:gridCol w:w="3745"/>
      </w:tblGrid>
      <w:tr>
        <w:trPr>
          <w:cantSplit/>
          <w:tblHeader/>
        </w:trPr>
        <w:tc>
          <w:tcPr>
            <w:tcW w:type="dxa" w:w="110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 set</w:t>
            </w:r>
          </w:p>
        </w:tc>
        <w:tc>
          <w:tcPr>
            <w:tcW w:type="dxa" w:w="235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mean (median), p</w:t>
            </w:r>
          </w:p>
        </w:tc>
        <w:tc>
          <w:tcPr>
            <w:tcW w:type="dxa" w:w="214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mean (median), p</w:t>
            </w:r>
          </w:p>
        </w:tc>
        <w:tc>
          <w:tcPr>
            <w:tcW w:type="dxa" w:w="37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 minus labels, escalation: difference (95% CI), p</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.0003</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.013</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1</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0.90 (0.46), .0008</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 0.17 (0.11), .53</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+0.31 (0.02, 0.65), .038</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majority</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33, 0.95 (0.47), .0001</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30, 0.32 (0.31), .047</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+0.16 (−0.12, 0.47), .27</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(0.46), .0002</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38, 0.24 (0.25), .072</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+0.25 (0.00, 0.54), .046</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haiku</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(0.54), .0002</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0.35 (0.35), .019</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+0.13 (−0.14, 0.42), .36</w:t>
            </w:r>
          </w:p>
        </w:tc>
      </w:tr>
      <w:tr>
        <w:trPr>
          <w:cantSplit/>
          <w:tblHeader w:val="off"/>
        </w:trPr>
        <w:tc>
          <w:tcPr>
            <w:tcW w:type="dxa" w:w="110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 repeat</w:t>
            </w:r>
          </w:p>
        </w:tc>
        <w:tc>
          <w:tcPr>
            <w:tcW w:type="dxa" w:w="235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0.99 (0.48), .0002</w:t>
            </w:r>
          </w:p>
        </w:tc>
        <w:tc>
          <w:tcPr>
            <w:tcW w:type="dxa" w:w="214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 0.22 (0.25), .16</w:t>
            </w:r>
          </w:p>
        </w:tc>
        <w:tc>
          <w:tcPr>
            <w:tcW w:type="dxa" w:w="37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(−0.05, 0.61), .099</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under every label set. p-values are two-sided Wilcoxon tests. Differences use a day-clustered bootstrap (4,000 resamples rather than the 10,000 in the plan); the two-sided p is taken from the bootstrap distribution, not from a null distribution. The v2 opus run gives the same results as the majority for both classes (33 and 30 events).</w:t>
      </w:r>
    </w:p>
    <w:p>
      <w:pPr>
        <w:keepNext/>
        <w:spacing w:after="0" w:before="240" w:line="240" w:lineRule="auto"/>
        <w:jc w:val="center"/>
      </w:pPr>
      <w:r>
        <w:drawing>
          <wp:inline distT="0" distB="0" distL="0" distR="0">
            <wp:extent cx="5715000" cy="2286000"/>
            <wp:effectExtent t="0" r="0" b="0" l="0"/>
            <wp:docPr id="1" name="image1.png" descr="Figure 1. Mean Directional 30-Minute WTI Return by Class Under Each Label Set" title="Figure 1. Mean Directional 30-Minute WTI Return by Class Under Each Lab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Mean Directional 30-Minute WTI Return by Class Under Each Label Set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bars are day-clustered 95% confidence intervals.</w:t>
      </w:r>
    </w:p>
    <w:p>
      <w:pPr>
        <w:pStyle w:val="Heading2"/>
        <w:keepNext/>
        <w:spacing w:after="0" w:before="0" w:line="480" w:lineRule="auto"/>
      </w:pPr>
      <w:r>
        <w:rPr>
          <w:rFonts w:ascii="Times New Roman" w:cs="Times New Roman" w:eastAsia="Times New Roman" w:hAnsi="Times New Roman"/>
          <w:b/>
          <w:bCs/>
        </w:rPr>
        <w:t xml:space="preserve">Why the Model Estimate Is Smaller: A Misclassification Account</w:t>
      </w:r>
    </w:p>
    <w:p>
      <w:pPr>
        <w:spacing w:after="0" w:before="0" w:line="480" w:lineRule="auto"/>
        <w:ind w:firstLine="720"/>
      </w:pPr>
      <w:r>
        <w:rPr>
          <w:rFonts w:ascii="Times New Roman" w:cs="Times New Roman" w:eastAsia="Times New Roman" w:hAnsi="Times New Roman"/>
        </w:rPr>
        <w:t xml:space="preserve">Let H denote the human label of an event, M a model label, and r_e the 30-minute return signed in the direction of class e. The model-label estimate of the response to class e is the mean of r_e over the events with M = e, which is identically</w:t>
      </w:r>
    </w:p>
    <w:p>
      <w:pPr>
        <w:spacing w:after="0" w:before="0" w:line="480" w:lineRule="auto"/>
        <w:jc w:val="center"/>
      </w:pPr>
      <w:r>
        <w:rPr>
          <w:rFonts w:ascii="Times New Roman" w:cs="Times New Roman" w:eastAsia="Times New Roman" w:hAnsi="Times New Roman"/>
        </w:rPr>
        <w:t xml:space="preserve">μ_M(e) = Σ_h π(h | e) · μ(h, e),     (1)</w:t>
      </w:r>
    </w:p>
    <w:p>
      <w:pPr>
        <w:spacing w:after="0" w:before="0" w:line="480" w:lineRule="auto"/>
      </w:pPr>
      <w:r>
        <w:rPr>
          <w:rFonts w:ascii="Times New Roman" w:cs="Times New Roman" w:eastAsia="Times New Roman" w:hAnsi="Times New Roman"/>
        </w:rPr>
        <w:t xml:space="preserve">where π(h | e) is the share of the model’s e events whose human label is h, so that π(e | e) is the precision on these events, and μ(h, e) is the mean of r_e over those events. Subtracting the human estimate μ_H(e) gives</w:t>
      </w:r>
    </w:p>
    <w:p>
      <w:pPr>
        <w:spacing w:after="0" w:before="0" w:line="480" w:lineRule="auto"/>
        <w:jc w:val="center"/>
      </w:pPr>
      <w:r>
        <w:rPr>
          <w:rFonts w:ascii="Times New Roman" w:cs="Times New Roman" w:eastAsia="Times New Roman" w:hAnsi="Times New Roman"/>
        </w:rPr>
        <w:t xml:space="preserve">μ_M(e) − μ_H(e) = π(e | e) · [μ(e, e) − μ_H(e)] + Σ_{h≠e} π(h | e) · [μ(h, e) − μ_H(e)].     (2)</w:t>
      </w:r>
    </w:p>
    <w:p>
      <w:pPr>
        <w:spacing w:after="0" w:before="0" w:line="480" w:lineRule="auto"/>
      </w:pPr>
      <w:r>
        <w:rPr>
          <w:rFonts w:ascii="Times New Roman" w:cs="Times New Roman" w:eastAsia="Times New Roman" w:hAnsi="Times New Roman"/>
        </w:rPr>
        <w:t xml:space="preserve">The first term captures selection within the class: the model may find a different subset of the human escalation events. The second captures contamination by the other classes. Equation (1) is an accounting identity and requires no assumption about the errors, but it makes explicit a familiar result from the econometrics of misclassified discrete variables. Misclassification of a category is necessarily correlated with the true category (Aigner 1973; Bound et al. 2001), so it does not behave like classical measurement error, which would shrink an effect by a constant factor. The bias is instead a weighted sum of the gaps between the outcome means of the classes the errors come from and that of the target class, and it can take either sign (Mahajan 2006; Lewbel 2007). In our setting, a human de-escalation post placed in the escalation class moves oil in the de-escalation direction, which is negative when signed as escalation. Such a post contributes a negative term where an unrelated post would contribute roughly zero.</w:t>
      </w:r>
    </w:p>
    <w:p>
      <w:pPr>
        <w:spacing w:after="0" w:before="0" w:line="480" w:lineRule="auto"/>
        <w:ind w:firstLine="720"/>
      </w:pPr>
      <w:r>
        <w:rPr>
          <w:rFonts w:ascii="Times New Roman" w:cs="Times New Roman" w:eastAsia="Times New Roman" w:hAnsi="Times New Roman"/>
        </w:rPr>
        <w:t xml:space="preserve">Table 4 supplies every term. For the original labels, equation (1) returns 0.17%, the estimate in Table 3, and equation (2) divides the gap of −0.31 points into −0.01 from selection within the class, −0.15 from human de-escalation posts, −0.19 from posts the humans call other, and +0.05 from mixed posts. For the v2 majority, the identity returns 0.32% and divides the gap of −0.16 points into +0.02, −0.09, −0.16, and +0.06. In both label sets, the posts that humans and models both call escalation move oil by about as much as the human class as a whole (0.45% and 0.53%, against 0.48%). The shortfall is thus contamination, not a weaker response among correctly labelled posts; mixed posts, in which humans also see a threat, partly offset it. The same identity explains why the de-escalation estimate barely changes across label sets. The precision on those events is higher (23 of 34 and 24 of 33), and the contaminating posts are mostly mixed or other posts whose signed returns are positive (Panel B of Table 4).</w:t>
      </w:r>
    </w:p>
    <w:p>
      <w:pPr>
        <w:keepNext/>
        <w:spacing w:after="120" w:before="240" w:line="240" w:lineRule="auto"/>
        <w:jc w:val="center"/>
      </w:pPr>
      <w:r>
        <w:rPr>
          <w:rFonts w:ascii="Times New Roman" w:cs="Times New Roman" w:eastAsia="Times New Roman" w:hAnsi="Times New Roman"/>
          <w:b/>
          <w:bCs/>
          <w:sz w:val="22"/>
          <w:szCs w:val="22"/>
        </w:rPr>
        <w:t xml:space="preserve">Table 4. Misclassification Decomposition of the Model-Label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430"/>
        <w:gridCol w:w="1075"/>
        <w:gridCol w:w="1721"/>
        <w:gridCol w:w="591"/>
        <w:gridCol w:w="591"/>
        <w:gridCol w:w="699"/>
        <w:gridCol w:w="753"/>
        <w:gridCol w:w="1994"/>
      </w:tblGrid>
      <w:tr>
        <w:trPr>
          <w:cantSplit/>
          <w:tblHeader/>
        </w:trPr>
        <w:tc>
          <w:tcPr>
            <w:tcW w:type="dxa" w:w="15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 set</w:t>
            </w:r>
          </w:p>
        </w:tc>
        <w:tc>
          <w:tcPr>
            <w:tcW w:type="dxa" w:w="4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Events</w:t>
            </w:r>
          </w:p>
        </w:tc>
        <w:tc>
          <w:tcPr>
            <w:tcW w:type="dxa" w:w="10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Same class as humans</w:t>
            </w:r>
          </w:p>
        </w:tc>
        <w:tc>
          <w:tcPr>
            <w:tcW w:type="dxa" w:w="17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de-escalation / escalation</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mixed</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other</w:t>
            </w:r>
          </w:p>
        </w:tc>
        <w:tc>
          <w:tcPr>
            <w:tcW w:type="dxa" w:w="69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Mean, eq. (1)</w:t>
            </w:r>
          </w:p>
        </w:tc>
        <w:tc>
          <w:tcPr>
            <w:tcW w:type="dxa" w:w="75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estimate</w:t>
            </w:r>
          </w:p>
        </w:tc>
        <w:tc>
          <w:tcPr>
            <w:tcW w:type="dxa" w:w="19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Gap = within + contamination, eq. (2)</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A. 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 (+0.45)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(−0.43)</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(+0.71)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(−0.44)</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+0.17</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−0.31 = −0.01 − 0.15 + 0.05 − 0.19</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30</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14 (+0.53)</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 (−0.84)</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 (+0.71)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(−0.30)</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−0.16 = +0.02 − 0.09 + 0.06 − 0.16</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B. De-escalation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23 (+1.15)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 (−1.30)</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(+0.99)</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(+0.23)</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+0.90</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−0.15 = +0.07 − 0.07 − 0.01 − 0.15</w:t>
            </w:r>
          </w:p>
        </w:tc>
      </w:tr>
      <w:tr>
        <w:trPr>
          <w:cantSplit/>
          <w:tblHeader w:val="off"/>
        </w:trPr>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33</w:t>
            </w:r>
          </w:p>
        </w:tc>
        <w:tc>
          <w:tcPr>
            <w:tcW w:type="dxa" w:w="10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 (+1.06)</w:t>
            </w:r>
          </w:p>
        </w:tc>
        <w:tc>
          <w:tcPr>
            <w:tcW w:type="dxa" w:w="17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(+0.99)</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(+0.38)</w:t>
            </w:r>
          </w:p>
        </w:tc>
        <w:tc>
          <w:tcPr>
            <w:tcW w:type="dxa" w:w="69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w:t>
            </w:r>
          </w:p>
        </w:tc>
        <w:tc>
          <w:tcPr>
            <w:tcW w:type="dxa" w:w="75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+1.05</w:t>
            </w:r>
          </w:p>
        </w:tc>
        <w:tc>
          <w:tcPr>
            <w:tcW w:type="dxa" w:w="19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−0.10 = +0.01 + 0.00 − 0.01 − 0.10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Entries in the human-label columns are the number of model-labelled events with that human label and, in parentheses, their mean directional 30-minute return (percent) signed in the direction of the model’s class. In Panel A, the fourth column counts human de-escalation posts; in Panel B, human escalation posts. The gap column lists, in order, selection within the class, then contamination by the human class in column 4, by mixed posts, and by other posts. Components are computed from rounded means and need not sum exactly.</w:t>
      </w:r>
    </w:p>
    <w:p>
      <w:pPr>
        <w:spacing w:after="0" w:before="0" w:line="480" w:lineRule="auto"/>
        <w:ind w:firstLine="720"/>
      </w:pPr>
      <w:r>
        <w:rPr>
          <w:rFonts w:ascii="Times New Roman" w:cs="Times New Roman" w:eastAsia="Times New Roman" w:hAnsi="Times New Roman"/>
        </w:rPr>
        <w:t xml:space="preserve">The identity accounts for the gap; it does not correct the estimate. It takes the human labels as the reference, and these are themselves measured with error (κ between 0.61 and 0.69 across rounds). With two human coders and several model runs per post, the true class is identified under conditions on how the raters’ errors relate to one another (Hu 2008), which gives the latent-class analysis we propose in the Discussion a formal basis. We wrote the decomposition after the event-level split in Table 4 was known, and Table A1 classifies it as post hoc.</w:t>
      </w:r>
    </w:p>
    <w:p>
      <w:pPr>
        <w:pStyle w:val="Heading2"/>
        <w:keepNext/>
        <w:spacing w:after="0" w:before="0" w:line="480" w:lineRule="auto"/>
      </w:pPr>
      <w:r>
        <w:rPr>
          <w:rFonts w:ascii="Times New Roman" w:cs="Times New Roman" w:eastAsia="Times New Roman" w:hAnsi="Times New Roman"/>
          <w:b/>
          <w:bCs/>
        </w:rPr>
        <w:t xml:space="preserve">The Market Result on Human Labels</w:t>
      </w:r>
    </w:p>
    <w:p>
      <w:pPr>
        <w:spacing w:after="0" w:before="0" w:line="480" w:lineRule="auto"/>
        <w:ind w:firstLine="720"/>
      </w:pPr>
      <w:r>
        <w:rPr>
          <w:rFonts w:ascii="Times New Roman" w:cs="Times New Roman" w:eastAsia="Times New Roman" w:hAnsi="Times New Roman"/>
        </w:rPr>
        <w:t xml:space="preserve">We rebuilt the set of signal posts from the human labels over all 191 posts, applying the cluster filter and requiring the market to be open at the post and 30 minutes later. Table 5 reconciles the sample. Of the 23 signal posts without a window, 83% were made on weekends or while the market was closed, against 29% of all signal posts, and 48% of escalation signal posts are dropped for this reason, against 22% of de-escalation posts. The results therefore do not extend to weekend announcements, and the two classes are selected differently.</w:t>
      </w:r>
    </w:p>
    <w:p>
      <w:pPr>
        <w:keepNext/>
        <w:spacing w:after="120" w:before="240" w:line="240" w:lineRule="auto"/>
        <w:jc w:val="center"/>
      </w:pPr>
      <w:r>
        <w:rPr>
          <w:rFonts w:ascii="Times New Roman" w:cs="Times New Roman" w:eastAsia="Times New Roman" w:hAnsi="Times New Roman"/>
          <w:b/>
          <w:bCs/>
          <w:sz w:val="22"/>
          <w:szCs w:val="22"/>
        </w:rPr>
        <w:t xml:space="preserve">Table 5. Sample Reconciliation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6"/>
        <w:gridCol w:w="1466"/>
        <w:gridCol w:w="1128"/>
      </w:tblGrid>
      <w:tr>
        <w:trPr>
          <w:cantSplit/>
          <w:tblHeader/>
        </w:trPr>
        <w:tc>
          <w:tcPr>
            <w:tcW w:type="dxa" w:w="67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Step</w:t>
            </w:r>
          </w:p>
        </w:tc>
        <w:tc>
          <w:tcPr>
            <w:tcW w:type="dxa" w:w="14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Posts with a human signal label after the three-hour filter (141 of 191 pass)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37</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With a tick window at the post time and +30 minutes (primary sample)</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Also with a valid −60 minute price (the sample of the pre-post drift analysis)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26</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w:t>
            </w:r>
          </w:p>
        </w:tc>
      </w:tr>
      <w:tr>
        <w:trPr>
          <w:cantSplit/>
          <w:tblHeader w:val="off"/>
        </w:trPr>
        <w:tc>
          <w:tcPr>
            <w:tcW w:type="dxa" w:w="67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Signal posts dropped for no window</w:t>
            </w:r>
          </w:p>
        </w:tc>
        <w:tc>
          <w:tcPr>
            <w:tcW w:type="dxa" w:w="14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w:t>
            </w:r>
          </w:p>
        </w:tc>
      </w:tr>
    </w:tbl>
    <w:p>
      <w:pPr>
        <w:spacing w:after="240" w:before="0" w:line="240" w:lineRule="auto"/>
      </w:pPr>
    </w:p>
    <w:p>
      <w:pPr>
        <w:spacing w:after="0" w:before="0" w:line="480" w:lineRule="auto"/>
        <w:ind w:firstLine="720"/>
      </w:pPr>
      <w:r>
        <w:rPr>
          <w:rFonts w:ascii="Times New Roman" w:cs="Times New Roman" w:eastAsia="Times New Roman" w:hAnsi="Times New Roman"/>
        </w:rP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posts on 16 days; median 0.40%; p = 0.013; CIs 0.17 to 0.80 and 0.02 to 1.02), compared with 0.17% (p = 0.53) when the original model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spacing w:after="0" w:before="0" w:line="480" w:lineRule="auto"/>
        <w:ind w:firstLine="720"/>
      </w:pPr>
      <w:r>
        <w:rPr>
          <w:rFonts w:ascii="Times New Roman" w:cs="Times New Roman" w:eastAsia="Times New Roman" w:hAnsi="Times New Roman"/>
          <w:i/>
          <w:iCs/>
        </w:rPr>
        <w:t xml:space="preserve">Dependence on adjudication.</w:t>
      </w:r>
      <w:r>
        <w:rPr>
          <w:rFonts w:ascii="Times New Roman" w:cs="Times New Roman" w:eastAsia="Times New Roman" w:hAnsi="Times New Roman"/>
        </w:rPr>
        <w:t xml:space="preserve"> Of the 41 final escalation labels, 27 (66%) were adjudicated by the investigator, compared with 5 of 46 (11%) de-escalation labels (Table 6). On coder-consensus labels alone, the escalation response is 0.71% (n = 7; p = 0.016); on the nine adjudicated escalation events, it is 0.30% (day-clustered CI −0.11 to 0.71; p = 0.30). The escalation result thus has the same sign in both subsets, but it is not separately established for the adjudicated posts, and these are precisely the posts whose labels the investigator decided.</w:t>
      </w:r>
    </w:p>
    <w:p>
      <w:pPr>
        <w:keepNext/>
        <w:spacing w:after="120" w:before="240" w:line="240" w:lineRule="auto"/>
        <w:jc w:val="center"/>
      </w:pPr>
      <w:r>
        <w:rPr>
          <w:rFonts w:ascii="Times New Roman" w:cs="Times New Roman" w:eastAsia="Times New Roman" w:hAnsi="Times New Roman"/>
          <w:b/>
          <w:bCs/>
          <w:sz w:val="22"/>
          <w:szCs w:val="22"/>
        </w:rPr>
        <w:t xml:space="preserve">Table 6. Human-Label 30-Minute Directional Return by Adjudication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5"/>
        <w:gridCol w:w="3608"/>
        <w:gridCol w:w="3497"/>
      </w:tblGrid>
      <w:tr>
        <w:trPr>
          <w:cantSplit/>
          <w:tblHeader/>
        </w:trPr>
        <w:tc>
          <w:tcPr>
            <w:tcW w:type="dxa" w:w="225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Subset</w:t>
            </w:r>
          </w:p>
        </w:tc>
        <w:tc>
          <w:tcPr>
            <w:tcW w:type="dxa" w:w="36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3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2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final labels</w:t>
            </w:r>
          </w:p>
        </w:tc>
        <w:tc>
          <w:tcPr>
            <w:tcW w:type="dxa" w:w="36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(0.44, 1.96); p = .0003</w:t>
            </w:r>
          </w:p>
        </w:tc>
        <w:tc>
          <w:tcPr>
            <w:tcW w:type="dxa" w:w="3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(0.17, 0.80); p = .013</w:t>
            </w:r>
          </w:p>
        </w:tc>
      </w:tr>
      <w:tr>
        <w:trPr>
          <w:cantSplit/>
          <w:tblHeader w:val="off"/>
        </w:trPr>
        <w:tc>
          <w:tcPr>
            <w:tcW w:type="dxa" w:w="2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Coder consensus only</w:t>
            </w:r>
          </w:p>
        </w:tc>
        <w:tc>
          <w:tcPr>
            <w:tcW w:type="dxa" w:w="36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(0.40, 1.93); p = .0006</w:t>
            </w:r>
          </w:p>
        </w:tc>
        <w:tc>
          <w:tcPr>
            <w:tcW w:type="dxa" w:w="3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(0.30, 1.17); p = .016</w:t>
            </w:r>
          </w:p>
        </w:tc>
      </w:tr>
      <w:tr>
        <w:trPr>
          <w:cantSplit/>
          <w:tblHeader w:val="off"/>
        </w:trPr>
        <w:tc>
          <w:tcPr>
            <w:tcW w:type="dxa" w:w="225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Adjudicated only</w:t>
            </w:r>
          </w:p>
        </w:tc>
        <w:tc>
          <w:tcPr>
            <w:tcW w:type="dxa" w:w="36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3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 0.30 (−0.11, 0.71); p = .30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give n; mean (day-clustered 95% CI); two-sided Wilcoxon p. The consensus-only row is also the sensitivity analysis in which adjudicated items are set to “other.”</w:t>
      </w:r>
    </w:p>
    <w:p>
      <w:pPr>
        <w:spacing w:after="0" w:before="0" w:line="480" w:lineRule="auto"/>
        <w:ind w:firstLine="720"/>
      </w:pPr>
      <w:r>
        <w:rPr>
          <w:rFonts w:ascii="Times New Roman" w:cs="Times New Roman" w:eastAsia="Times New Roman" w:hAnsi="Times New Roman"/>
          <w:i/>
          <w:iCs/>
        </w:rPr>
        <w:t xml:space="preserve">Independent third coder.</w:t>
      </w:r>
      <w:r>
        <w:rPr>
          <w:rFonts w:ascii="Times New Roman" w:cs="Times New Roman" w:eastAsia="Times New Roman" w:hAnsi="Times New Roman"/>
        </w:rPr>
        <w:t xml:space="preserve"> The third coder’s agreement with the original coders’ consensus on the 15 control posts is κ = 0.45 (95% CI 0.12 to 0.77), just above the threshold of 0.40 that the plan set for treating the sheet as reliable. On the 45 contested posts, agreement is low, as one would expect for items on which two coders had already disagreed: κ = 0.13 with coder A, 0.23 with coder B, and 0.23 with the investigator’s adjudicated label (44% identical). Under the v3 rule, 24 of the 45 labels change. The largest shift is in the escalation class. Of the 27 posts that the investigator had labelled escalation, 13 are no longer escalation (6 become other, 6 mixed, and 1 de-escalation), and the escalation class over all 191 posts shrinks from 41 to 28 posts. The investigator’s adjudication had thus leaned toward escalation.</w:t>
      </w:r>
    </w:p>
    <w:p>
      <w:pPr>
        <w:spacing w:after="0" w:before="0" w:line="480" w:lineRule="auto"/>
        <w:ind w:firstLine="720"/>
      </w:pPr>
      <w:r>
        <w:rPr>
          <w:rFonts w:ascii="Times New Roman" w:cs="Times New Roman" w:eastAsia="Times New Roman" w:hAnsi="Times New Roman"/>
        </w:rPr>
        <w:t xml:space="preserve">Table 7 reports the market result under the v3 labels. The de-escalation response is essentially unchanged (0.94%, n = 32; median 0.46%; p = 0.0003; day-clustered CI 0.38 to 1.79). The escalation response is of similar size but rests on fewer events (0.45%, n = 10; median 0.36%; Wilcoxon p = 0.084; day-clustered CI 0.01 to 0.90), seven of which carry coder-consensus labels. By the rule fixed in the plan, the escalation estimate remains positive with a confidence interval that excludes zero, so the escalation result does not depend on the investigator’s adjudication. The margin is thin, however, and the Wilcoxon test is not significant at the 5% level. Judged against v3, the model labels look worse rather than better: escalation precision is 0.35 for model 1 and 0.32 for the v2 majority (κ = 0.48 and 0.49). Because the human escalation estimate is itself less precise, though, the difference between the model-label and human estimates is no longer detectable (model 1: 0.28 points, CI −0.06 to 0.68, p = 0.12; v2 majority: 0.13 points, CI −0.26 to 0.55, p = 0.50). As the plan specifies, the investigator-adjudicated results remain in the paper as the earlier analysis; the decomposition, placebo, drift, and robustness analyses use those labels.</w:t>
      </w:r>
    </w:p>
    <w:p>
      <w:pPr>
        <w:keepNext/>
        <w:spacing w:after="120" w:before="240" w:line="240" w:lineRule="auto"/>
        <w:jc w:val="center"/>
      </w:pPr>
      <w:r>
        <w:rPr>
          <w:rFonts w:ascii="Times New Roman" w:cs="Times New Roman" w:eastAsia="Times New Roman" w:hAnsi="Times New Roman"/>
          <w:b/>
          <w:bCs/>
          <w:sz w:val="22"/>
          <w:szCs w:val="22"/>
        </w:rPr>
        <w:t xml:space="preserve">Table 7. Human-Label 30-Minute Directional Return Under the Independent Third-Coder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0"/>
        <w:gridCol w:w="2955"/>
        <w:gridCol w:w="2875"/>
      </w:tblGrid>
      <w:tr>
        <w:trPr>
          <w:cantSplit/>
          <w:tblHeader/>
        </w:trPr>
        <w:tc>
          <w:tcPr>
            <w:tcW w:type="dxa" w:w="35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 set</w:t>
            </w:r>
          </w:p>
        </w:tc>
        <w:tc>
          <w:tcPr>
            <w:tcW w:type="dxa" w:w="295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28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35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Investigator-adjudicated (earlier analysis)</w:t>
            </w:r>
          </w:p>
        </w:tc>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.0003; 0.43 to 1.97</w:t>
            </w:r>
          </w:p>
        </w:tc>
        <w:tc>
          <w:tcPr>
            <w:tcW w:type="dxa" w:w="28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.013; 0.16 to 0.81</w:t>
            </w:r>
          </w:p>
        </w:tc>
      </w:tr>
      <w:tr>
        <w:trPr>
          <w:cantSplit/>
          <w:tblHeader w:val="off"/>
        </w:trPr>
        <w:tc>
          <w:tcPr>
            <w:tcW w:type="dxa" w:w="35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v3: majority of three coders</w:t>
            </w:r>
          </w:p>
        </w:tc>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.0003; 0.38 to 1.79</w:t>
            </w:r>
          </w:p>
        </w:tc>
        <w:tc>
          <w:tcPr>
            <w:tcW w:type="dxa" w:w="28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0.01 to 0.90</w:t>
            </w:r>
          </w:p>
        </w:tc>
      </w:tr>
      <w:tr>
        <w:trPr>
          <w:cantSplit/>
          <w:tblHeader w:val="off"/>
        </w:trPr>
        <w:tc>
          <w:tcPr>
            <w:tcW w:type="dxa" w:w="35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Third coder only (sensitivity)</w:t>
            </w:r>
          </w:p>
        </w:tc>
        <w:tc>
          <w:tcPr>
            <w:tcW w:type="dxa" w:w="295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35; 0.85 (0.46); .0005; 0.33 to 1.62</w:t>
            </w:r>
          </w:p>
        </w:tc>
        <w:tc>
          <w:tcPr>
            <w:tcW w:type="dxa" w:w="28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0.01 to 0.90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give n; mean (median); two-sided Wilcoxon p; day-clustered bootstrap 95% CI of the mean (10,000 resamples, the same draws for every row, so the first row differs slightly from the intervals reported earlier). Same 95-event frame as Table 3.</w:t>
      </w:r>
    </w:p>
    <w:p>
      <w:pPr>
        <w:spacing w:after="0" w:before="0" w:line="480" w:lineRule="auto"/>
        <w:ind w:firstLine="720"/>
      </w:pPr>
      <w:r>
        <w:rPr>
          <w:rFonts w:ascii="Times New Roman" w:cs="Times New Roman" w:eastAsia="Times New Roman" w:hAnsi="Times New Roman"/>
          <w:i/>
          <w:iCs/>
        </w:rPr>
        <w:t xml:space="preserve">Placebo times.</w:t>
      </w:r>
      <w:r>
        <w:rPr>
          <w:rFonts w:ascii="Times New Roman" w:cs="Times New Roman" w:eastAsia="Times New Roman" w:hAnsi="Times New Roman"/>
        </w:rPr>
        <w:t xml:space="preserve"> To check that the co-movement is not an artifact of the hours in which posts fall, we drew placebo post times in the same clock hour on neighbouring days (same weekday status, at least two hours from any labelled post; 10,000 draws) for the events in the headline sample. The mean placebo return over 30 minutes is 0.04% for de-escalation (95th percentile 0.20; 99th percentile 0.28; observed 1.04% on the 28 of 29 events with a placebo pool) and 0.02% for escalation (95th percentile 0.20; observed 0.48%, 16 of 16 events). None of the 10,000 draws reaches the observed value. A second placebo uses only the 20% of candidate times whose return over the preceding 30 minutes is closest to the event’s own (on average 0.57% for de-escalation events and 0.22% for escalation events). The placebo means are 0.10% and 0.09% (95th percentiles 0.27 and 0.26), and again no draw reaches the observed value. Neither placebo is matched on news, so the placebos show that the post windows differ from comparable hours with comparable preceding drift, not that they differ from comparable news hours.</w:t>
      </w:r>
    </w:p>
    <w:p>
      <w:pPr>
        <w:keepNext/>
        <w:spacing w:after="0" w:before="240" w:line="240" w:lineRule="auto"/>
        <w:jc w:val="center"/>
      </w:pPr>
      <w:r>
        <w:drawing>
          <wp:inline distT="0" distB="0" distL="0" distR="0">
            <wp:extent cx="5715000" cy="2286000"/>
            <wp:effectExtent t="0" r="0" b="0" l="0"/>
            <wp:docPr id="2" name="image2.png" descr="Figure 2. Directional WTI Return Around Human-Labelled Posts" title="Figure 2. Directional WTI Return Around Human-Labelle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2. Directional WTI Return Around Human-Labelled Posts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Return relative to the price at the post time; de-escalation n = 29, escalation n = 16. Lines show the mean ± 1 SE and the median; the gray band is the 95% band of the mean at placebo times.</w:t>
      </w:r>
    </w:p>
    <w:p>
      <w:pPr>
        <w:spacing w:after="0" w:before="0" w:line="480" w:lineRule="auto"/>
        <w:ind w:firstLine="720"/>
      </w:pPr>
      <w:r>
        <w:rPr>
          <w:rFonts w:ascii="Times New Roman" w:cs="Times New Roman" w:eastAsia="Times New Roman" w:hAnsi="Times New Roman"/>
          <w:i/>
          <w:iCs/>
        </w:rPr>
        <w:t xml:space="preserve">Weekend and closed-market posts.</w:t>
      </w:r>
      <w:r>
        <w:rPr>
          <w:rFonts w:ascii="Times New Roman" w:cs="Times New Roman" w:eastAsia="Times New Roman" w:hAnsi="Times New Roman"/>
        </w:rPr>
        <w:t xml:space="preserve"> The 23 signal posts without a window cannot be analysed at 30 minutes. As a descriptive check, we computed the directional return from the last tick before the post to the first tick after the market reopened (median gap 49 hours, so the return contains all of the weekend’s news). For the 15 escalation posts, the mean is 4.14% (median 3.94%; 14 of 15 positive); for the 8 de-escalation posts, it is −0.10% (median −1.47%; 3 of 8 positive). The escalation gaps have the same sign as the weekday result, the de-escalation gaps are uninformative, and neither can be attributed to the post.</w:t>
      </w:r>
    </w:p>
    <w:p>
      <w:pPr>
        <w:spacing w:after="0" w:before="0" w:line="480" w:lineRule="auto"/>
        <w:ind w:firstLine="720"/>
      </w:pPr>
      <w:r>
        <w:rPr>
          <w:rFonts w:ascii="Times New Roman" w:cs="Times New Roman" w:eastAsia="Times New Roman" w:hAnsi="Times New Roman"/>
          <w:i/>
          <w:iCs/>
        </w:rPr>
        <w:t xml:space="preserve">Pre-post drift.</w:t>
      </w:r>
      <w:r>
        <w:rPr>
          <w:rFonts w:ascii="Times New Roman" w:cs="Times New Roman" w:eastAsia="Times New Roman" w:hAnsi="Times New Roman"/>
        </w:rPr>
        <w:t xml:space="preserve"> On the 26 and 14 events with a price 60 minutes before the post, the 30 minutes before a de-escalation post also exceed the placebo (0.57%, and 0.86% over the preceding hour; both p &lt; 0.0001), and the same holds for escalation over 30 minutes only (0.29%, p = 0.016). Tick counts in the half hour before a de-escalation post are 28% higher than in comparable hours. The mean path before de-escalation posts rises by about half a percentage point between 20 and 15 minutes before the post (Figure 2); the median shows no such step, so a few events moving together produce it. We describe this as drift that is larger than in comparable hours and whose cause we cannot identify. The market may be reacting to news that the post then repeats, or the same development may move both. The drift does not show leakage or any party’s conduct, and whether an outside source reported a decision before the post makes no difference to it (30 events, p = 0.90; Appendix E).</w:t>
      </w:r>
    </w:p>
    <w:p>
      <w:pPr>
        <w:spacing w:after="0" w:before="0" w:line="480" w:lineRule="auto"/>
        <w:ind w:firstLine="720"/>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Table 8 varies one feature of the analysis at a time. The post-period move is positive in every variant and for both classes, with two-sided p &lt; 0.05 in all but one case (escalation over 60 minutes, p = 0.065). This holds when the three events on March 23 and April 7 are dropped (de-escalation mean 0.80%, median 0.48%) and when only posts on which both coders agreed are used. The variants change the cluster rule, the window, or the labels of largely the same events, so they are not independent confirmations. The median is stable at 0.4% to 0.5%, whereas the mean is driven by a few events: the three largest de-escalation moves (2.7%, 3.3%, and 10.5%) make up 54% of the summed move, and leave-one-event-out means range from 0.71% to 1.12%.</w:t>
      </w:r>
    </w:p>
    <w:p>
      <w:pPr>
        <w:spacing w:after="0" w:before="0" w:line="480" w:lineRule="auto"/>
        <w:ind w:firstLine="720"/>
      </w:pPr>
      <w:r>
        <w:rPr>
          <w:rFonts w:ascii="Times New Roman" w:cs="Times New Roman" w:eastAsia="Times New Roman" w:hAnsi="Times New Roman"/>
        </w:rPr>
        <w:t xml:space="preserve">The excess of the 30 minutes after a post over the 30 minutes before it is not reliable: two-sided p ranges from 0.049 to 0.127 across cluster rules for de-escalation and from 0.089 to 0.194 for escalation. The answer depends on the window. Over 5 and 15 minutes, the move after de-escalation posts is not preceded by drift (pre-window means −0.05% and 0.00%; paired excess 0.72 and 0.76 points; p = 0.006 and 0.011), whereas for escalation the excess is significant only at 15 minutes (p = 0.039). Over 60 minutes, the earlier drift has caught up (paired difference −0.15, p = 0.73). The short-window statement is the one we can defend, but we chose the windows to rely on after seeing Table 8, and a five-minute pre-window cannot capture drift that occurs 30 to 15 minutes before the post. Post time stamps come from the archive at one-second precision and are matched to a dealer quote feed whose latency we cannot test; a tick stamped in the same second as the post is counted as preceding it.</w:t>
      </w:r>
    </w:p>
    <w:p>
      <w:pPr>
        <w:keepNext/>
        <w:spacing w:after="120" w:before="240" w:line="240" w:lineRule="auto"/>
        <w:jc w:val="center"/>
      </w:pPr>
      <w:r>
        <w:rPr>
          <w:rFonts w:ascii="Times New Roman" w:cs="Times New Roman" w:eastAsia="Times New Roman" w:hAnsi="Times New Roman"/>
          <w:b/>
          <w:bCs/>
          <w:sz w:val="22"/>
          <w:szCs w:val="22"/>
        </w:rPr>
        <w:t xml:space="preserve">Table 8. Robustness of the Human-Label Tick-Level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4"/>
        <w:gridCol w:w="3532"/>
        <w:gridCol w:w="3474"/>
      </w:tblGrid>
      <w:tr>
        <w:trPr>
          <w:cantSplit/>
          <w:tblHeader/>
        </w:trPr>
        <w:tc>
          <w:tcPr>
            <w:tcW w:type="dxa" w:w="23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Variant</w:t>
            </w:r>
          </w:p>
        </w:tc>
        <w:tc>
          <w:tcPr>
            <w:tcW w:type="dxa" w:w="353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post-30 mean (median), paired post − pre (p)</w:t>
            </w:r>
          </w:p>
        </w:tc>
        <w:tc>
          <w:tcPr>
            <w:tcW w:type="dxa" w:w="34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post-30 mean (median), paired post − pre (p)</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Baseline (3-hour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+0.48 (.059)</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No cluster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0.91 (0.46), +0.44 (.053)</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 0.46 (0.35), +0.23 (.142)</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6-hour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25, 1.08 (0.49), +0.42 (.127)</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 0.54 (0.50), +0.27 (.194)</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Both coders agreed before adjudication</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+0.44 (.090)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+0.44 (.156)</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0.67 (0.21), +0.72 (.006)</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0.46 (0.19), +0.38 (.193)</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15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0.76 (0.60), +0.76 (.011)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0.57 (0.42), +0.36 (.039)</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60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1.18 (0.42), −0.15 (.731)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+0.44 (.173)</w:t>
            </w:r>
          </w:p>
        </w:tc>
      </w:tr>
      <w:tr>
        <w:trPr>
          <w:cantSplit/>
          <w:tblHeader w:val="off"/>
        </w:trPr>
        <w:tc>
          <w:tcPr>
            <w:tcW w:type="dxa" w:w="23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Drop 23 March and 7 April (three events)</w:t>
            </w:r>
          </w:p>
        </w:tc>
        <w:tc>
          <w:tcPr>
            <w:tcW w:type="dxa" w:w="353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26, 0.80 (0.48), +0.49 (.049)</w:t>
            </w:r>
          </w:p>
        </w:tc>
        <w:tc>
          <w:tcPr>
            <w:tcW w:type="dxa" w:w="34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Mean directional returns in percent; p-values are two-sided Wilcoxon tests of post minus pre. The variants are not independent, and p-values are unadjusted.</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pStyle w:val="Heading2"/>
        <w:keepNext/>
        <w:spacing w:after="0" w:before="0" w:line="480" w:lineRule="auto"/>
      </w:pPr>
      <w:r>
        <w:rPr>
          <w:rFonts w:ascii="Times New Roman" w:cs="Times New Roman" w:eastAsia="Times New Roman" w:hAnsi="Times New Roman"/>
          <w:b/>
          <w:bCs/>
        </w:rPr>
        <w:t xml:space="preserve">What the Evidence Supports</w:t>
      </w:r>
    </w:p>
    <w:p>
      <w:pPr>
        <w:spacing w:after="0" w:before="0" w:line="480" w:lineRule="auto"/>
        <w:ind w:firstLine="720"/>
      </w:pPr>
      <w:r>
        <w:rPr>
          <w:rFonts w:ascii="Times New Roman" w:cs="Times New Roman" w:eastAsia="Times New Roman" w:hAnsi="Times New Roman"/>
        </w:rPr>
        <w:t xml:space="preserve">The evidence supports four statements. First, during the closure, oil moved in the direction of posts that humans labelled de-escalation (about 1.05% over 30 minutes; median 0.47%) and, at about half that size, of posts that humans labelled escalation (0.48%). The direction is robust to the choices we varied, and the move exceeds that at matched and drift-matched placebo times. Second, the move cannot be attributed to the post itself beyond short windows: it is preceded by drift, and its excess over the preceding 30 minutes is not reliable at conventional levels. Third, the model labels, including four runs under the humans’ own codebook, agree with the human labels at κ of about 0.5 and over-label escalation, and the resulting escalation estimate (0.17% to 0.35%) is smaller than the human one (0.48%). An exact decomposition attributes nearly all of that shortfall to posts that humans read as de-escalation or as unrelated. For the original labels the difference from the human estimate is borderline (p = 0.038, one of twelve contrasts), and for the clearer-codebook labels it is not distinguishable from zero. Fourth, two thirds of the original escalation labels were adjudicated by the investigator, and an independent third coder removed 13 of these 27 posts from the class. Under the third-coder labels, the escalation response remains positive (0.45%, CI 0.01 to 0.90) but rests on ten events and is not significant by the Wilcoxon test (p = 0.084).</w:t>
      </w:r>
    </w:p>
    <w:p>
      <w:pPr>
        <w:pStyle w:val="Heading2"/>
        <w:keepNext/>
        <w:spacing w:after="0" w:before="0" w:line="480" w:lineRule="auto"/>
      </w:pPr>
      <w:r>
        <w:rPr>
          <w:rFonts w:ascii="Times New Roman" w:cs="Times New Roman" w:eastAsia="Times New Roman" w:hAnsi="Times New Roman"/>
          <w:b/>
          <w:bCs/>
        </w:rPr>
        <w:t xml:space="preserve">Contributions and Implications for IS Research</w:t>
      </w:r>
    </w:p>
    <w:p>
      <w:pPr>
        <w:spacing w:after="0" w:before="0" w:line="480" w:lineRule="auto"/>
        <w:ind w:firstLine="720"/>
      </w:pPr>
      <w:r>
        <w:rPr>
          <w:rFonts w:ascii="Times New Roman" w:cs="Times New Roman" w:eastAsia="Times New Roman" w:hAnsi="Times New Roman"/>
        </w:rPr>
        <w:t xml:space="preserve">The paper’s main contribution is a worked example of how the labelling of text changes an event-study estimate. Agreement between model runs was high (κ between 0.62 and 0.96, and between 0.69 and 0.84 across four runs of three model sizes), whereas agreement with human coders was moderate (0.29 to 0.56 by round, 0.50 overall), and re-running the same model with the humans’ codebook did not help. The error was concentrated in one class, and it changed the estimate by changing which events entered that class. The misclassification identity makes the mechanism visible: what matters is not only how many events are misclassified but where they come from and how their outcomes differ from those of the target class.</w:t>
      </w:r>
    </w:p>
    <w:p>
      <w:pPr>
        <w:spacing w:after="0" w:before="0" w:line="480" w:lineRule="auto"/>
        <w:ind w:firstLine="720"/>
      </w:pPr>
      <w:r>
        <w:rPr>
          <w:rFonts w:ascii="Times New Roman" w:cs="Times New Roman" w:eastAsia="Times New Roman" w:hAnsi="Times New Roman"/>
        </w:rPr>
        <w:t xml:space="preserve">LLMs are now common measurement instruments in IS research on platforms and digital traces. For such work, the case suggests a short checklist. Researchers should (1) report validity against human coders by class, using a prevalence-robust measure, and not only the consistency between model runs; (2) give the model and the human coders the same codebook and state who wrote it and when; (3) compare estimates under alternative label sets on the same events with clustered inference, and decompose any difference with the misclassification identity, which shows whether it comes from contamination by other classes or from a different response among correctly labelled events; (4) report the share of human labels that were adjudicated, by class, together with results with and without them; and (5) report, by class, the events lost for lack of an outcome window. Recent methods can correct downstream estimates for imperfect labels using a validated subsample (Angelopoulos et al. 2023; Egami et al. 2023). Our human-labelled set is small and was not drawn for that purpose, so we use it descriptively.</w:t>
      </w:r>
    </w:p>
    <w:p>
      <w:pPr>
        <w:spacing w:after="0" w:before="0" w:line="480" w:lineRule="auto"/>
        <w:ind w:firstLine="720"/>
      </w:pPr>
      <w:r>
        <w:rPr>
          <w:rFonts w:ascii="Times New Roman" w:cs="Times New Roman" w:eastAsia="Times New Roman" w:hAnsi="Times New Roman"/>
        </w:rPr>
        <w:t xml:space="preserve">A second, descriptive contribution is a documented case in which oil moves with a head of state’s posts within minutes, yet we cannot say that the post is the news. The paper does not offer a theory of platform-mediated speech, and no platform feature varies in our data.</w:t>
      </w:r>
    </w:p>
    <w:p>
      <w:pPr>
        <w:pStyle w:val="Heading2"/>
        <w:keepNext/>
        <w:spacing w:after="0" w:before="0" w:line="480" w:lineRule="auto"/>
      </w:pPr>
      <w:r>
        <w:rPr>
          <w:rFonts w:ascii="Times New Roman" w:cs="Times New Roman" w:eastAsia="Times New Roman" w:hAnsi="Times New Roman"/>
          <w:b/>
          <w:bCs/>
        </w:rPr>
        <w:t xml:space="preserve">Limitations</w:t>
      </w:r>
    </w:p>
    <w:p>
      <w:pPr>
        <w:spacing w:after="0" w:before="0" w:line="480" w:lineRule="auto"/>
        <w:ind w:firstLine="720"/>
      </w:pPr>
      <w:r>
        <w:rPr>
          <w:rFonts w:ascii="Times New Roman" w:cs="Times New Roman" w:eastAsia="Times New Roman" w:hAnsi="Times New Roman"/>
        </w:rPr>
        <w:t xml:space="preserve">Identification is weak. Posts follow volatile hours, all 20 cases we examined in market-wire coverage show other drivers, and the pre-post drift is as large as the post move over windows of 30 minutes and longer. The tick analysis separates the two only at 5 to 15 minutes, on 29 and 16 events from one conflict, one sender, and one asset, and it relies on a dealer quote feed rather than exchange futures, with contract rolls and time stamp alignment untested. The placebos are matched on clock hour, weekday, and preceding drift but not on news. Three events supply 54% of the de-escalation mean, and because weekend and off-hours posts lack a window, 48% of escalation signal posts are lost against 22% of de-escalation posts, so the two classes are selected differently.</w:t>
      </w:r>
    </w:p>
    <w:p>
      <w:pPr>
        <w:spacing w:after="0" w:before="0" w:line="480" w:lineRule="auto"/>
        <w:ind w:firstLine="720"/>
      </w:pPr>
      <w:r>
        <w:rPr>
          <w:rFonts w:ascii="Times New Roman" w:cs="Times New Roman" w:eastAsia="Times New Roman" w:hAnsi="Times New Roman"/>
        </w:rPr>
        <w:t xml:space="preserve">The original labels are not independent of the investigator, who adjudicated 66% of the final escalation labels while knowing the hypotheses. An independent third coder now replaces those adjudications, but the third coder has no training in the domain and agrees with the original consensus on the control posts at only κ = 0.45. Like the original coders, who come from the authors’ department, the third coder remembered the course of the war, so all labels may reflect hindsight. Apart from the headline estimates and the label-set comparison, our analyses still use the investigator-adjudicated labels. The coders themselves agree at κ = 0.51 to 0.69, so the human labels are a benchmark, not the truth, and for the same reason the decomposition is an accounting relative to that benchmark rather than a corrected estimate. The model comparison uses one vendor’s model family under one codebook, all runs used default sampling settings that we did not control, and no other family, few-shot, or reasoning variant was run. We set the decision rule for a prompt explanation ourselves (κ ≥ 0.60 and escalation precision ≥ 0.70), and the humans themselves reach only 0.61 to 0.69. The label-set contrasts are not corrected for multiplicity. Finally, the primary sample was redefined three times after label quality and outcomes were known, the plans are not an independent registry, and the windows we rely on were chosen after they were seen. The arrival-process, event-explanation, and theory-motivated analyses were run after, or independently of, the labelling question and are exploratory or low-powered (Appendices D to F).</w:t>
      </w:r>
    </w:p>
    <w:p>
      <w:pPr>
        <w:pStyle w:val="Heading2"/>
        <w:keepNext/>
        <w:spacing w:after="0" w:before="0" w:line="480" w:lineRule="auto"/>
      </w:pPr>
      <w:r>
        <w:rPr>
          <w:rFonts w:ascii="Times New Roman" w:cs="Times New Roman" w:eastAsia="Times New Roman" w:hAnsi="Times New Roman"/>
          <w:b/>
          <w:bCs/>
        </w:rPr>
        <w:t xml:space="preserve">Future Research</w:t>
      </w:r>
    </w:p>
    <w:p>
      <w:pPr>
        <w:spacing w:after="0" w:before="0" w:line="480" w:lineRule="auto"/>
        <w:ind w:firstLine="720"/>
      </w:pPr>
      <w:r>
        <w:rPr>
          <w:rFonts w:ascii="Times New Roman" w:cs="Times New Roman" w:eastAsia="Times New Roman" w:hAnsi="Times New Roman"/>
        </w:rPr>
        <w:t xml:space="preserve">The most informative next steps are replication on other episodes with human-validated labels, with independent coders trained in the domain who resolve disagreements without knowing the hypotheses; other model families and few-shot or reasoning variants; a latent-class analysis of all raters, for which the econometrics of misclassification supplies identification conditions (Hu 2008); exchange futures data with verified time stamps, together with next-open returns for weekend posts; and a placebo matched on news.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During the 2026 Hormuz closure, oil moved with posts that humans labelled de-escalation and escalation, by more than at comparable hours. The model labels that first suggested a one-sided response understated the escalation response because they added posts that humans do not read as escalation, and an exact decomposition attributes nearly all of the shortfall to those posts. A clearer codebook did not repair the labels, even for the same model, and an independent third coder confirmed the direction of the escalation response while leaving it resting on few events. The co-movement itself cannot be separated from earlier drift beyond short windows. We offer the case as an audited example of why agreement with human coders, and not agreement between model runs, is the evidence a labelling needs before it is linked to market outcomes.</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Labels section and Appendix B. Generative AI tools were also used to assist with analysis code and with drafting and editing the manuscript; the authors reviewed all content and take full responsibility for it. [Authors: check this statement against the journal’s current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Code, analysis plans, coder outputs, and results are held in an anonymized repository and are available on request; the post archive and market data come from public sources.</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Austin, J. L. 1962. </w:t>
      </w:r>
      <w:r>
        <w:rPr>
          <w:rFonts w:ascii="Times New Roman" w:cs="Times New Roman" w:eastAsia="Times New Roman" w:hAnsi="Times New Roman"/>
          <w:i/>
          <w:iCs/>
        </w:rPr>
        <w:t xml:space="preserve">How to Do Things with Words</w:t>
      </w:r>
      <w:r>
        <w:rPr>
          <w:rFonts w:ascii="Times New Roman" w:cs="Times New Roman" w:eastAsia="Times New Roman" w:hAnsi="Times New Roman"/>
        </w:rPr>
        <w:t xml:space="preserve">, Oxford, UK: Clarendon Press.</w:t>
      </w:r>
    </w:p>
    <w:p>
      <w:pPr>
        <w:spacing w:after="0" w:before="0" w:line="480" w:lineRule="auto"/>
        <w:ind w:left="720" w:hanging="720"/>
      </w:pPr>
      <w:r>
        <w:rPr>
          <w:rFonts w:ascii="Times New Roman" w:cs="Times New Roman" w:eastAsia="Times New Roman" w:hAnsi="Times New Roman"/>
        </w:rPr>
        <w:t xml:space="preserve">Barber, B. M., and Odean, T. 2008. “All That Glitters: The Effect of Attention and News on the Buying Behavior of Individual and Institutional Investors,”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(21:2), pp. 785-818.</w:t>
      </w:r>
    </w:p>
    <w:p>
      <w:pPr>
        <w:spacing w:after="0" w:before="0" w:line="480" w:lineRule="auto"/>
        <w:ind w:left="720" w:hanging="720"/>
      </w:pPr>
      <w:r>
        <w:rPr>
          <w:rFonts w:ascii="Times New Roman" w:cs="Times New Roman" w:eastAsia="Times New Roman" w:hAnsi="Times New Roman"/>
        </w:rPr>
        <w:t xml:space="preserve">Blankespoor, E., Miller, G. S., and White, H. D. 2014. “The Role of Dissemination in Market Liquidity: Evidence from Firms’ Use of Twitter,” </w:t>
      </w:r>
      <w:r>
        <w:rPr>
          <w:rFonts w:ascii="Times New Roman" w:cs="Times New Roman" w:eastAsia="Times New Roman" w:hAnsi="Times New Roman"/>
          <w:i/>
          <w:iCs/>
        </w:rPr>
        <w:t xml:space="preserve">The Accounting Review</w:t>
      </w:r>
      <w:r>
        <w:rPr>
          <w:rFonts w:ascii="Times New Roman" w:cs="Times New Roman" w:eastAsia="Times New Roman" w:hAnsi="Times New Roman"/>
        </w:rPr>
        <w:t xml:space="preserve"> (89:1), pp. 79-112.</w:t>
      </w:r>
    </w:p>
    <w:p>
      <w:pPr>
        <w:spacing w:after="0" w:before="0" w:line="480" w:lineRule="auto"/>
        <w:ind w:left="720" w:hanging="720"/>
      </w:pPr>
      <w:r>
        <w:rPr>
          <w:rFonts w:ascii="Times New Roman" w:cs="Times New Roman" w:eastAsia="Times New Roman" w:hAnsi="Times New Roman"/>
        </w:rPr>
        <w:t xml:space="preserve">Bollen, J., Mao, H., and Zeng, X. 2011. “Twitter Mood Predicts the Stock Market,” </w:t>
      </w:r>
      <w:r>
        <w:rPr>
          <w:rFonts w:ascii="Times New Roman" w:cs="Times New Roman" w:eastAsia="Times New Roman" w:hAnsi="Times New Roman"/>
          <w:i/>
          <w:iCs/>
        </w:rPr>
        <w:t xml:space="preserve">Journal of Computational Science</w:t>
      </w:r>
      <w:r>
        <w:rPr>
          <w:rFonts w:ascii="Times New Roman" w:cs="Times New Roman" w:eastAsia="Times New Roman" w:hAnsi="Times New Roman"/>
        </w:rPr>
        <w:t xml:space="preserve"> (2:1), pp. 1-8.</w:t>
      </w:r>
    </w:p>
    <w:p>
      <w:pPr>
        <w:spacing w:after="0" w:before="0" w:line="480" w:lineRule="auto"/>
        <w:ind w:left="720" w:hanging="720"/>
      </w:pPr>
      <w:r>
        <w:rPr>
          <w:rFonts w:ascii="Times New Roman" w:cs="Times New Roman" w:eastAsia="Times New Roman" w:hAnsi="Times New Roman"/>
        </w:rPr>
        <w:t xml:space="preserve">Bollinger, C. R. 1996. “Bounding Mean Regressions When a Binary Regressor Is Mismeasured,”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(73:2), pp. 387-399.</w:t>
      </w:r>
    </w:p>
    <w:p>
      <w:pPr>
        <w:spacing w:after="0" w:before="0" w:line="480" w:lineRule="auto"/>
        <w:ind w:left="720" w:hanging="720"/>
      </w:pPr>
      <w:r>
        <w:rPr>
          <w:rFonts w:ascii="Times New Roman" w:cs="Times New Roman" w:eastAsia="Times New Roman" w:hAnsi="Times New Roman"/>
        </w:rPr>
        <w:t xml:space="preserve">Born, J. A., Myers, D. H., and Clark, W. J. 2017. “Trump Tweets and the Efficient Market Hypothesis,” </w:t>
      </w:r>
      <w:r>
        <w:rPr>
          <w:rFonts w:ascii="Times New Roman" w:cs="Times New Roman" w:eastAsia="Times New Roman" w:hAnsi="Times New Roman"/>
          <w:i/>
          <w:iCs/>
        </w:rPr>
        <w:t xml:space="preserve">Algorithmic Finance</w:t>
      </w:r>
      <w:r>
        <w:rPr>
          <w:rFonts w:ascii="Times New Roman" w:cs="Times New Roman" w:eastAsia="Times New Roman" w:hAnsi="Times New Roman"/>
        </w:rPr>
        <w:t xml:space="preserve"> (6:3-4), pp. 103-109.</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Cameron, A. C., and Trivedi, P. K. 2013. </w:t>
      </w:r>
      <w:r>
        <w:rPr>
          <w:rFonts w:ascii="Times New Roman" w:cs="Times New Roman" w:eastAsia="Times New Roman" w:hAnsi="Times New Roman"/>
          <w:i/>
          <w:iCs/>
        </w:rPr>
        <w:t xml:space="preserve">Regression Analysis of Count Data</w:t>
      </w:r>
      <w:r>
        <w:rPr>
          <w:rFonts w:ascii="Times New Roman" w:cs="Times New Roman" w:eastAsia="Times New Roman" w:hAnsi="Times New Roman"/>
        </w:rPr>
        <w:t xml:space="preserve"> (2nd ed.), Cambridge, UK: Cambridge University Press.</w:t>
      </w:r>
    </w:p>
    <w:p>
      <w:pPr>
        <w:spacing w:after="0" w:before="0" w:line="480" w:lineRule="auto"/>
        <w:ind w:left="720" w:hanging="720"/>
      </w:pPr>
      <w:r>
        <w:rPr>
          <w:rFonts w:ascii="Times New Roman" w:cs="Times New Roman" w:eastAsia="Times New Roman" w:hAnsi="Times New Roman"/>
        </w:rPr>
        <w:t xml:space="preserve">Chen, H., De, P., Hu, Y. J., and Hwang, B.-H. 2014. “Wisdom of Crowds: The Value of Stock Opinions Transmitted Through Social Media,”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(27:5), pp. 1367-1403.</w:t>
      </w:r>
    </w:p>
    <w:p>
      <w:pPr>
        <w:spacing w:after="0" w:before="0" w:line="480" w:lineRule="auto"/>
        <w:ind w:left="720" w:hanging="720"/>
      </w:pPr>
      <w:r>
        <w:rPr>
          <w:rFonts w:ascii="Times New Roman" w:cs="Times New Roman" w:eastAsia="Times New Roman" w:hAnsi="Times New Roman"/>
        </w:rPr>
        <w:t xml:space="preserve">Clauset, A. 2020. “On the Frequency and Severity of Interstate Wars,” in </w:t>
      </w:r>
      <w:r>
        <w:rPr>
          <w:rFonts w:ascii="Times New Roman" w:cs="Times New Roman" w:eastAsia="Times New Roman" w:hAnsi="Times New Roman"/>
          <w:i/>
          <w:iCs/>
        </w:rPr>
        <w:t xml:space="preserve">Lewis Fry Richardson: His Intellectual Legacy and Influence in the Social Sciences</w:t>
      </w:r>
      <w:r>
        <w:rPr>
          <w:rFonts w:ascii="Times New Roman" w:cs="Times New Roman" w:eastAsia="Times New Roman" w:hAnsi="Times New Roman"/>
        </w:rPr>
        <w:t xml:space="preserve">, N. P. Gleditsch (ed.), Cham, Switzerland: Springer, pp. 113-127.</w:t>
      </w:r>
    </w:p>
    <w:p>
      <w:pPr>
        <w:spacing w:after="0" w:before="0" w:line="480" w:lineRule="auto"/>
        <w:ind w:left="720" w:hanging="720"/>
      </w:pPr>
      <w:r>
        <w:rPr>
          <w:rFonts w:ascii="Times New Roman" w:cs="Times New Roman" w:eastAsia="Times New Roman" w:hAnsi="Times New Roman"/>
        </w:rPr>
        <w:t xml:space="preserve">Cohen, J. 1960. “A Coefficient of Agreement for Nominal Scales,” </w:t>
      </w:r>
      <w:r>
        <w:rPr>
          <w:rFonts w:ascii="Times New Roman" w:cs="Times New Roman" w:eastAsia="Times New Roman" w:hAnsi="Times New Roman"/>
          <w:i/>
          <w:iCs/>
        </w:rPr>
        <w:t xml:space="preserve">Educational and Psychological Measurement</w:t>
      </w:r>
      <w:r>
        <w:rPr>
          <w:rFonts w:ascii="Times New Roman" w:cs="Times New Roman" w:eastAsia="Times New Roman" w:hAnsi="Times New Roman"/>
        </w:rPr>
        <w:t xml:space="preserve"> (20:1), pp. 37-46.</w:t>
      </w:r>
    </w:p>
    <w:p>
      <w:pPr>
        <w:spacing w:after="0" w:before="0" w:line="480" w:lineRule="auto"/>
        <w:ind w:left="720" w:hanging="720"/>
      </w:pPr>
      <w:r>
        <w:rPr>
          <w:rFonts w:ascii="Times New Roman" w:cs="Times New Roman" w:eastAsia="Times New Roman" w:hAnsi="Times New Roman"/>
        </w:rPr>
        <w:t xml:space="preserve">Cover, T. M., and Thomas, J. A. 2006. </w:t>
      </w:r>
      <w:r>
        <w:rPr>
          <w:rFonts w:ascii="Times New Roman" w:cs="Times New Roman" w:eastAsia="Times New Roman" w:hAnsi="Times New Roman"/>
          <w:i/>
          <w:iCs/>
        </w:rPr>
        <w:t xml:space="preserve">Elements of Information Theory</w:t>
      </w:r>
      <w:r>
        <w:rPr>
          <w:rFonts w:ascii="Times New Roman" w:cs="Times New Roman" w:eastAsia="Times New Roman" w:hAnsi="Times New Roman"/>
        </w:rPr>
        <w:t xml:space="preserve"> (2nd ed.), Hoboken, NJ: Wiley.</w:t>
      </w:r>
    </w:p>
    <w:p>
      <w:pPr>
        <w:spacing w:after="0" w:before="0" w:line="480" w:lineRule="auto"/>
        <w:ind w:left="720" w:hanging="720"/>
      </w:pPr>
      <w:r>
        <w:rPr>
          <w:rFonts w:ascii="Times New Roman" w:cs="Times New Roman" w:eastAsia="Times New Roman" w:hAnsi="Times New Roman"/>
        </w:rPr>
        <w:t xml:space="preserve">Crawford, V. P., and Sobel, J. 1982. “Strategic Information Transmission,”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(50:6), pp. 1431-1451.</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Ge, Q., Kurov, A., and Wolfe, M. H. 2019. “Do Investors Care About Presidential Company-Specific Tweets?,” </w:t>
      </w:r>
      <w:r>
        <w:rPr>
          <w:rFonts w:ascii="Times New Roman" w:cs="Times New Roman" w:eastAsia="Times New Roman" w:hAnsi="Times New Roman"/>
          <w:i/>
          <w:iCs/>
        </w:rPr>
        <w:t xml:space="preserve">Journal of Financial Research</w:t>
      </w:r>
      <w:r>
        <w:rPr>
          <w:rFonts w:ascii="Times New Roman" w:cs="Times New Roman" w:eastAsia="Times New Roman" w:hAnsi="Times New Roman"/>
        </w:rPr>
        <w:t xml:space="preserve"> (42:2), pp. 213-242.</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Gürkaynak, R. S., Sack, B., and Swanson, E. 2005. “Do Actions Speak Louder Than Words? The Response of Asset Prices to Monetary Policy Actions and Statements,” </w:t>
      </w:r>
      <w:r>
        <w:rPr>
          <w:rFonts w:ascii="Times New Roman" w:cs="Times New Roman" w:eastAsia="Times New Roman" w:hAnsi="Times New Roman"/>
          <w:i/>
          <w:iCs/>
        </w:rPr>
        <w:t xml:space="preserve">International Journal of Central Banking</w:t>
      </w:r>
      <w:r>
        <w:rPr>
          <w:rFonts w:ascii="Times New Roman" w:cs="Times New Roman" w:eastAsia="Times New Roman" w:hAnsi="Times New Roman"/>
        </w:rPr>
        <w:t xml:space="preserve"> (1:1), pp. 55-93.</w:t>
      </w:r>
    </w:p>
    <w:p>
      <w:pPr>
        <w:spacing w:after="0" w:before="0" w:line="480" w:lineRule="auto"/>
        <w:ind w:left="720" w:hanging="720"/>
      </w:pPr>
      <w:r>
        <w:rPr>
          <w:rFonts w:ascii="Times New Roman" w:cs="Times New Roman" w:eastAsia="Times New Roman" w:hAnsi="Times New Roman"/>
        </w:rPr>
        <w:t xml:space="preserve">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(6:2), pp. 65-70.</w:t>
      </w:r>
    </w:p>
    <w:p>
      <w:pPr>
        <w:spacing w:after="0" w:before="0" w:line="480" w:lineRule="auto"/>
        <w:ind w:left="720" w:hanging="720"/>
      </w:pPr>
      <w:r>
        <w:rPr>
          <w:rFonts w:ascii="Times New Roman" w:cs="Times New Roman" w:eastAsia="Times New Roman" w:hAnsi="Times New Roman"/>
        </w:rPr>
        <w:t xml:space="preserve">Holthausen, R. W., and Verrecchia, R. E. 1988. “The Effect of Sequential Information Releases on the Variance of Price Changes in an Intertemporal Multi-Asset Market,”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(26:1), pp. 82-106.</w:t>
      </w:r>
    </w:p>
    <w:p>
      <w:pPr>
        <w:spacing w:after="0" w:before="0" w:line="480" w:lineRule="auto"/>
        <w:ind w:left="720" w:hanging="720"/>
      </w:pPr>
      <w:r>
        <w:rPr>
          <w:rFonts w:ascii="Times New Roman" w:cs="Times New Roman" w:eastAsia="Times New Roman" w:hAnsi="Times New Roman"/>
        </w:rPr>
        <w:t xml:space="preserve">Houweling, H. W., and Kuné, J. B. 1984. “Do Outbreaks of War Follow a Poisson-Process?,” </w:t>
      </w:r>
      <w:r>
        <w:rPr>
          <w:rFonts w:ascii="Times New Roman" w:cs="Times New Roman" w:eastAsia="Times New Roman" w:hAnsi="Times New Roman"/>
          <w:i/>
          <w:iCs/>
        </w:rPr>
        <w:t xml:space="preserve">Journal of Conflict Resolution</w:t>
      </w:r>
      <w:r>
        <w:rPr>
          <w:rFonts w:ascii="Times New Roman" w:cs="Times New Roman" w:eastAsia="Times New Roman" w:hAnsi="Times New Roman"/>
        </w:rPr>
        <w:t xml:space="preserve"> (28:1), pp. 51-61.</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Kamenica, E., and Gentzkow, M. 2011. “Bayesian Persuasion,”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(101:6), pp. 2590-2615.</w:t>
      </w:r>
    </w:p>
    <w:p>
      <w:pPr>
        <w:spacing w:after="0" w:before="0" w:line="480" w:lineRule="auto"/>
        <w:ind w:left="720" w:hanging="720"/>
      </w:pPr>
      <w:r>
        <w:rPr>
          <w:rFonts w:ascii="Times New Roman" w:cs="Times New Roman" w:eastAsia="Times New Roman" w:hAnsi="Times New Roman"/>
        </w:rPr>
        <w:t xml:space="preserve">Kim, O., and Verrecchia, R. E. 1991. “Trading Volume and Price Reactions to Public Announcements,”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(29:2), pp. 302-321.</w:t>
      </w:r>
    </w:p>
    <w:p>
      <w:pPr>
        <w:spacing w:after="0" w:before="0" w:line="480" w:lineRule="auto"/>
        <w:ind w:left="720" w:hanging="720"/>
      </w:pPr>
      <w:r>
        <w:rPr>
          <w:rFonts w:ascii="Times New Roman" w:cs="Times New Roman" w:eastAsia="Times New Roman" w:hAnsi="Times New Roman"/>
        </w:rPr>
        <w:t xml:space="preserve">Kullback, S., and Leibler, R. A. 1951. “On Information and Sufficiency,” </w:t>
      </w:r>
      <w:r>
        <w:rPr>
          <w:rFonts w:ascii="Times New Roman" w:cs="Times New Roman" w:eastAsia="Times New Roman" w:hAnsi="Times New Roman"/>
          <w:i/>
          <w:iCs/>
        </w:rPr>
        <w:t xml:space="preserve">Annals of Mathematical Statistics</w:t>
      </w:r>
      <w:r>
        <w:rPr>
          <w:rFonts w:ascii="Times New Roman" w:cs="Times New Roman" w:eastAsia="Times New Roman" w:hAnsi="Times New Roman"/>
        </w:rPr>
        <w:t xml:space="preserve"> (22:1), pp. 79-86.</w:t>
      </w:r>
    </w:p>
    <w:p>
      <w:pPr>
        <w:spacing w:after="0" w:before="0" w:line="480" w:lineRule="auto"/>
        <w:ind w:left="720" w:hanging="720"/>
      </w:pPr>
      <w:r>
        <w:rPr>
          <w:rFonts w:ascii="Times New Roman" w:cs="Times New Roman" w:eastAsia="Times New Roman" w:hAnsi="Times New Roman"/>
        </w:rPr>
        <w:t xml:space="preserve">Leetaru, K., and Schrodt, P. A. 2013. “GDELT: Global Data on Events, Location and Tone, 1979-2012,” paper presented at the International Studies Association Annual Convention, San Francisco, CA, April.</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Lewis, E., Mohler, G., Brantingham, P. J., and Bertozzi, A. L. 2012. “Self-Exciting Point Process Models of Civilian Deaths in Iraq,” </w:t>
      </w:r>
      <w:r>
        <w:rPr>
          <w:rFonts w:ascii="Times New Roman" w:cs="Times New Roman" w:eastAsia="Times New Roman" w:hAnsi="Times New Roman"/>
          <w:i/>
          <w:iCs/>
        </w:rPr>
        <w:t xml:space="preserve">Security Journal</w:t>
      </w:r>
      <w:r>
        <w:rPr>
          <w:rFonts w:ascii="Times New Roman" w:cs="Times New Roman" w:eastAsia="Times New Roman" w:hAnsi="Times New Roman"/>
        </w:rPr>
        <w:t xml:space="preserve"> (25:3), pp. 244-264.</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Nosek, B. A., Ebersole, C. R., DeHaven, A. C., and Mellor, D. T. 2018. “The Preregistration Revolution,”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(115:11), pp. 2600-2606.</w:t>
      </w:r>
    </w:p>
    <w:p>
      <w:pPr>
        <w:spacing w:after="0" w:before="0" w:line="480" w:lineRule="auto"/>
        <w:ind w:left="720" w:hanging="720"/>
      </w:pPr>
      <w:r>
        <w:rPr>
          <w:rFonts w:ascii="Times New Roman" w:cs="Times New Roman" w:eastAsia="Times New Roman" w:hAnsi="Times New Roman"/>
        </w:rPr>
        <w:t xml:space="preserve">Richardson, L. F. 1960. </w:t>
      </w:r>
      <w:r>
        <w:rPr>
          <w:rFonts w:ascii="Times New Roman" w:cs="Times New Roman" w:eastAsia="Times New Roman" w:hAnsi="Times New Roman"/>
          <w:i/>
          <w:iCs/>
        </w:rPr>
        <w:t xml:space="preserve">Statistics of Deadly Quarrels</w:t>
      </w:r>
      <w:r>
        <w:rPr>
          <w:rFonts w:ascii="Times New Roman" w:cs="Times New Roman" w:eastAsia="Times New Roman" w:hAnsi="Times New Roman"/>
        </w:rPr>
        <w:t xml:space="preserve">, Q. Wright and C. C. Lienau (eds.), Pittsburgh, PA: Boxwood Press.</w:t>
      </w:r>
    </w:p>
    <w:p>
      <w:pPr>
        <w:spacing w:after="0" w:before="0" w:line="480" w:lineRule="auto"/>
        <w:ind w:left="720" w:hanging="720"/>
      </w:pPr>
      <w:r>
        <w:rPr>
          <w:rFonts w:ascii="Times New Roman" w:cs="Times New Roman" w:eastAsia="Times New Roman" w:hAnsi="Times New Roman"/>
        </w:rPr>
        <w:t xml:space="preserve">Searle, J. R. 1969. </w:t>
      </w:r>
      <w:r>
        <w:rPr>
          <w:rFonts w:ascii="Times New Roman" w:cs="Times New Roman" w:eastAsia="Times New Roman" w:hAnsi="Times New Roman"/>
          <w:i/>
          <w:iCs/>
        </w:rPr>
        <w:t xml:space="preserve">Speech Acts: An Essay in the Philosophy of Language</w:t>
      </w:r>
      <w:r>
        <w:rPr>
          <w:rFonts w:ascii="Times New Roman" w:cs="Times New Roman" w:eastAsia="Times New Roman" w:hAnsi="Times New Roman"/>
        </w:rPr>
        <w:t xml:space="preserve">, Cambridge, UK: Cambridge University Press.</w:t>
      </w:r>
    </w:p>
    <w:p>
      <w:pPr>
        <w:spacing w:after="0" w:before="0" w:line="480" w:lineRule="auto"/>
        <w:ind w:left="720" w:hanging="720"/>
      </w:pPr>
      <w:r>
        <w:rPr>
          <w:rFonts w:ascii="Times New Roman" w:cs="Times New Roman" w:eastAsia="Times New Roman" w:hAnsi="Times New Roman"/>
        </w:rPr>
        <w:t xml:space="preserve">Shannon, C. E. 1948. “A Mathematical Theory of Communication,” </w:t>
      </w:r>
      <w:r>
        <w:rPr>
          <w:rFonts w:ascii="Times New Roman" w:cs="Times New Roman" w:eastAsia="Times New Roman" w:hAnsi="Times New Roman"/>
          <w:i/>
          <w:iCs/>
        </w:rPr>
        <w:t xml:space="preserve">Bell System Technical Journal</w:t>
      </w:r>
      <w:r>
        <w:rPr>
          <w:rFonts w:ascii="Times New Roman" w:cs="Times New Roman" w:eastAsia="Times New Roman" w:hAnsi="Times New Roman"/>
        </w:rPr>
        <w:t xml:space="preserve"> (27:3), pp. 379-423.</w:t>
      </w:r>
    </w:p>
    <w:p>
      <w:pPr>
        <w:spacing w:after="0" w:before="0" w:line="480" w:lineRule="auto"/>
        <w:ind w:left="720" w:hanging="720"/>
      </w:pPr>
      <w:r>
        <w:rPr>
          <w:rFonts w:ascii="Times New Roman" w:cs="Times New Roman" w:eastAsia="Times New Roman" w:hAnsi="Times New Roman"/>
        </w:rPr>
        <w:t xml:space="preserve">Sims, C. A. 2003. “Implications of Rational Inattention,” </w:t>
      </w:r>
      <w:r>
        <w:rPr>
          <w:rFonts w:ascii="Times New Roman" w:cs="Times New Roman" w:eastAsia="Times New Roman" w:hAnsi="Times New Roman"/>
          <w:i/>
          <w:iCs/>
        </w:rPr>
        <w:t xml:space="preserve">Journal of Monetary Economics</w:t>
      </w:r>
      <w:r>
        <w:rPr>
          <w:rFonts w:ascii="Times New Roman" w:cs="Times New Roman" w:eastAsia="Times New Roman" w:hAnsi="Times New Roman"/>
        </w:rPr>
        <w:t xml:space="preserve"> (50:3), pp. 665-690.</w:t>
      </w:r>
    </w:p>
    <w:p>
      <w:pPr>
        <w:spacing w:after="0" w:before="0" w:line="480" w:lineRule="auto"/>
        <w:ind w:left="720" w:hanging="720"/>
      </w:pPr>
      <w:r>
        <w:rPr>
          <w:rFonts w:ascii="Times New Roman" w:cs="Times New Roman" w:eastAsia="Times New Roman" w:hAnsi="Times New Roman"/>
        </w:rPr>
        <w:t xml:space="preserve">Tetlock, P. C. 2007. “Giving Content to Investor Sentiment: The Role of Media in the Stock Market,” </w:t>
      </w:r>
      <w:r>
        <w:rPr>
          <w:rFonts w:ascii="Times New Roman" w:cs="Times New Roman" w:eastAsia="Times New Roman" w:hAnsi="Times New Roman"/>
          <w:i/>
          <w:iCs/>
        </w:rPr>
        <w:t xml:space="preserve">Journal of Finance</w:t>
      </w:r>
      <w:r>
        <w:rPr>
          <w:rFonts w:ascii="Times New Roman" w:cs="Times New Roman" w:eastAsia="Times New Roman" w:hAnsi="Times New Roman"/>
        </w:rPr>
        <w:t xml:space="preserve"> (62:3), pp. 1139-1168.</w:t>
      </w:r>
    </w:p>
    <w:p>
      <w:pPr>
        <w:spacing w:after="0" w:before="0" w:line="480" w:lineRule="auto"/>
        <w:ind w:left="720" w:hanging="720"/>
      </w:pPr>
      <w:r>
        <w:rPr>
          <w:rFonts w:ascii="Times New Roman" w:cs="Times New Roman" w:eastAsia="Times New Roman" w:hAnsi="Times New Roman"/>
        </w:rPr>
        <w:t xml:space="preserve">Tetlock, P. C. 2011. “All the News That’s Fit to Reprint: Do Investors React to Stale Information?,”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(24:5), pp. 1481-1512.</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Analysis Plans, Status, and Outcomes</w:t>
      </w:r>
    </w:p>
    <w:p>
      <w:pPr>
        <w:spacing w:after="0" w:before="0" w:line="480" w:lineRule="auto"/>
        <w:ind w:firstLine="720"/>
      </w:pPr>
      <w:r>
        <w:rPr>
          <w:rFonts w:ascii="Times New Roman" w:cs="Times New Roman" w:eastAsia="Times New Roman" w:hAnsi="Times New Roman"/>
        </w:rPr>
        <w:t xml:space="preserve">The plans are files in the project repository, dated October 13 and 14, 2026, in the commit history; they are not independently time-stamped. Table A1 gives the status of each result in the main text, and Table A2 lists the plans with their outcomes. Labels such as H5a or H7b refer to hypotheses in the individual plans, and P1 to P7 are the propositions of Appendix F.</w:t>
      </w:r>
    </w:p>
    <w:p>
      <w:pPr>
        <w:keepNext/>
        <w:spacing w:after="120" w:before="240" w:line="240" w:lineRule="auto"/>
        <w:jc w:val="center"/>
      </w:pPr>
      <w:r>
        <w:rPr>
          <w:rFonts w:ascii="Times New Roman" w:cs="Times New Roman" w:eastAsia="Times New Roman" w:hAnsi="Times New Roman"/>
          <w:b/>
          <w:bCs/>
          <w:sz w:val="22"/>
          <w:szCs w:val="22"/>
        </w:rPr>
        <w:t xml:space="preserve">Table A1. Status of the Results Reported in the Main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4"/>
        <w:gridCol w:w="2251"/>
        <w:gridCol w:w="3555"/>
      </w:tblGrid>
      <w:tr>
        <w:trPr>
          <w:cantSplit/>
          <w:tblHeader/>
        </w:trPr>
        <w:tc>
          <w:tcPr>
            <w:tcW w:type="dxa" w:w="35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Result</w:t>
            </w:r>
          </w:p>
        </w:tc>
        <w:tc>
          <w:tcPr>
            <w:tcW w:type="dxa" w:w="225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Section</w:t>
            </w:r>
          </w:p>
        </w:tc>
        <w:tc>
          <w:tcPr>
            <w:tcW w:type="dxa" w:w="355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Status</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Posting overdispersed; follows volatile hours</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for dispersion; exploratory for the logit</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Model-labelled hourly co-movement; cross-asset responses</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first stage</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(headline arose from an amendment); Holm within assets; superseded by the human-label result</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κ</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validation</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Descriptive; round-2 and round-3 plans written before the labels returned</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codebook and label sets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the labels were produced</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Misclassification decomposition</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misclassification account</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Post hoc; accounting identity applied after the event-level split was known</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human-label direction, 5 and 30 minutes</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(primary sample redefined after round 2)</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 − pre excess at 30 minutes</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borderline in robustness</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Placebo and pre-post drift</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placebo data were analysed; applied to human labels after the sample was fixed</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Adjudication split; two-sided and day-clustered re-statement</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round-3 review, before computation</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 agreement, v3 labels, market result under v3</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 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(plan committed before the labels were seen); one deviation: a missing coder label is treated as casting no vote</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variants (Table 8)</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baseline was known; unadjusted</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P1–P3; P4</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not supported; P4 marginal</w:t>
            </w:r>
          </w:p>
        </w:tc>
      </w:tr>
      <w:tr>
        <w:trPr>
          <w:cantSplit/>
          <w:tblHeader w:val="off"/>
        </w:trPr>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Bayesian restatement of the propositions</w:t>
            </w:r>
          </w:p>
        </w:tc>
        <w:tc>
          <w:tcPr>
            <w:tcW w:type="dxa" w:w="225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F.1</w:t>
            </w:r>
          </w:p>
        </w:tc>
        <w:tc>
          <w:tcPr>
            <w:tcW w:type="dxa" w:w="35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Written after the tests; changes no result; the placebo-scaled test of P2 is proposed, not run</w:t>
            </w:r>
          </w:p>
        </w:tc>
      </w:tr>
      <w:tr>
        <w:trPr>
          <w:cantSplit/>
          <w:tblHeader w:val="off"/>
        </w:trPr>
        <w:tc>
          <w:tcPr>
            <w:tcW w:type="dxa" w:w="35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Appendices D and E</w:t>
            </w:r>
          </w:p>
        </w:tc>
        <w:tc>
          <w:tcPr>
            <w:tcW w:type="dxa" w:w="225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Appendices</w:t>
            </w:r>
          </w:p>
        </w:tc>
        <w:tc>
          <w:tcPr>
            <w:tcW w:type="dxa" w:w="355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or model-labelled</w:t>
            </w:r>
          </w:p>
        </w:tc>
      </w:tr>
    </w:tbl>
    <w:p>
      <w:pPr>
        <w:spacing w:after="240" w:before="0" w:line="240" w:lineRule="auto"/>
      </w:pPr>
    </w:p>
    <w:p>
      <w:pPr>
        <w:keepNext/>
        <w:spacing w:after="120" w:before="240" w:line="240" w:lineRule="auto"/>
        <w:jc w:val="center"/>
      </w:pPr>
      <w:r>
        <w:rPr>
          <w:rFonts w:ascii="Times New Roman" w:cs="Times New Roman" w:eastAsia="Times New Roman" w:hAnsi="Times New Roman"/>
          <w:b/>
          <w:bCs/>
          <w:sz w:val="22"/>
          <w:szCs w:val="22"/>
        </w:rPr>
        <w:t xml:space="preserve">Table A2. Ledger of Analysis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Block</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Plan</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poisson_posts/ANALYSIS_PLAN.md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conditionally Poisson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Weekly market tests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ANALYSIS_PLAN_MARKETS.md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Null</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Intraday core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De-escalation co-movement; none for escalation (exploratory after amendment)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Instrumental variables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ANALYSIS_PLAN_IV.md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Weak first stage (F = 2.8)</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Extension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ANALYSIS_PLAN_EXT.md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Coder-robust; partial pre-war replication; reversal for other oil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Binding constraint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THEORY_AND_PAPER_PLAN.md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Partly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Salience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THEORY_V2_SALIENCE.md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Habituation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THEORY_V3_HABITUATION.md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Underpowered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Content analysis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Five themes; four propositions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Held-out tests of propositions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ANALYSIS_PLAN_QUAL_TESTS.md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Pre-trend control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ANALYSIS_PLAN_PRETREND.md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Estimate unchanged; control uninformative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First source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ANALYSIS_PLAN_WIRE.md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 = 0.176)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timing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ANALYSIS_PLAN_5MIN.md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H5a, H5b supported for de-escalation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Matched-hour placebo (H5c) and anticipatory drift (H8)</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ANALYSIS_PLAN_H5C_H8.md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oil/Iran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twitter/ANALYSIS_PLAN_TWITTER.md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HI1–HI3 not supported (Holm p ≥ 0.45); H10 supported for escalation (p = 0.001), not for de-escalation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tariff/trade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twitter/ANALYSIS_PLAN_TARIFF.md (Amendment 1: P6/H12 state-dependent sign)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HI2 supported (Holm p &lt; 0.001; volatility caveat); HI1, HI3 not supported; H10 supported (small); H12 not supported, opposite sign (β = −0.097)</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H7 (human-labelled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H7a, H7b for de-escalation (one-sided p = 0.0002 and 0.030; two-sided p = 0.0003 and 0.059); escalation +0.48% (one-sided p = 0.007; two-sided p = 0.013)</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(round 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Round 1 κ 0.43–0.56; round 2 (61 war-period posts, adjudicated) κ 0.29, H6a supported, H6c 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Revision analyses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ANALYSIS_PLAN_REVISION.md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Revised primary not supported; robust inference supports; posting follows volatility</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Timing surprisal (P7)</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arrivals/ANALYSIS_PLAN_TIMING.md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(pooled β = +0.04 SD, p = 0.27; n = 685)</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 models and Musk account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none (descriptive; arrivals/RESULTS_ARRIVALS_MODELS.md)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 rejected; NB ≈ Poisson–lognormal; dynamic NB-INGARCH best in multi-year series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Event explanation of dispersion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arrivals/ANALYSIS_PLAN_EVENTS.md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Lagged GDELT conflict events significant in all six pairings but remove 9–25% of NB dispersion (never ≥ 50%); event series not Poisson; Calendar-week effects remove 66% (all Twitter)</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arrival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arrivals/ANALYSIS_PLAN_LLM_RELEASES.md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after trend (LR p = 0.0001); weekend share 4% vs 29% expected; geometric gaps 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stock reaction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arrivals/ANALYSIS_PLAN_LLM_STOCK.md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not supported (+0.40 pp, p = 0.55); magnitude larger than random windows (p = 0.008; Holm 0.015); n = 31</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Matched-account comparison (HA1–HA2)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arrivals/ANALYSIS_PLAN_ACCOUNTS.md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Registered, not run; data availability not established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Information-theoretic hypotheses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ANALYSIS_PLAN_INFO.md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P1–P3 not supported (p = 0.08, 0.07, 0.52); P4 marginal (p = 0.041; Holm over HI1–HI4 would give 0.16) and not counted as support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of the human-label headline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hf/ANALYSIS_PLAN_ROBUST_HEADLINE.md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robust in every variant; post − pre excess borderline and window-dependent (Table 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 adjudication split; same-sample placebo; two-sided and day-clustered re-statement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hf/ANALYSIS_PLAN_V2RELABEL.md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κ 0.48–0.51 under v2 (no improvement); escalation attenuated under all model label sets (human minus original model +0.31, p = 0.038; minus v2 majority +0.16, p = 0.27); 66% of escalation labels adjudicated (Tables 2, 3, 5)</w:t>
            </w:r>
          </w:p>
        </w:tc>
      </w:tr>
      <w:tr>
        <w:trPr>
          <w:cantSplit/>
          <w:tblHeader w:val="off"/>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hf/ANALYSIS_PLAN_THIRD_CODER.md</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Controls κ = 0.45 (reliable by the plan’s threshold of 0.40); 24 of 45 labels change; escalation class 41 → 28 posts; under v3, escalation +0.45% (n = 10; CI 0.01 to 0.90), de-escalation +0.94% (n = 32)</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Paths are relative to the anonymized repository.</w:t>
      </w:r>
    </w:p>
    <w:p>
      <w:pPr>
        <w:pStyle w:val="Heading1"/>
        <w:keepNext/>
        <w:spacing w:after="0" w:before="240" w:line="480" w:lineRule="auto"/>
        <w:jc w:val="center"/>
      </w:pPr>
      <w:r>
        <w:rPr>
          <w:rFonts w:ascii="Times New Roman" w:cs="Times New Roman" w:eastAsia="Times New Roman" w:hAnsi="Times New Roman"/>
          <w:b/>
          <w:bCs/>
        </w:rPr>
        <w:t xml:space="preserve">Appendix B. Coding Protocol</w:t>
      </w:r>
    </w:p>
    <w:p>
      <w:pPr>
        <w:spacing w:after="0" w:before="0" w:line="480" w:lineRule="auto"/>
        <w:ind w:firstLine="720"/>
      </w:pPr>
      <w:r>
        <w:rPr>
          <w:rFonts w:ascii="Times New Roman" w:cs="Times New Roman" w:eastAsia="Times New Roman" w:hAnsi="Times New Roman"/>
          <w:i/>
          <w:iCs/>
        </w:rPr>
        <w:t xml:space="preserve">B.1 Model labelling, first stage.</w:t>
      </w:r>
      <w:r>
        <w:rPr>
          <w:rFonts w:ascii="Times New Roman" w:cs="Times New Roman" w:eastAsia="Times New Roman" w:hAnsi="Times New Roman"/>
        </w:rPr>
        <w:t xml:space="preserve"> Two independent runs of claude-sonnet-5-5, run as sub-agents of the Claude Code agent (version 2.1.300) on October 14, 2026, with default sampling settings, each received only the text of a post, with no market data, time stamp, or other posts. Each returned a direction class (escalation, de-escalation, mixed, or other) and a type (action or rhetoric). Prompts, outputs, and the code that merges them are in the anonymized repository. The labels of the first run were adopted as primary in a dated amendment after a first pass with keyword classes proved misleading (the keyword “threat” class contained the principal de-escalation posts).</w:t>
      </w:r>
    </w:p>
    <w:p>
      <w:pPr>
        <w:spacing w:after="0" w:before="0" w:line="480" w:lineRule="auto"/>
        <w:ind w:firstLine="720"/>
      </w:pPr>
      <w:r>
        <w:rPr>
          <w:rFonts w:ascii="Times New Roman" w:cs="Times New Roman" w:eastAsia="Times New Roman" w:hAnsi="Times New Roman"/>
          <w:i/>
          <w:iCs/>
        </w:rPr>
        <w:t xml:space="preserve">B.2 Human coders.</w:t>
      </w:r>
      <w:r>
        <w:rPr>
          <w:rFonts w:ascii="Times New Roman" w:cs="Times New Roman" w:eastAsia="Times New Roman" w:hAnsi="Times New Roman"/>
        </w:rPr>
        <w:t xml:space="preserve"> Two coders, doctoral students in information systems, coded independently from a spreadsheet that contained the codebook and, for each item, only the post text. They were instructed to use only the text shown, not to look anything up or consult prices, not to discuss items with each other, and to code the post’s own stance (for a re-post or link, the stance of a quoted headline if clear, and otherwise “other”). Items appeared in a different random order for each coder in the second round, and each item received a confidence rating (1 = clear, 2 = somewhat unclear). The coders did not know the research question. The lead investigator adjudicated disagreements from the text alone, without market information; a post for which no resolution could be reached would have been excluded (in a sensitivity analysis, it would be treated as mixed). The independent third coder (see the Labels section) received the same instructions and a sheet with 60 items in random order, with no model or coder labels and no marker of the control items; adjudication by the investigator played no part in the v3 labels.</w:t>
      </w:r>
    </w:p>
    <w:p>
      <w:pPr>
        <w:spacing w:after="0" w:before="0" w:line="480" w:lineRule="auto"/>
        <w:ind w:firstLine="720"/>
      </w:pPr>
      <w:r>
        <w:rPr>
          <w:rFonts w:ascii="Times New Roman" w:cs="Times New Roman" w:eastAsia="Times New Roman" w:hAnsi="Times New Roman"/>
          <w:i/>
          <w:iCs/>
        </w:rPr>
        <w:t xml:space="preserve">B.3 Codebook v1 (first round; 150 posts from 2024 to 2026 matching keywords about Iran, oil, or oil-producing countries).</w:t>
      </w:r>
      <w:r>
        <w:rPr>
          <w:rFonts w:ascii="Times New Roman" w:cs="Times New Roman" w:eastAsia="Times New Roman" w:hAnsi="Times New Roman"/>
        </w:rPr>
        <w:t xml:space="preserve"> Exactly one class is assigned per post. ESC: the post raises the risk of military conflict or oil-supply disruption; it threatens, warns of, announces, or celebrates attacks, strikes, blockades, or destruction (for example, on Iran); it issues ultimatums; it announces new sanctions or secondary tariffs on oil buyers or oil-exporting countries, or threatens such countries or their energy infrastructure. DEESC: the post lowers that risk; it announces or hints at holding off, cancelling, or postponing strikes, or reports a ceasefire, progress toward a deal, memorandum, or agreement, talks, the reopening of routes (for example, the Strait of Hormuz), peace, sanctions relief, or higher oil production or lower oil prices through supply. MIXED: clear escalation and clear de-escalation in the same post (for example, “deal or we strike”). OTHER: the post is not about the military or diplomatic course of conflicts involving oil-producing countries or about oil supply; this includes polls, domestic politics, attacks on the media, tariffs on non-oil goods, unrelated mentions, and re-posts or links to others’ commentary without a clear stance.</w:t>
      </w:r>
    </w:p>
    <w:p>
      <w:pPr>
        <w:spacing w:after="0" w:before="0" w:line="480" w:lineRule="auto"/>
        <w:ind w:firstLine="720"/>
      </w:pPr>
      <w:r>
        <w:rPr>
          <w:rFonts w:ascii="Times New Roman" w:cs="Times New Roman" w:eastAsia="Times New Roman" w:hAnsi="Times New Roman"/>
          <w:i/>
          <w:iCs/>
        </w:rPr>
        <w:t xml:space="preserve">B.4 Codebook v2 (second and third rounds; 61 and 130 war-period posts).</w:t>
      </w:r>
      <w:r>
        <w:rPr>
          <w:rFonts w:ascii="Times New Roman" w:cs="Times New Roman" w:eastAsia="Times New Roman" w:hAnsi="Times New Roman"/>
        </w:rPr>
        <w:t xml:space="preserve"> The revision was written after the first round showed moderate agreement (κ = 0.51) and a dominant model error (a de-escalation label on unrelated posts). ESC now includes demands or conditions addressed to Iran that are backed by pressure (“Iran must …, or …”) and criticism that the other side is failing to agree, when no pause, concession, or progress is announced; it covers posts that raise or maintain the risk. DEESC requires an announced or clearly signalled pause, postponement, or cancellation of strikes, a ceasefire, an agreement or deal, progress in talks, the reopening of the strait or lifting of the blockade, sanctions relief, or other relief; a post that only describes terms or demands is not DEESC. MIXED requires a clear announcement of de-escalation together with a clear threat or escalation (“we will hold off, but if they do not sign we will strike”). OTHER covers domestic politics, attacks on the media or critics without a stance on the conflict, boasts without a stance on what happens next, polls, unrelated topics, and re-posts and bare links with no stated stance in the visible text; if the visible text quotes a headline with a clear stance, the stance of that headline is coded. Eighteen of the 61 second-round posts had been coded in the first round and provide a test–retest comparison. Codebook v2 was written after the investigators knew where the model had gone wrong, and it was fixed before the second- and third-round labels were returned. This is a researcher degree of freedom that Table 8 partly addresses by repeating the main result on posts on which the coders agreed before adjudication.</w:t>
      </w:r>
    </w:p>
    <w:p>
      <w:pPr>
        <w:spacing w:after="0" w:before="0" w:line="480" w:lineRule="auto"/>
        <w:ind w:firstLine="720"/>
      </w:pPr>
      <w:r>
        <w:rPr>
          <w:rFonts w:ascii="Times New Roman" w:cs="Times New Roman" w:eastAsia="Times New Roman" w:hAnsi="Times New Roman"/>
          <w:i/>
          <w:iCs/>
        </w:rPr>
        <w:t xml:space="preserve">B.5 Model re-labelling under codebook v2.</w:t>
      </w:r>
      <w:r>
        <w:rPr>
          <w:rFonts w:ascii="Times New Roman" w:cs="Times New Roman" w:eastAsia="Times New Roman" w:hAnsi="Times New Roman"/>
        </w:rPr>
        <w:t xml:space="preserve"> Four runs, using claude-opus-5-5 (run 1), claude-sonnet-5-5 (runs 2 and 4), and claude-haiku-5-5 (run 3), were run as sub-agents of the Claude Code agent (version 2.1.300) on October 14, 2026, with default sampling settings. Each received the text of codebook v2 exactly as the human coders saw it and the 191 post texts as the coders saw them, in a different random order per run, with no identifiers, times, prices, source labels, or earlier labels. Each wrote one class and a confidence rating per item to a file outside the repository, and each was instructed not to write keyword rules or open any other file. The runs were launched after the plan was committed. The “v2 majority” is the majority label of the four runs; ties (15 posts) were resolved by the label of the largest model (run 1).</w:t>
      </w:r>
    </w:p>
    <w:p>
      <w:pPr>
        <w:spacing w:after="0" w:before="0" w:line="480" w:lineRule="auto"/>
        <w:ind w:firstLine="720"/>
      </w:pPr>
      <w:r>
        <w:rPr>
          <w:rFonts w:ascii="Times New Roman" w:cs="Times New Roman" w:eastAsia="Times New Roman" w:hAnsi="Times New Roman"/>
          <w:i/>
          <w:iCs/>
        </w:rPr>
        <w:t xml:space="preserve">B.6 Content analysis for hypothesis generation (Appendix E.2).</w:t>
      </w:r>
      <w:r>
        <w:rPr>
          <w:rFonts w:ascii="Times New Roman" w:cs="Times New Roman" w:eastAsia="Times New Roman" w:hAnsi="Times New Roman"/>
        </w:rPr>
        <w:t xml:space="preserve"> A total of 136 posts were shuffled, stripped of labels and market data, and coded by two model-instance analysts; their codebooks were reconciled and fixed before reactions were attached.</w:t>
      </w:r>
    </w:p>
    <w:p>
      <w:pPr>
        <w:pStyle w:val="Heading1"/>
        <w:keepNext/>
        <w:spacing w:after="0" w:before="240" w:line="480" w:lineRule="auto"/>
        <w:jc w:val="center"/>
      </w:pPr>
      <w:r>
        <w:rPr>
          <w:rFonts w:ascii="Times New Roman" w:cs="Times New Roman" w:eastAsia="Times New Roman" w:hAnsi="Times New Roman"/>
          <w:b/>
          <w:bCs/>
        </w:rPr>
        <w:t xml:space="preserve">Appendix C. Human Validation, First Round</w:t>
      </w:r>
    </w:p>
    <w:p>
      <w:pPr>
        <w:spacing w:after="0" w:before="0" w:line="480" w:lineRule="auto"/>
        <w:ind w:firstLine="720"/>
      </w:pPr>
      <w:r>
        <w:rPr>
          <w:rFonts w:ascii="Times New Roman" w:cs="Times New Roman" w:eastAsia="Times New Roman" w:hAnsi="Times New Roman"/>
        </w:rPr>
        <w:t xml:space="preserve">Two human coders coded 150 posts independently from text only (67 war-period posts, 23 pre-war posts about Iran, and 60 other posts on oil geopolitics). Four-class κ is 0.51 between the humans and 0.74 between the two model runs; against the human consensus (97 posts), model 1 reaches 0.43 and model 2 reaches 0.56 (three-class: 0.48 and 0.59). Against the consensus, de-escalation precision is 0.52 for model 1 and 0.54 for model 2, with recall of 0.77 and 0.88. Of the 12 posts in the model-labelled tick-level de-escalation sample that fall in the first-round human sample, the human consensus is de-escalation for 3, escalation for 2, and other for 1, and there is no consensus for 6. In the second round (all 61 war-period signal posts, codebook v2; κ between humans 0.69; 13 disagreements adjudicated), the final human labels are 25 de-escalation, 11 escalation, 12 mixed, and 13 other, and model 1 agrees with them at κ = 0.29. On the 25 human-labelled de-escalation posts, the 30-minute directional return is 1.03% (p = 0.0015), and its excess over the preceding 30 minutes is 0.35% (p = 0.082).</w:t>
      </w:r>
    </w:p>
    <w:p>
      <w:pPr>
        <w:pStyle w:val="Heading1"/>
        <w:keepNext/>
        <w:spacing w:after="0" w:before="240" w:line="480" w:lineRule="auto"/>
        <w:jc w:val="center"/>
      </w:pPr>
      <w:r>
        <w:rPr>
          <w:rFonts w:ascii="Times New Roman" w:cs="Times New Roman" w:eastAsia="Times New Roman" w:hAnsi="Times New Roman"/>
          <w:b/>
          <w:bCs/>
        </w:rPr>
        <w:t xml:space="preserve">Appendix D. Exploratory Analyses of Arrival and Other Self-Timed Events</w:t>
      </w:r>
    </w:p>
    <w:p>
      <w:pPr>
        <w:spacing w:after="0" w:before="0" w:line="480" w:lineRule="auto"/>
        <w:ind w:firstLine="720"/>
      </w:pPr>
      <w:r>
        <w:rPr>
          <w:rFonts w:ascii="Times New Roman" w:cs="Times New Roman" w:eastAsia="Times New Roman" w:hAnsi="Times New Roman"/>
        </w:rPr>
        <w:t xml:space="preserve">These analyses were run after the main results were known. Their definitions were fixed in dated plans before the relevant data were downloaded or parsed (Table A2), but none of them is confirmatory.</w:t>
      </w:r>
    </w:p>
    <w:p>
      <w:pPr>
        <w:keepNext/>
        <w:spacing w:after="0" w:before="240" w:line="240" w:lineRule="auto"/>
        <w:jc w:val="center"/>
      </w:pPr>
      <w:r>
        <w:drawing>
          <wp:inline distT="0" distB="0" distL="0" distR="0">
            <wp:extent cx="5715000" cy="2219325"/>
            <wp:effectExtent t="0" r="0" b="0" l="0"/>
            <wp:docPr id="3" name="image3.png" descr="Figure D1. Arrival of Iran-Related Posts with Threat Terms (n = 108)" title="Figure D1. Arrival of Iran-Related Posts with Threat Terms (n =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D1. Arrival of Iran-Related Posts with Threat Terms (n = 108)</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Panel A: observed daily counts against Poisson and negative binomial fits. Panel B: weekly counts.</w:t>
      </w:r>
    </w:p>
    <w:p>
      <w:pPr>
        <w:spacing w:after="0" w:before="0" w:line="480" w:lineRule="auto"/>
        <w:ind w:firstLine="720"/>
      </w:pPr>
      <w:r>
        <w:rPr>
          <w:rFonts w:ascii="Times New Roman" w:cs="Times New Roman" w:eastAsia="Times New Roman" w:hAnsi="Times New Roman"/>
          <w:i/>
          <w:iCs/>
        </w:rPr>
        <w:t xml:space="preserve">D.1 Alternative arrival models and a second account.</w:t>
      </w:r>
      <w:r>
        <w:rPr>
          <w:rFonts w:ascii="Times New Roman" w:cs="Times New Roman" w:eastAsia="Times New Roman" w:hAnsi="Times New Roman"/>
        </w:rPr>
        <w:t xml:space="preserve"> The negative binomial, a Poisson–gamma mixture, is only one candidate model. Table D1 compares daily-count models by AIC for the Truth Social series, for the president’s 2017 to 2021 Twitter series (all original tweets and the two topic subsets of Appendix E), and for Elon Musk’s account as a second influential poster (a public third-party extract of 3,218 tweets from 2012 to 2017, whose completeness and time zone we could not verify). A homogeneous Poisson process is rejected in every series (ΔAIC between 150 and 3,700). The negative binomial and a Poisson–lognormal mixture fit about equally well (within roughly 13 AIC units), so the data do not favor a gamma over a lognormal mixing distribution. In the multi-year Twitter series, a dynamic negative binomial INGARCH(1,1) model, in which today’s rate depends on yesterday’s count and rate, is far better than every static mixture (ΔAIC 57 to 626); the 227-day Truth Social series is too short for this model, and the static negative binomial suffices. Waiting times follow no power law (the Pareto fit is worst in every series); the best fit is Weibull for all of the president’s tweets, gamma for the topic subsets, and lognormal for Truth Social and Musk (coefficients of variation 1.7 to 2.5). We read this as evidence that human posting is bursty and self-exciting, not that the pattern is specific to people whose words carry weight, because we have no comparison with ordinary accounts. A comparison with matched ordinary accounts has been specified but not run, because we have not established that data of sufficient quality exist.</w:t>
      </w:r>
    </w:p>
    <w:p>
      <w:pPr>
        <w:keepNext/>
        <w:spacing w:after="120" w:before="240" w:line="240" w:lineRule="auto"/>
        <w:jc w:val="center"/>
      </w:pPr>
      <w:r>
        <w:rPr>
          <w:rFonts w:ascii="Times New Roman" w:cs="Times New Roman" w:eastAsia="Times New Roman" w:hAnsi="Times New Roman"/>
          <w:b/>
          <w:bCs/>
          <w:sz w:val="22"/>
          <w:szCs w:val="22"/>
        </w:rPr>
        <w:t xml:space="preserve">Table D1. Alternative Models for the Arrival of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634"/>
        <w:gridCol w:w="1269"/>
        <w:gridCol w:w="1903"/>
        <w:gridCol w:w="1507"/>
        <w:gridCol w:w="1826"/>
      </w:tblGrid>
      <w:tr>
        <w:trPr>
          <w:cantSplit/>
          <w:tblHeader/>
        </w:trPr>
        <w:tc>
          <w:tcPr>
            <w:tcW w:type="dxa" w:w="22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Series</w:t>
            </w:r>
          </w:p>
        </w:tc>
        <w:tc>
          <w:tcPr>
            <w:tcW w:type="dxa" w:w="6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Days</w:t>
            </w:r>
          </w:p>
        </w:tc>
        <w:tc>
          <w:tcPr>
            <w:tcW w:type="dxa" w:w="12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Static NB (ΔAIC)</w:t>
            </w:r>
          </w:p>
        </w:tc>
        <w:tc>
          <w:tcPr>
            <w:tcW w:type="dxa" w:w="19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Poisson–lognormal (ΔAIC)</w:t>
            </w:r>
          </w:p>
        </w:tc>
        <w:tc>
          <w:tcPr>
            <w:tcW w:type="dxa" w:w="15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NB-INGARCH (ΔAIC)</w:t>
            </w:r>
          </w:p>
        </w:tc>
        <w:tc>
          <w:tcPr>
            <w:tcW w:type="dxa" w:w="18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Best waiting-time model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Truth Social 2026</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227</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 (collapses to NB)</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all original</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626</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Weibull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oil/Iran</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tariff/trade</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2012–17</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1,779</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238</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2016–17</w:t>
            </w:r>
          </w:p>
        </w:tc>
        <w:tc>
          <w:tcPr>
            <w:tcW w:type="dxa" w:w="6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638</w:t>
            </w:r>
          </w:p>
        </w:tc>
        <w:tc>
          <w:tcPr>
            <w:tcW w:type="dxa" w:w="12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59</w:t>
            </w:r>
          </w:p>
        </w:tc>
        <w:tc>
          <w:tcPr>
            <w:tcW w:type="dxa" w:w="19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66</w:t>
            </w:r>
          </w:p>
        </w:tc>
        <w:tc>
          <w:tcPr>
            <w:tcW w:type="dxa" w:w="15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ΔAIC relative to the best model in each row; the Poisson model has ΔAIC between 150 and 3,700 in every row. Descriptive, not pre-specified.</w:t>
      </w:r>
    </w:p>
    <w:p>
      <w:pPr>
        <w:spacing w:after="0" w:before="0" w:line="480" w:lineRule="auto"/>
        <w:ind w:firstLine="720"/>
      </w:pPr>
      <w:r>
        <w:rPr>
          <w:rFonts w:ascii="Times New Roman" w:cs="Times New Roman" w:eastAsia="Times New Roman" w:hAnsi="Times New Roman"/>
          <w:i/>
          <w:iCs/>
        </w:rPr>
        <w:t xml:space="preserve">D.2 Do external events explain the overdispersion?</w:t>
      </w:r>
      <w:r>
        <w:rPr>
          <w:rFonts w:ascii="Times New Roman" w:cs="Times New Roman" w:eastAsia="Times New Roman" w:hAnsi="Times New Roman"/>
        </w:rPr>
        <w:t xml:space="preserve"> If a head of state mostly reports external events and those events arrive as a Poisson process, posting would be overdispersed only because each event triggers several posts. The onsets of separate interstate wars are roughly Poisson at an annual scale (Richardson 1960; Clauset 2020), although this has been questioned (Houweling and Kuné 1984), and violent events within a war are usually modelled as self-exciting (Lewis et al. 2012). We tested the idea directly in an exploratory analysis whose definitions were fixed before the event counts were downloaded. We counted GDELT conflict events per day (Leetaru and Schrodt 2013) and added the previous day’s count, the average of the previous two to seven days, and total event volume to a negative binomial model of daily posts. The event terms are significant in all six pairings but remove only a small part of the dispersion: 9% for all Truth Social posts, 11% for tariff tweets, 17% to 20% for all tweets, and about 22% to 25% for oil and Iran posts; in no pairing do they remove half. Calendar-week fixed effects, by contrast, remove 66% of the dispersion of all tweets, so the overdispersion mostly reflects a slowly moving rate that daily conflict counts do not capture. The event series are themselves far from Poisson (variance-to-mean ratios of about 550 and 900 for Iran-related events; lag-1 autocorrelations of 0.85 and 0.96). Because these counts reflect media coverage, which the posts also influence, the tests do not identify causal direction, and the block-bootstrap intervals rest on only 100 resamples.</w:t>
      </w:r>
    </w:p>
    <w:p>
      <w:pPr>
        <w:spacing w:after="0" w:before="0" w:line="480" w:lineRule="auto"/>
        <w:ind w:firstLine="720"/>
      </w:pPr>
      <w:r>
        <w:rPr>
          <w:rFonts w:ascii="Times New Roman" w:cs="Times New Roman" w:eastAsia="Times New Roman" w:hAnsi="Times New Roman"/>
          <w:i/>
          <w:iCs/>
        </w:rPr>
        <w:t xml:space="preserve">D.3 Other actors who time their own events.</w:t>
      </w:r>
      <w:r>
        <w:rPr>
          <w:rFonts w:ascii="Times New Roman" w:cs="Times New Roman" w:eastAsia="Times New Roman" w:hAnsi="Times New Roman"/>
        </w:rPr>
        <w:t xml:space="preserve"> A head of state who announces a war and a company that releases a model both choose when the event occurs. If the pattern generalizes, the arrival of such events should not be Poisson, and markets should react more strongly on event days. We probed both questions using Wikipedia’s list of large language models (fetched on October 14, 2026; 187 rows with at least a month and 126 with a full date, nearly all from 2025 and 2026). The list is crowd-edited and selective, so the tests are descriptive. Monthly release counts remain overdispersed around a log trend (Pearson χ²/df = 1.7; negative binomial α = 0.25; likelihood-ratio p = 0.0001), and only 4% of the 125 releases with a full date since 2023 fell on a weekend, against 29% expected under a homogeneous process (χ² = 62.1, 6 df; Holm p &lt; 10⁻¹⁰). Individual developers release more regularly than a Poisson process (coefficients of variation 0.67 for Anthropic, 0.81 for OpenAI, and 1.12 for Google DeepMind), so the clustering appears only after pooling. For the 31 releases by listed developers, the mean abnormal return over the release day and the following trading day is 0.40 percentage points (SE 0.68; Wilcoxon p = 0.76), but the standardized absolute abnormal return is larger than in random two-day windows of the same firms (1.11 against 0.75; permutation p = 0.008; Holm p = 0.015). This magnitude effect without a direction shrinks by about 40% when three releases likely to coincide with other news are removed. The two settings agree that self-timed events do not arrive as a Poisson process, but they differ in the market response, and without a comparison group of externally caused events we do not claim a common market signature.</w:t>
      </w:r>
    </w:p>
    <w:p>
      <w:pPr>
        <w:pStyle w:val="Heading1"/>
        <w:keepNext/>
        <w:spacing w:after="0" w:before="240" w:line="480" w:lineRule="auto"/>
        <w:jc w:val="center"/>
      </w:pPr>
      <w:r>
        <w:rPr>
          <w:rFonts w:ascii="Times New Roman" w:cs="Times New Roman" w:eastAsia="Times New Roman" w:hAnsi="Times New Roman"/>
          <w:b/>
          <w:bCs/>
        </w:rPr>
        <w:t xml:space="preserve">Appendix E. Supplementary Analyses (Model-Labelled or Exploratory)</w:t>
      </w:r>
    </w:p>
    <w:p>
      <w:pPr>
        <w:spacing w:after="0" w:before="0" w:line="480" w:lineRule="auto"/>
        <w:ind w:firstLine="720"/>
      </w:pPr>
      <w:r>
        <w:rPr>
          <w:rFonts w:ascii="Times New Roman" w:cs="Times New Roman" w:eastAsia="Times New Roman" w:hAnsi="Times New Roman"/>
        </w:rPr>
        <w:t xml:space="preserve">The analyses in this appendix either use model labels that humans accept for only about half of the model-agreed signals, were generated from the cases they describe, or were run after the main results were known. They are not evidence for the account in Appendix F. In particular, the opposite signs of the oil responses in 2026 and in 2017 to 2021 are an unvalidated observation: the 2017 to 2021 oil sample has model labels only, and the pre-specified test of the proposition that would have explained the reversal (P6) failed in the opposite direction (E.5).</w:t>
      </w:r>
    </w:p>
    <w:p>
      <w:pPr>
        <w:keepNext/>
        <w:spacing w:after="0" w:before="240" w:line="240" w:lineRule="auto"/>
        <w:jc w:val="center"/>
      </w:pPr>
      <w:r>
        <w:drawing>
          <wp:inline distT="0" distB="0" distL="0" distR="0">
            <wp:extent cx="5715000" cy="2362200"/>
            <wp:effectExtent t="0" r="0" b="0" l="0"/>
            <wp:docPr id="4" name="image4.png" descr="Figure E1. WTI Path Around War-Period Posts, Model Labels (First Stage)" title="Figure E1. WTI Path Around War-Period Posts, Model Labels (Fir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E1. WTI Path Around War-Period Posts, Model Labels (First Stage)</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De-escalation n = 33; escalation n = 27 with complete windows. Panel A: mean ± 1 SE. Panel B: median.</w:t>
      </w:r>
    </w:p>
    <w:p>
      <w:pPr>
        <w:keepNext/>
        <w:spacing w:after="0" w:before="240" w:line="240" w:lineRule="auto"/>
        <w:jc w:val="center"/>
      </w:pPr>
      <w:r>
        <w:drawing>
          <wp:inline distT="0" distB="0" distL="0" distR="0">
            <wp:extent cx="5715000" cy="2952750"/>
            <wp:effectExtent t="0" r="0" b="0" l="0"/>
            <wp:docPr id="5" name="image5.png" descr="Figure E2. Directional WTI Return by Hour Relative to the Bar Containing the Post" title="Figure E2. Directional WTI Return by Hour Relative to the Bar Containing th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E2. Directional WTI Return by Hour Relative to the Bar Containing the Post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Model-labelled de-escalation posts, mean ± 1 SE; the hour before the post bar already carries 0.36%.</w:t>
      </w:r>
    </w:p>
    <w:p>
      <w:pPr>
        <w:spacing w:after="0" w:before="0" w:line="480" w:lineRule="auto"/>
        <w:ind w:firstLine="720"/>
      </w:pPr>
      <w:r>
        <w:rPr>
          <w:rFonts w:ascii="Times New Roman" w:cs="Times New Roman" w:eastAsia="Times New Roman" w:hAnsi="Times New Roman"/>
          <w:i/>
          <w:iCs/>
        </w:rPr>
        <w:t xml:space="preserve">E.1 Earlier pre-specified mechanisms.</w:t>
      </w:r>
      <w:r>
        <w:rPr>
          <w:rFonts w:ascii="Times New Roman" w:cs="Times New Roman" w:eastAsia="Times New Roman" w:hAnsi="Times New Roman"/>
        </w:rPr>
        <w:t xml:space="preserve"> Three mechanisms were pre-specified before the Bayesian account. Under the binding-constraint mechanism, oil de-escalation posts moved WTI by 1.40% during the war and by 0.01% before it (p = 0.014; Holm-adjusted 0.056), but the other three primary comparisons did not support the prediction (oil escalation p = 0.86; tariff escalation, opposite sign, p = 0.09; tariff relief, three pre-period posts). Under salience, the coefficient of log posts in the previous seven days is 0.045 in the hold-out topics (p = 0.44), and those topics show no hourly reaction at all. Habituation is −0.24 pooled in-sample (p = 0.036, exploratory) and −0.09 (SE 0.29) in the pre-specified 2022 to 2024 test, whose minimum detectable effect (0.82) is more than three times the in-sample estimate, so that test can neither confirm nor refute it. The difference between action and rhetoric posts was 0.56 points for oil (p = 0.12) and not significant when pooled (p = 0.20). Before the war, de-escalation posts about Iran show the same sign at about a quarter of the size, significant only for posts on which both coders agree (−0.62%, n = 8, p = 0.008); posts about monetary policy and non-tariff China matters show no hourly reaction, although the samples are too small to call this an absence of response.</w:t>
      </w:r>
    </w:p>
    <w:p>
      <w:pPr>
        <w:spacing w:after="0" w:before="0" w:line="480" w:lineRule="auto"/>
        <w:ind w:firstLine="720"/>
      </w:pPr>
      <w:r>
        <w:rPr>
          <w:rFonts w:ascii="Times New Roman" w:cs="Times New Roman" w:eastAsia="Times New Roman" w:hAnsi="Times New Roman"/>
          <w:i/>
          <w:iCs/>
        </w:rPr>
        <w:t xml:space="preserve">E.2 Content analysis for hypothesis generation.</w:t>
      </w:r>
      <w:r>
        <w:rPr>
          <w:rFonts w:ascii="Times New Roman" w:cs="Times New Roman" w:eastAsia="Times New Roman" w:hAnsi="Times New Roman"/>
        </w:rPr>
        <w:t xml:space="preserve"> To generate hypotheses about which posts were consequential, 136 posts were coded by two model-instance analysts (Appendix B.6), and 20 cases (the eight largest reactions, six moves opposite to the post’s direction, and six near-zero de-escalation posts) were compared with contemporaneous market-wire coverage collected without access to our reaction values. Because the analysts are model instances and no human interpreter was involved, we describe this as LLM-assisted content analysis for hypothesis generation, not as interpretive research. Post-level agreement on shared concepts ranged from κ = 0.37 (claims of agreement) and 0.42 (boasts) to 0.96 (amplification). Five themes were retained: pressure-then-pause cycles; concrete acts versus atmospheric statements; counterparty denial and partial retracement (after the March 23 postponement, the Iranian government denied that talks had taken place, and oil rebounded in the next session); posts that are themselves the first announcement of a decision (four of the eight largest reactions); and multi-causality (all 20 cases show other reported drivers, seven of which were not mentioned in market coverage). Two propositions derived from these themes were tested on held-out data and not supported: that re-posts and links produce no reaction while original posts do (difference −0.13 standard deviations; CI −0.57 to 0.31; minimum detectable effect 0.75), and that after-hours posts are better measured at the next open (−0.10 points, p = 0.63).</w:t>
      </w:r>
    </w:p>
    <w:p>
      <w:pPr>
        <w:spacing w:after="0" w:before="0" w:line="480" w:lineRule="auto"/>
        <w:ind w:firstLine="720"/>
      </w:pPr>
      <w:r>
        <w:rPr>
          <w:rFonts w:ascii="Times New Roman" w:cs="Times New Roman" w:eastAsia="Times New Roman" w:hAnsi="Times New Roman"/>
          <w:i/>
          <w:iCs/>
        </w:rPr>
        <w:t xml:space="preserve">E.3 Timing surprisal (P7), first source, and redundancy (P5).</w:t>
      </w:r>
      <w:r>
        <w:rPr>
          <w:rFonts w:ascii="Times New Roman" w:cs="Times New Roman" w:eastAsia="Times New Roman" w:hAnsi="Times New Roman"/>
        </w:rPr>
        <w:t xml:space="preserve"> For each post, we computed the surprisal of its waiting time under a lognormal predictive model fitted to the poster’s own gaps over the preceding 60 days, separately by trading-session bucket. Pooled over three tick-level samples, a one-standard-deviation increase in timing surprisal is associated with a 0.04 SD larger standardized reaction (SE 0.065; one-sided p = 0.27; n = 685), controlling for novelty, prior uncertainty, the preceding 30-minute reaction, the number of posts in the prior hour, session, and sample; the estimates are 0.08 for tariff tweets, −0.02 for oil tweets, and −0.01 for the 2026 posts (Holm p ≥ 0.60). The confidence interval (about −0.09 to 0.17 SD) excludes a medium effect but not a small one, so P7 is not supported. We also classified all 61 war-period signal posts by whether an outside public source had reported the decision earlier, with searchers seeing only the post’s time and text: 32 were first reported by the post, 14 by another source, 10 simultaneously, and 5 could not be determined. The mean directional reaction was 0.73% when the post came first and 0.04% when another source did (difference 0.70; permutation p = 0.176). Because “post first” means only that keyword search found no earlier report, the classification is an upper bound on how often the post came first. Redundancy (P5) was examined as the correlation between novelty and the number of same-topic posts in the previous 24 hours (−0.10, in the expected direction but uninformative).</w:t>
      </w:r>
    </w:p>
    <w:p>
      <w:pPr>
        <w:spacing w:after="0" w:before="0" w:line="480" w:lineRule="auto"/>
        <w:ind w:firstLine="720"/>
      </w:pPr>
      <w:r>
        <w:rPr>
          <w:rFonts w:ascii="Times New Roman" w:cs="Times New Roman" w:eastAsia="Times New Roman" w:hAnsi="Times New Roman"/>
          <w:i/>
          <w:iCs/>
        </w:rPr>
        <w:t xml:space="preserve">E.4 Twitter-era oil and Iran tweets (model labels).</w:t>
      </w:r>
      <w:r>
        <w:rPr>
          <w:rFonts w:ascii="Times New Roman" w:cs="Times New Roman" w:eastAsia="Times New Roman" w:hAnsi="Times New Roman"/>
        </w:rPr>
        <w:t xml:space="preserve"> We pre-specified a confirmatory analysis of the president’s original tweets from January 20, 2017, to January 8, 2021, that mention Iran, oil, OPEC, Saudi Arabia, or related energy terms (341 tweets; two model instances, κ = 0.77). After the three-hour cluster filter, 278 tweets remained, and 191 had a tick window. The outcome is the 30-minute absolute return scaled by the prior 60-day volatility, so the tests of P1 to P3 do not depend on any label. None is supported (novelty −0.27, SE 0.74; prior uncertainty 0.18, SE 0.18; interaction −0.37, SE 1.81; Holm-adjusted p = 1.00, 0.45, and 1.00). A lexical novelty measure registered as a robustness check is positive (1.14, SE 0.44; p = 0.005), but the plan designated the compression measure as the test, so we do not read the lexical result as confirmation. Among tweets that both model instances label escalation (n = 32), oil rose by 0.51% over 30 minutes (median 0.09%; one-sided Wilcoxon p = 0.001), with an excess over the preceding 30 minutes of 0.50 points (p = 0.010); de-escalation tweets (n = 11) show 0.18% (p = 0.22). This is the reverse of the 2026 pattern on model labels. A Bayesian account can accommodate the reversal, since a message is informative when it moves beliefs toward a state the market considers unlikely, but we had not pre-specified it and offer it only as a post hoc reading, tested as P6 in E.5. The standardized reaction is also larger in 2026 (1.39 against 0.84; exploratory permutation p = 0.002), a comparison confounded with the war.</w:t>
      </w:r>
    </w:p>
    <w:p>
      <w:pPr>
        <w:spacing w:after="0" w:before="0" w:line="480" w:lineRule="auto"/>
        <w:ind w:firstLine="720"/>
      </w:pPr>
      <w:r>
        <w:rPr>
          <w:rFonts w:ascii="Times New Roman" w:cs="Times New Roman" w:eastAsia="Times New Roman" w:hAnsi="Times New Roman"/>
          <w:i/>
          <w:iCs/>
        </w:rPr>
        <w:t xml:space="preserve">E.5 Tariff and trade tweets (model labels; state-dependent sign).</w:t>
      </w:r>
      <w:r>
        <w:rPr>
          <w:rFonts w:ascii="Times New Roman" w:cs="Times New Roman" w:eastAsia="Times New Roman" w:hAnsi="Times New Roman"/>
        </w:rPr>
        <w:t xml:space="preserve"> For the tariff, trade, and China tweets of 2017 to 2021 (937 original tweets; 632 after the cluster filter; 410 with an S&amp;P 500 tick window; two model instances, κ = 0.80), we registered the tests before any return was examined. The coefficient of prior uncertainty on the standardized reaction is 0.40 (SE 0.10; Holm-adjusted p = 0.0001), but because both the regressor and the outcome are scaled by long-run volatility, this is what volatility persistence predicts without any updating on the post (Appendix F). Novelty and the interaction are not supported. Among tweets with an agreed label, the S&amp;P 500 rose by 0.085% after de-escalation tweets (n = 70; one-sided p = 0.0007) and fell by 0.046% after escalation tweets (n = 50; p = 0.024). Human validation tells a different story. Two coders labelled 150 of these tweets (κ = 0.54; 44 disagreements adjudicated), and the model labels agree with the final human labels only weakly (κ = 0.39 and 0.34): of the 60 tweets that both models call escalation or de-escalation, humans assign the same label to 33, call 19 “other,” and reverse the sign of 8. On the human labels, the de-escalation response seen with model labels is not reproduced (−0.10%, n = 20; one-sided p = 0.49), and the escalation response is borderline (0.058%, n = 30; p = 0.069). A regime variable, computed from labels alone as the balance of escalatory and de-escalatory tweets over the preceding 30 days, was used to test P6, which predicts that a message running against the regime moves prices more than one continuing it. The coefficient is −0.097 (SE 0.032; one-sided p = 0.9987), the opposite of the prediction, and the human-labelled subset gives the same answer (−0.041, SE 0.079). P6 is not supported, and the reversal between the two oil samples carries no theoretical weight.</w:t>
      </w:r>
    </w:p>
    <w:p>
      <w:pPr>
        <w:pStyle w:val="Heading1"/>
        <w:keepNext/>
        <w:spacing w:after="0" w:before="240" w:line="480" w:lineRule="auto"/>
        <w:jc w:val="center"/>
      </w:pPr>
      <w:r>
        <w:rPr>
          <w:rFonts w:ascii="Times New Roman" w:cs="Times New Roman" w:eastAsia="Times New Roman" w:hAnsi="Times New Roman"/>
          <w:b/>
          <w:bCs/>
        </w:rPr>
        <w:t xml:space="preserve">Appendix F. Motivation from Bayesian Updating, and Tests</w:t>
      </w:r>
    </w:p>
    <w:p>
      <w:pPr>
        <w:spacing w:after="0" w:before="0" w:line="480" w:lineRule="auto"/>
        <w:ind w:firstLine="720"/>
      </w:pPr>
      <w:r>
        <w:rPr>
          <w:rFonts w:ascii="Times New Roman" w:cs="Times New Roman" w:eastAsia="Times New Roman" w:hAnsi="Times New Roman"/>
        </w:rPr>
        <w:t xml:space="preserve">These analyses motivated the study. We report them here because they do not bear on the labelling question. They use hourly signal posts selected with model labels, but their outcome is the size of the reaction, which does not depend on the label of direction. The tests have low power, and “not supported” means only that they could not detect an effect.</w:t>
      </w:r>
    </w:p>
    <w:p>
      <w:pPr>
        <w:spacing w:after="0" w:before="0" w:line="480" w:lineRule="auto"/>
        <w:ind w:firstLine="720"/>
      </w:pPr>
      <w:r>
        <w:rPr>
          <w:rFonts w:ascii="Times New Roman" w:cs="Times New Roman" w:eastAsia="Times New Roman" w:hAnsi="Times New Roman"/>
          <w:i/>
          <w:iCs/>
        </w:rPr>
        <w:t xml:space="preserve">F.1 Motivation and propositions.</w:t>
      </w:r>
      <w:r>
        <w:rPr>
          <w:rFonts w:ascii="Times New Roman" w:cs="Times New Roman" w:eastAsia="Times New Roman" w:hAnsi="Times New Roman"/>
        </w:rPr>
        <w:t xml:space="preserve"> When the author of a message is also the decision maker, the message may be the decision’s first public form (Austin 1962; Searle 1969). A platform lowers the cost of producing messages and removes the intermediaries that would otherwise filter or confirm them, so receivers must infer how reliable the channel is (Crawford and Sobel 1982; Kamenica and Gentzkow 2011). We first stated this in information-theoretic terms (Shannon 1948; Cover and Thomas 2006): a message that moves the market’s belief about a state from π to π′ conveys KL(π′ ‖ π) (Kullback and Leibler 1951). These quantities restate Bayesian updating, and the standard model of price reactions to public announcements (Kim and Verrecchia 1991) yields the same implications with its parameters explicit. Let V be the asset value implied by the state, with prior V ~ N(m, σ₀²) held by the market before the post. A post is a public signal y = V + ε, with ε ~ N(0, 1/s) independent of V, where the precision s captures how reliably the post reveals the decision. If the price equals the posterior mean, the price revision at the post is</w:t>
      </w:r>
    </w:p>
    <w:p>
      <w:pPr>
        <w:spacing w:after="0" w:before="0" w:line="480" w:lineRule="auto"/>
        <w:jc w:val="center"/>
      </w:pPr>
      <w:r>
        <w:rPr>
          <w:rFonts w:ascii="Times New Roman" w:cs="Times New Roman" w:eastAsia="Times New Roman" w:hAnsi="Times New Roman"/>
        </w:rPr>
        <w:t xml:space="preserve">ΔP = w · (y − m),   where w = s σ₀² / (1 + s σ₀²),     (F1)</w:t>
      </w:r>
    </w:p>
    <w:p>
      <w:pPr>
        <w:spacing w:after="0" w:before="0" w:line="480" w:lineRule="auto"/>
      </w:pPr>
      <w:r>
        <w:rPr>
          <w:rFonts w:ascii="Times New Roman" w:cs="Times New Roman" w:eastAsia="Times New Roman" w:hAnsi="Times New Roman"/>
        </w:rPr>
        <w:t xml:space="preserve">and its variance across posts is</w:t>
      </w:r>
    </w:p>
    <w:p>
      <w:pPr>
        <w:spacing w:after="0" w:before="0" w:line="480" w:lineRule="auto"/>
        <w:jc w:val="center"/>
      </w:pPr>
      <w:r>
        <w:rPr>
          <w:rFonts w:ascii="Times New Roman" w:cs="Times New Roman" w:eastAsia="Times New Roman" w:hAnsi="Times New Roman"/>
        </w:rPr>
        <w:t xml:space="preserve">Var(ΔP) = w · σ₀².     (F2)</w:t>
      </w:r>
    </w:p>
    <w:p>
      <w:pPr>
        <w:spacing w:after="0" w:before="0" w:line="480" w:lineRule="auto"/>
        <w:ind w:firstLine="720"/>
      </w:pPr>
      <w:r>
        <w:rPr>
          <w:rFonts w:ascii="Times New Roman" w:cs="Times New Roman" w:eastAsia="Times New Roman" w:hAnsi="Times New Roman"/>
        </w:rP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prior uncertainty σ₀² because w does (P2), and because the surprise is multiplied by w, its effect is larger when prior uncertainty is higher (P3). The reaction also increases in precision s, the reliability channel. The sign of ΔP is the sign of y − m, so a de-escalation post moves oil down only to the extent that the market had not already expected de-escalation, which is the logic of the state-dependent sign (P6). P4 states that the mutual information between post class and the direction of the subsequent price move is positive when prior uncertainty is high and close to zero otherwise, and P7 extends the surprise to the timing of a post. In this Gaussian case, the information-theoretic quantity is a function of the same terms, KL(π′ ‖ π) = ½[ΔP²/σ₀² − w − ln(1 − w)], which is large when the standardized revision is large and when w is large. The restatement therefore adds no prediction; it makes the parameters explicit and shows what each proxy has to measure.</w:t>
      </w:r>
    </w:p>
    <w:p>
      <w:pPr>
        <w:spacing w:after="0" w:before="0" w:line="480" w:lineRule="auto"/>
        <w:ind w:firstLine="720"/>
      </w:pPr>
      <w:r>
        <w:rPr>
          <w:rFonts w:ascii="Times New Roman" w:cs="Times New Roman" w:eastAsia="Times New Roman" w:hAnsi="Times New Roman"/>
        </w:rPr>
        <w:t xml:space="preserve">The proxies are crude. Prior uncertainty is measured as relative volatility, not as the prior variance σ₀² of beliefs about the strait, and novelty is a lexical measure computed on the poster’s own recent text, not on the market’s information set. We therefore treat failures as failures of these tests, not of the model, and we do not claim that the account organizes the evidence. The restatement also clarifies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What the model attributes to the post is w, the share of prior variance that the post resolves, which can be estimated as the ratio of the return variance at posts to that in comparable hours without a post. A test of P2 that is not confounded by volatility persistence would scale the post-window return by the volatility of matched placebo windows rather than by long-run volatility and ask whether the scaled reaction rises with prior uncertainty. We have not run this test; it is a design implication, not a result. Two further gaps remain. The novelty measure N_c measures the surprise y − m only if the market’s expectation m is formed from the poster’s recent messages, and the precision s has no proxy in our data.</w:t>
      </w:r>
    </w:p>
    <w:p>
      <w:pPr>
        <w:spacing w:after="0" w:before="0" w:line="480" w:lineRule="auto"/>
        <w:ind w:firstLine="720"/>
      </w:pPr>
      <w:r>
        <w:rPr>
          <w:rFonts w:ascii="Times New Roman" w:cs="Times New Roman" w:eastAsia="Times New Roman" w:hAnsi="Times New Roman"/>
          <w:i/>
          <w:iCs/>
        </w:rPr>
        <w:t xml:space="preserve">F.2 Measures.</w:t>
      </w:r>
      <w:r>
        <w:rPr>
          <w:rFonts w:ascii="Times New Roman" w:cs="Times New Roman" w:eastAsia="Times New Roman" w:hAnsi="Times New Roman"/>
        </w:rPr>
        <w:t xml:space="preserve"> Novelty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serves as a robustness check. Prior uncertainty U is the log ratio of the standard deviation of the previous 24 one-bar returns to that of the previous 300 in the post’s primary asset. Mutual information is estimated between post class (de-escalation, escalation, or none) and the sign of the two-hour return over all war-period bars, with a permutation null. Because U shares the long-run volatility denominator with |z|, a positive coefficient on U is also what volatility persistence predicts.</w:t>
      </w:r>
    </w:p>
    <w:p>
      <w:pPr>
        <w:spacing w:after="0" w:before="0" w:line="480" w:lineRule="auto"/>
        <w:ind w:firstLine="720"/>
      </w:pPr>
      <w:r>
        <w:rPr>
          <w:rFonts w:ascii="Times New Roman" w:cs="Times New Roman" w:eastAsia="Times New Roman" w:hAnsi="Times New Roman"/>
          <w:i/>
          <w:iCs/>
        </w:rPr>
        <w:t xml:space="preserve">F.3 Tests.</w:t>
      </w:r>
      <w:r>
        <w:rPr>
          <w:rFonts w:ascii="Times New Roman" w:cs="Times New Roman" w:eastAsia="Times New Roman" w:hAnsi="Times New Roman"/>
        </w:rPr>
        <w:t xml:space="preserve"> Table F1 reports the pre-specified tests on 271 hourly signal posts across four topics (oil 112, tariffs 74, Federal Reserve 47, China 38), with topic fixed effects and standard errors clustered by day; the outcome is |z|. The coefficients of novelty and prior uncertainty have the predicted sign in the 2026 sample and its replication, but none reaches p &lt; 0.05, and the interaction is absent. In the two 2017 to 2021 samples, novelty is negative or zero. With 271 posts, the standard error of the novelty coefficient is 0.56 against an estimate of 0.77, so effects below about 1.5 in these units cannot be excluded. The only coefficient that clears its threshold, prior uncertainty in the tariff tweets, is the one that volatility persistence predicts without any updating, and it did not appear in the oil samples. The mutual-information result, about one thousandth of a bit per hourly bar, is one of four tests in its plan family; a Holm adjustment over the four would give p = 0.16, and we do not count it as support.</w:t>
      </w:r>
    </w:p>
    <w:p>
      <w:pPr>
        <w:keepNext/>
        <w:spacing w:after="120" w:before="240" w:line="240" w:lineRule="auto"/>
        <w:jc w:val="center"/>
      </w:pPr>
      <w:r>
        <w:rPr>
          <w:rFonts w:ascii="Times New Roman" w:cs="Times New Roman" w:eastAsia="Times New Roman" w:hAnsi="Times New Roman"/>
          <w:b/>
          <w:bCs/>
          <w:sz w:val="22"/>
          <w:szCs w:val="22"/>
        </w:rPr>
        <w:t xml:space="preserve">Table F1. Pre-Specified Tests of the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8"/>
        <w:gridCol w:w="1931"/>
        <w:gridCol w:w="1114"/>
        <w:gridCol w:w="3567"/>
      </w:tblGrid>
      <w:tr>
        <w:trPr>
          <w:cantSplit/>
          <w:tblHeader/>
        </w:trPr>
        <w:tc>
          <w:tcPr>
            <w:tcW w:type="dxa" w:w="2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Proposition</w:t>
            </w:r>
          </w:p>
        </w:tc>
        <w:tc>
          <w:tcPr>
            <w:tcW w:type="dxa" w:w="19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w:t>
            </w:r>
          </w:p>
        </w:tc>
        <w:tc>
          <w:tcPr>
            <w:tcW w:type="dxa" w:w="111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One-sided p</w:t>
            </w:r>
          </w:p>
        </w:tc>
        <w:tc>
          <w:tcPr>
            <w:tcW w:type="dxa" w:w="3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Decision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novelty N_c, 2026 sample</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+0.77 (SE 0.56)</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same sign in all four topics</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2022–24 daily (n = 49)</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(SE 0.37)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sign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oil/Iran tweets (n = 191)</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−0.27 (SE 0.74)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tariff tweets (n = 410)</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−0.05 (SE 0.68)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prior uncertainty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(SE 0.20)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0.072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oil/Iran</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(SE 0.18)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(SE 0.10)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&lt; 0.001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Supported; confounded with volatility clustering</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N_c ×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 (SE 1.52)</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2017–21 oil/Iran;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−0.37 (1.81); +0.32 (0.97)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war</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0.0014 bits (null 0.0004)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Marginal; Holm over HI1–HI4 would give 0.16</w:t>
            </w:r>
          </w:p>
        </w:tc>
      </w:tr>
      <w:tr>
        <w:trPr>
          <w:cantSplit/>
          <w:tblHeader w:val="off"/>
        </w:trPr>
        <w:tc>
          <w:tcPr>
            <w:tcW w:type="dxa" w:w="2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pre-war</w:t>
            </w:r>
          </w:p>
        </w:tc>
        <w:tc>
          <w:tcPr>
            <w:tcW w:type="dxa" w:w="19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0.0003 bits (null 0.0002)</w:t>
            </w:r>
          </w:p>
        </w:tc>
        <w:tc>
          <w:tcPr>
            <w:tcW w:type="dxa" w:w="111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3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different from null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Analysis plans are listed in Table A2.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bea8f97cce1054746d8e74d29552a27acc5e19.png"/><Relationship Id="rId9" Type="http://schemas.openxmlformats.org/officeDocument/2006/relationships/image" Target="media/a3ef2da7db7169ac149a5c502fc52ce95a6bf835.png"/><Relationship Id="rId10" Type="http://schemas.openxmlformats.org/officeDocument/2006/relationships/image" Target="media/a06a6b5ed7e26bdc6f356fac00f68f31f8c22040.png"/><Relationship Id="rId11" Type="http://schemas.openxmlformats.org/officeDocument/2006/relationships/image" Target="media/4780fa26979f04e87e585156fd05db44f8cb1a9a.png"/><Relationship Id="rId12" Type="http://schemas.openxmlformats.org/officeDocument/2006/relationships/image" Target="media/24573b50938683eaa65237c7eb7f3012eb7767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2026-10-15T02:43:29.135Z</dcterms:created>
  <dcterms:modified xsi:type="dcterms:W3CDTF">2026-10-15T02:43:29.137Z</dcterms:modified>
</cp:coreProperties>
</file>

<file path=docProps/custom.xml><?xml version="1.0" encoding="utf-8"?>
<Properties xmlns="http://schemas.openxmlformats.org/officeDocument/2006/custom-properties" xmlns:vt="http://schemas.openxmlformats.org/officeDocument/2006/docPropsVTypes"/>
</file>