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(single</w:t>
      </w:r>
      <w:r>
        <w:t xml:space="preserve"> </w:t>
      </w:r>
      <w:r>
        <w:t xml:space="preserve">generator;</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245 matched papers generated by GPT-4o, we report three findings. First, human text is</w:t>
      </w:r>
      <w:r>
        <w:t xml:space="preserve"> </w:t>
      </w:r>
      <w:r>
        <w:rPr>
          <w:iCs/>
          <w:i/>
        </w:rPr>
        <w:t xml:space="preserve">not</w:t>
      </w:r>
      <w:r>
        <w:t xml:space="preserve"> </w:t>
      </w:r>
      <w:r>
        <w:t xml:space="preserve">Poisson: for punctuation events, 36–49% of documents reject the Poisson null because of over-dispersion, so the classical assumption cannot serve as a reference. Second, a single Poisson-distance index performs near chance (AUC 0.55), but a vector of event rates and dispersion indices separates human from GPT-4o text well (cross-validated AUC 0.99). Third, most of that discrimination comes from event</w:t>
      </w:r>
      <w:r>
        <w:t xml:space="preserve"> </w:t>
      </w:r>
      <w:r>
        <w:rPr>
          <w:iCs/>
          <w:i/>
        </w:rPr>
        <w:t xml:space="preserve">rates</w:t>
      </w:r>
      <w:r>
        <w:t xml:space="preserve"> </w:t>
      </w:r>
      <w:r>
        <w:t xml:space="preserve">(AUC 0.97), which reflect style; dispersion alone reaches 0.86, and this is the portion that speaks to the count-process idea. The screening step costs nothing per document and runs at about 170 documents per second on one CPU core. We discuss why these results are encouraging but not conclusive, and we are explicit about what this pilot does not test: other generators, adversarial editing, comparison with black-box metrics, and the effect on human reviewers.</w:t>
      </w:r>
    </w:p>
    <w:p>
      <w:pPr>
        <w:pStyle w:val="BodyText"/>
      </w:pPr>
      <w:r>
        <w:rPr>
          <w:bCs/>
          <w:b/>
        </w:rPr>
        <w:t xml:space="preserve">Keywords:</w:t>
      </w:r>
      <w:r>
        <w:t xml:space="preserve"> </w:t>
      </w:r>
      <w:r>
        <w:t xml:space="preserve">information quality, synthetic text detection, count data, dispersion, explainable analytics,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and the answer shapes everything that follows.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w:t>
      </w:r>
      <w:r>
        <w:t xml:space="preserve"> </w:t>
      </w:r>
      <w:r>
        <w:t xml:space="preserve">How well do Poisson-based quantities separate human from LLM-generated papers, and which part of the signal (rates or dispersion) carries the discrimination?</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fourth question concerns whether explainable statistical evidence improves the decisions of human reviewers. That question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28"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GPT-4o to write a paper on the same topic, given the original title and abstract, using one of three prompts of increasing detail. A single request yielded only about 800 words, too short for window-based analysis, so each paper was generated in four requests (introduction, methods, results, discussion and conclusion) and concatenated, yielding a median of about 2,750 words. The output file held 246 records for 245 distinct source papers (one source had been generated twice during testing); we kept one record per source, giving 245 synthetic papers, about 60% matched to medicine and 40% to computer science sources. Prompts were presented in a fixed random order, so the subset is random across fields. All synthetic papers passed the length requirement.</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78% of papers contain none.</w:t>
      </w:r>
    </w:p>
    <w:bookmarkEnd w:id="26"/>
    <w:bookmarkStart w:id="27" w:name="evaluation"/>
    <w:p>
      <w:pPr>
        <w:pStyle w:val="Heading2"/>
      </w:pPr>
      <w:r>
        <w:t xml:space="preserve">3.5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and the F1 score. The analysis code, prompts, and generated papers are in the project repository; the human papers can be re-collected with the included script.</w:t>
      </w:r>
    </w:p>
    <w:bookmarkEnd w:id="27"/>
    <w:bookmarkEnd w:id="28"/>
    <w:bookmarkStart w:id="35" w:name="results"/>
    <w:p>
      <w:pPr>
        <w:pStyle w:val="Heading1"/>
      </w:pPr>
      <w:r>
        <w:t xml:space="preserve">4. Results</w:t>
      </w:r>
    </w:p>
    <w:bookmarkStart w:id="32"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Dispersion of event counts (four 500-token windows per document). Index = variance / mean; 1 indicates Poisson behavior. Over-dispersed = Poisson null rejected at 5% against clustering.</w:t>
      </w:r>
    </w:p>
    <w:tbl>
      <w:tblPr>
        <w:tblStyle w:val="Table"/>
        <w:tblW w:type="pct" w:w="5000"/>
        <w:tblLook w:firstRow="1" w:lastRow="0" w:firstColumn="0" w:lastColumn="0" w:noHBand="0" w:noVBand="0" w:val="0020"/>
        <w:jc w:val="start"/>
        <w:tblCaption w:val="Table 1. Dispersion of event counts (four 500-token windows per document). Index = variance / mean; 1 indicates Poisson behavior. Over-dispersed = Poisson null rejected at 5% against clustering."/>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median index</w:t>
            </w:r>
          </w:p>
        </w:tc>
        <w:tc>
          <w:tcPr/>
          <w:p>
            <w:pPr>
              <w:pStyle w:val="Compact"/>
              <w:jc w:val="right"/>
            </w:pPr>
            <w:r>
              <w:t xml:space="preserve">Human: % over-dispersed</w:t>
            </w:r>
          </w:p>
        </w:tc>
        <w:tc>
          <w:tcPr/>
          <w:p>
            <w:pPr>
              <w:pStyle w:val="Compact"/>
              <w:jc w:val="right"/>
            </w:pPr>
            <w:r>
              <w:t xml:space="preserve">GPT-4o: median index</w:t>
            </w:r>
          </w:p>
        </w:tc>
        <w:tc>
          <w:tcPr/>
          <w:p>
            <w:pPr>
              <w:pStyle w:val="Compact"/>
              <w:jc w:val="right"/>
            </w:pPr>
            <w:r>
              <w:t xml:space="preserve">GPT-4o: % over-dispersed</w:t>
            </w:r>
          </w:p>
        </w:tc>
      </w:tr>
      <w:tr>
        <w:tc>
          <w:tcPr/>
          <w:p>
            <w:pPr>
              <w:pStyle w:val="Compact"/>
              <w:jc w:val="left"/>
            </w:pPr>
            <w:r>
              <w:t xml:space="preserve">Square brackets</w:t>
            </w:r>
          </w:p>
        </w:tc>
        <w:tc>
          <w:tcPr/>
          <w:p>
            <w:pPr>
              <w:pStyle w:val="Compact"/>
              <w:jc w:val="right"/>
            </w:pPr>
            <w:r>
              <w:t xml:space="preserve">2.53</w:t>
            </w:r>
          </w:p>
        </w:tc>
        <w:tc>
          <w:tcPr/>
          <w:p>
            <w:pPr>
              <w:pStyle w:val="Compact"/>
              <w:jc w:val="right"/>
            </w:pPr>
            <w:r>
              <w:t xml:space="preserve">48.8</w:t>
            </w:r>
          </w:p>
        </w:tc>
        <w:tc>
          <w:tcPr/>
          <w:p>
            <w:pPr>
              <w:pStyle w:val="Compact"/>
              <w:jc w:val="right"/>
            </w:pPr>
            <w:r>
              <w:t xml:space="preserve">1.33</w:t>
            </w:r>
          </w:p>
        </w:tc>
        <w:tc>
          <w:tcPr/>
          <w:p>
            <w:pPr>
              <w:pStyle w:val="Compact"/>
              <w:jc w:val="right"/>
            </w:pPr>
            <w:r>
              <w:t xml:space="preserve">36.4</w:t>
            </w:r>
          </w:p>
        </w:tc>
      </w:tr>
      <w:tr>
        <w:tc>
          <w:tcPr/>
          <w:p>
            <w:pPr>
              <w:pStyle w:val="Compact"/>
              <w:jc w:val="left"/>
            </w:pPr>
            <w:r>
              <w:t xml:space="preserve">Parentheses</w:t>
            </w:r>
          </w:p>
        </w:tc>
        <w:tc>
          <w:tcPr/>
          <w:p>
            <w:pPr>
              <w:pStyle w:val="Compact"/>
              <w:jc w:val="right"/>
            </w:pPr>
            <w:r>
              <w:t xml:space="preserve">2.22</w:t>
            </w:r>
          </w:p>
        </w:tc>
        <w:tc>
          <w:tcPr/>
          <w:p>
            <w:pPr>
              <w:pStyle w:val="Compact"/>
              <w:jc w:val="right"/>
            </w:pPr>
            <w:r>
              <w:t xml:space="preserve">42.2</w:t>
            </w:r>
          </w:p>
        </w:tc>
        <w:tc>
          <w:tcPr/>
          <w:p>
            <w:pPr>
              <w:pStyle w:val="Compact"/>
              <w:jc w:val="right"/>
            </w:pPr>
            <w:r>
              <w:t xml:space="preserve">1.78</w:t>
            </w:r>
          </w:p>
        </w:tc>
        <w:tc>
          <w:tcPr/>
          <w:p>
            <w:pPr>
              <w:pStyle w:val="Compact"/>
              <w:jc w:val="right"/>
            </w:pPr>
            <w:r>
              <w:t xml:space="preserve">28.6</w:t>
            </w:r>
          </w:p>
        </w:tc>
      </w:tr>
      <w:tr>
        <w:tc>
          <w:tcPr/>
          <w:p>
            <w:pPr>
              <w:pStyle w:val="Compact"/>
              <w:jc w:val="left"/>
            </w:pPr>
            <w:r>
              <w:t xml:space="preserve">Semicolons</w:t>
            </w:r>
          </w:p>
        </w:tc>
        <w:tc>
          <w:tcPr/>
          <w:p>
            <w:pPr>
              <w:pStyle w:val="Compact"/>
              <w:jc w:val="right"/>
            </w:pPr>
            <w:r>
              <w:t xml:space="preserve">2.00</w:t>
            </w:r>
          </w:p>
        </w:tc>
        <w:tc>
          <w:tcPr/>
          <w:p>
            <w:pPr>
              <w:pStyle w:val="Compact"/>
              <w:jc w:val="right"/>
            </w:pPr>
            <w:r>
              <w:t xml:space="preserve">36.2</w:t>
            </w:r>
          </w:p>
        </w:tc>
        <w:tc>
          <w:tcPr/>
          <w:p>
            <w:pPr>
              <w:pStyle w:val="Compact"/>
              <w:jc w:val="right"/>
            </w:pPr>
            <w:r>
              <w:t xml:space="preserve">1.00</w:t>
            </w:r>
          </w:p>
        </w:tc>
        <w:tc>
          <w:tcPr/>
          <w:p>
            <w:pPr>
              <w:pStyle w:val="Compact"/>
              <w:jc w:val="right"/>
            </w:pPr>
            <w:r>
              <w:t xml:space="preserve">12.4</w:t>
            </w:r>
          </w:p>
        </w:tc>
      </w:tr>
      <w:tr>
        <w:tc>
          <w:tcPr/>
          <w:p>
            <w:pPr>
              <w:pStyle w:val="Compact"/>
              <w:jc w:val="left"/>
            </w:pPr>
            <w:r>
              <w:t xml:space="preserve">Nominalizations</w:t>
            </w:r>
          </w:p>
        </w:tc>
        <w:tc>
          <w:tcPr/>
          <w:p>
            <w:pPr>
              <w:pStyle w:val="Compact"/>
              <w:jc w:val="right"/>
            </w:pPr>
            <w:r>
              <w:t xml:space="preserve">1.67</w:t>
            </w:r>
          </w:p>
        </w:tc>
        <w:tc>
          <w:tcPr/>
          <w:p>
            <w:pPr>
              <w:pStyle w:val="Compact"/>
              <w:jc w:val="right"/>
            </w:pPr>
            <w:r>
              <w:t xml:space="preserve">27.4</w:t>
            </w:r>
          </w:p>
        </w:tc>
        <w:tc>
          <w:tcPr/>
          <w:p>
            <w:pPr>
              <w:pStyle w:val="Compact"/>
              <w:jc w:val="right"/>
            </w:pPr>
            <w:r>
              <w:t xml:space="preserve">0.76</w:t>
            </w:r>
          </w:p>
        </w:tc>
        <w:tc>
          <w:tcPr/>
          <w:p>
            <w:pPr>
              <w:pStyle w:val="Compact"/>
              <w:jc w:val="right"/>
            </w:pPr>
            <w:r>
              <w:t xml:space="preserve">7.3</w:t>
            </w:r>
          </w:p>
        </w:tc>
      </w:tr>
      <w:tr>
        <w:tc>
          <w:tcPr/>
          <w:p>
            <w:pPr>
              <w:pStyle w:val="Compact"/>
              <w:jc w:val="left"/>
            </w:pPr>
            <w:r>
              <w:t xml:space="preserve">Quotation marks</w:t>
            </w:r>
          </w:p>
        </w:tc>
        <w:tc>
          <w:tcPr/>
          <w:p>
            <w:pPr>
              <w:pStyle w:val="Compact"/>
              <w:jc w:val="right"/>
            </w:pPr>
            <w:r>
              <w:t xml:space="preserve">1.30</w:t>
            </w:r>
          </w:p>
        </w:tc>
        <w:tc>
          <w:tcPr/>
          <w:p>
            <w:pPr>
              <w:pStyle w:val="Compact"/>
              <w:jc w:val="right"/>
            </w:pPr>
            <w:r>
              <w:t xml:space="preserve">24.4</w:t>
            </w:r>
          </w:p>
        </w:tc>
        <w:tc>
          <w:tcPr/>
          <w:p>
            <w:pPr>
              <w:pStyle w:val="Compact"/>
              <w:jc w:val="right"/>
            </w:pPr>
            <w:r>
              <w:t xml:space="preserve">3.00</w:t>
            </w:r>
          </w:p>
        </w:tc>
        <w:tc>
          <w:tcPr/>
          <w:p>
            <w:pPr>
              <w:pStyle w:val="Compact"/>
              <w:jc w:val="right"/>
            </w:pPr>
            <w:r>
              <w:t xml:space="preserve">60.0</w:t>
            </w:r>
          </w:p>
        </w:tc>
      </w:tr>
      <w:tr>
        <w:tc>
          <w:tcPr/>
          <w:p>
            <w:pPr>
              <w:pStyle w:val="Compact"/>
              <w:jc w:val="left"/>
            </w:pPr>
            <w:r>
              <w:t xml:space="preserve">Passive constructions</w:t>
            </w:r>
          </w:p>
        </w:tc>
        <w:tc>
          <w:tcPr/>
          <w:p>
            <w:pPr>
              <w:pStyle w:val="Compact"/>
              <w:jc w:val="right"/>
            </w:pPr>
            <w:r>
              <w:t xml:space="preserve">1.20</w:t>
            </w:r>
          </w:p>
        </w:tc>
        <w:tc>
          <w:tcPr/>
          <w:p>
            <w:pPr>
              <w:pStyle w:val="Compact"/>
              <w:jc w:val="right"/>
            </w:pPr>
            <w:r>
              <w:t xml:space="preserve">18.8</w:t>
            </w:r>
          </w:p>
        </w:tc>
        <w:tc>
          <w:tcPr/>
          <w:p>
            <w:pPr>
              <w:pStyle w:val="Compact"/>
              <w:jc w:val="right"/>
            </w:pPr>
            <w:r>
              <w:t xml:space="preserve">2.51</w:t>
            </w:r>
          </w:p>
        </w:tc>
        <w:tc>
          <w:tcPr/>
          <w:p>
            <w:pPr>
              <w:pStyle w:val="Compact"/>
              <w:jc w:val="right"/>
            </w:pPr>
            <w:r>
              <w:t xml:space="preserve">47.3</w:t>
            </w:r>
          </w:p>
        </w:tc>
      </w:tr>
      <w:tr>
        <w:tc>
          <w:tcPr/>
          <w:p>
            <w:pPr>
              <w:pStyle w:val="Compact"/>
              <w:jc w:val="left"/>
            </w:pPr>
            <w:r>
              <w:t xml:space="preserve">Discourse markers</w:t>
            </w:r>
          </w:p>
        </w:tc>
        <w:tc>
          <w:tcPr/>
          <w:p>
            <w:pPr>
              <w:pStyle w:val="Compact"/>
              <w:jc w:val="right"/>
            </w:pPr>
            <w:r>
              <w:t xml:space="preserve">1.00</w:t>
            </w:r>
          </w:p>
        </w:tc>
        <w:tc>
          <w:tcPr/>
          <w:p>
            <w:pPr>
              <w:pStyle w:val="Compact"/>
              <w:jc w:val="right"/>
            </w:pPr>
            <w:r>
              <w:t xml:space="preserve">6.2</w:t>
            </w:r>
          </w:p>
        </w:tc>
        <w:tc>
          <w:tcPr/>
          <w:p>
            <w:pPr>
              <w:pStyle w:val="Compact"/>
              <w:jc w:val="right"/>
            </w:pPr>
            <w:r>
              <w:t xml:space="preserve">1.11</w:t>
            </w:r>
          </w:p>
        </w:tc>
        <w:tc>
          <w:tcPr/>
          <w:p>
            <w:pPr>
              <w:pStyle w:val="Compact"/>
              <w:jc w:val="right"/>
            </w:pPr>
            <w:r>
              <w:t xml:space="preserve">7.8</w:t>
            </w:r>
          </w:p>
        </w:tc>
      </w:tr>
    </w:tbl>
    <w:p>
      <w:pPr>
        <w:pStyle w:val="BodyText"/>
      </w:pPr>
      <w:r>
        <w:t xml:space="preserve">GPT-4o text departs from human text in</w:t>
      </w:r>
      <w:r>
        <w:t xml:space="preserve"> </w:t>
      </w:r>
      <w:r>
        <w:rPr>
          <w:iCs/>
          <w:i/>
        </w:rPr>
        <w:t xml:space="preserve">both</w:t>
      </w:r>
      <w:r>
        <w:t xml:space="preserve"> </w:t>
      </w:r>
      <w:r>
        <w:t xml:space="preserve">directions, which argues against the simple story that machine text is uniformly</w:t>
      </w:r>
      <w:r>
        <w:t xml:space="preserve"> </w:t>
      </w:r>
      <w:r>
        <w:t xml:space="preserve">“</w:t>
      </w:r>
      <w:r>
        <w:t xml:space="preserve">too regular</w:t>
      </w:r>
      <w:r>
        <w:t xml:space="preserve">”</w:t>
      </w:r>
      <w:r>
        <w:t xml:space="preserve">. Nominalizations are less dispersed than in human text (median 0.76, i.e., more evenly spread), and semicolons and brackets are less clustered. Passive constructions and quotation marks show the opposite pattern: they are more dispersed in GPT-4o text (medians 2.51 and 3.00, against 1.20 and 1.30). Figure 1 shows the full distributions.</w:t>
      </w:r>
    </w:p>
    <w:p>
      <w:pPr>
        <w:pStyle w:val="CaptionedFigure"/>
      </w:pPr>
      <w:r>
        <w:drawing>
          <wp:inline>
            <wp:extent cx="5334000" cy="2489200"/>
            <wp:effectExtent b="0" l="0" r="0" t="0"/>
            <wp:docPr descr="Figure 1. Distribution of log2 dispersion indices by event. Dashed line: Poisson (index of 1). Square brackets for GPT-4o are degenerate because most synthetic papers contain none (index set to one by convention)." title="" id="30" name="Picture"/>
            <a:graphic>
              <a:graphicData uri="http://schemas.openxmlformats.org/drawingml/2006/picture">
                <pic:pic>
                  <pic:nvPicPr>
                    <pic:cNvPr descr="fig_dispersion.png" id="31" name="Picture"/>
                    <pic:cNvPicPr>
                      <a:picLocks noChangeArrowheads="1" noChangeAspect="1"/>
                    </pic:cNvPicPr>
                  </pic:nvPicPr>
                  <pic:blipFill>
                    <a:blip r:embed="rId2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 We could not separate the two with the present data.</w:t>
      </w:r>
    </w:p>
    <w:bookmarkEnd w:id="32"/>
    <w:bookmarkStart w:id="33" w:name="detection-rq2"/>
    <w:p>
      <w:pPr>
        <w:pStyle w:val="Heading2"/>
      </w:pPr>
      <w:r>
        <w:t xml:space="preserve">4.2 Detection (RQ2)</w:t>
      </w:r>
    </w:p>
    <w:p>
      <w:pPr>
        <w:pStyle w:val="FirstParagraph"/>
      </w:pPr>
      <w:r>
        <w:t xml:space="preserve">The single-index Poisson-Score performs close to chance (AUC 0.55). Treating its fourteen components as separate predictors changes the picture: logistic regression on rates and dispersion indices reaches a cross-validated AUC of 0.99 (F1 = 0.91). Table 2 decomposes this result.</w:t>
      </w:r>
    </w:p>
    <w:p>
      <w:pPr>
        <w:pStyle w:val="TableCaption"/>
      </w:pPr>
      <w:r>
        <w:t xml:space="preserve">Table 2. Cross-validated detection of GPT-4o-generated papers (n = 474 human, 245 synthetic; folds grouped by source paper). Field-specific columns compare human and synthetic papers within the same field.</w:t>
      </w:r>
    </w:p>
    <w:tbl>
      <w:tblPr>
        <w:tblStyle w:val="Table"/>
        <w:tblW w:type="auto" w:w="0"/>
        <w:tblLook w:firstRow="1" w:lastRow="0" w:firstColumn="0" w:lastColumn="0" w:noHBand="0" w:noVBand="0" w:val="0020"/>
        <w:jc w:val="start"/>
        <w:tblCaption w:val="Table 2. Cross-validated detection of GPT-4o-generated papers (n = 474 human, 245 synthetic; folds grouped by source paper). Field-specific columns compare human and synthetic papers within the same field."/>
      </w:tblPr>
      <w:tblGrid>
        <w:gridCol w:w="1980"/>
        <w:gridCol w:w="1980"/>
        <w:gridCol w:w="1980"/>
        <w:gridCol w:w="1980"/>
      </w:tblGrid>
      <w:tr>
        <w:trPr>
          <w:tblHeader w:val="true"/>
        </w:trPr>
        <w:tc>
          <w:tcPr/>
          <w:p>
            <w:pPr>
              <w:pStyle w:val="Compact"/>
              <w:jc w:val="left"/>
            </w:pPr>
            <w:r>
              <w:t xml:space="preserve">Feature set</w:t>
            </w:r>
          </w:p>
        </w:tc>
        <w:tc>
          <w:tcPr/>
          <w:p>
            <w:pPr>
              <w:pStyle w:val="Compact"/>
              <w:jc w:val="right"/>
            </w:pPr>
            <w:r>
              <w:t xml:space="preserve">AUC</w:t>
            </w:r>
          </w:p>
        </w:tc>
        <w:tc>
          <w:tcPr/>
          <w:p>
            <w:pPr>
              <w:pStyle w:val="Compact"/>
              <w:jc w:val="right"/>
            </w:pPr>
            <w:r>
              <w:t xml:space="preserve">Medicine only</w:t>
            </w:r>
          </w:p>
        </w:tc>
        <w:tc>
          <w:tcPr/>
          <w:p>
            <w:pPr>
              <w:pStyle w:val="Compact"/>
              <w:jc w:val="right"/>
            </w:pPr>
            <w:r>
              <w:t xml:space="preserve">Computer science only</w:t>
            </w:r>
          </w:p>
        </w:tc>
      </w:tr>
      <w:tr>
        <w:tc>
          <w:tcPr/>
          <w:p>
            <w:pPr>
              <w:pStyle w:val="Compact"/>
              <w:jc w:val="left"/>
            </w:pPr>
            <w:r>
              <w:t xml:space="preserve">Rates only</w:t>
            </w:r>
          </w:p>
        </w:tc>
        <w:tc>
          <w:tcPr/>
          <w:p>
            <w:pPr>
              <w:pStyle w:val="Compact"/>
              <w:jc w:val="right"/>
            </w:pPr>
            <w:r>
              <w:t xml:space="preserve">0.969</w:t>
            </w:r>
          </w:p>
        </w:tc>
        <w:tc>
          <w:tcPr/>
          <w:p>
            <w:pPr>
              <w:pStyle w:val="Compact"/>
              <w:jc w:val="right"/>
            </w:pPr>
            <w:r>
              <w:t xml:space="preserve">0.960</w:t>
            </w:r>
          </w:p>
        </w:tc>
        <w:tc>
          <w:tcPr/>
          <w:p>
            <w:pPr>
              <w:pStyle w:val="Compact"/>
              <w:jc w:val="right"/>
            </w:pPr>
            <w:r>
              <w:t xml:space="preserve">0.986</w:t>
            </w:r>
          </w:p>
        </w:tc>
      </w:tr>
      <w:tr>
        <w:tc>
          <w:tcPr/>
          <w:p>
            <w:pPr>
              <w:pStyle w:val="Compact"/>
              <w:jc w:val="left"/>
            </w:pPr>
            <w:r>
              <w:t xml:space="preserve">Dispersion indices only</w:t>
            </w:r>
          </w:p>
        </w:tc>
        <w:tc>
          <w:tcPr/>
          <w:p>
            <w:pPr>
              <w:pStyle w:val="Compact"/>
              <w:jc w:val="right"/>
            </w:pPr>
            <w:r>
              <w:t xml:space="preserve">0.860</w:t>
            </w:r>
          </w:p>
        </w:tc>
        <w:tc>
          <w:tcPr/>
          <w:p>
            <w:pPr>
              <w:pStyle w:val="Compact"/>
              <w:jc w:val="right"/>
            </w:pPr>
            <w:r>
              <w:t xml:space="preserve">0.871</w:t>
            </w:r>
          </w:p>
        </w:tc>
        <w:tc>
          <w:tcPr/>
          <w:p>
            <w:pPr>
              <w:pStyle w:val="Compact"/>
              <w:jc w:val="right"/>
            </w:pPr>
            <w:r>
              <w:t xml:space="preserve">0.825</w:t>
            </w:r>
          </w:p>
        </w:tc>
      </w:tr>
      <w:tr>
        <w:tc>
          <w:tcPr/>
          <w:p>
            <w:pPr>
              <w:pStyle w:val="Compact"/>
              <w:jc w:val="left"/>
            </w:pPr>
            <w:r>
              <w:t xml:space="preserve">Rates and dispersion</w:t>
            </w:r>
          </w:p>
        </w:tc>
        <w:tc>
          <w:tcPr/>
          <w:p>
            <w:pPr>
              <w:pStyle w:val="Compact"/>
              <w:jc w:val="right"/>
            </w:pPr>
            <w:r>
              <w:t xml:space="preserve">0.987</w:t>
            </w:r>
          </w:p>
        </w:tc>
        <w:tc>
          <w:tcPr/>
          <w:p>
            <w:pPr>
              <w:pStyle w:val="Compact"/>
              <w:jc w:val="right"/>
            </w:pPr>
            <w:r>
              <w:t xml:space="preserve">0.983</w:t>
            </w:r>
          </w:p>
        </w:tc>
        <w:tc>
          <w:tcPr/>
          <w:p>
            <w:pPr>
              <w:pStyle w:val="Compact"/>
              <w:jc w:val="right"/>
            </w:pPr>
            <w:r>
              <w:t xml:space="preserve">0.984</w:t>
            </w:r>
          </w:p>
        </w:tc>
      </w:tr>
      <w:tr>
        <w:tc>
          <w:tcPr/>
          <w:p>
            <w:pPr>
              <w:pStyle w:val="Compact"/>
              <w:jc w:val="left"/>
            </w:pPr>
            <w:r>
              <w:t xml:space="preserve">Poisson-Score (single index)</w:t>
            </w:r>
          </w:p>
        </w:tc>
        <w:tc>
          <w:tcPr/>
          <w:p>
            <w:pPr>
              <w:pStyle w:val="Compact"/>
              <w:jc w:val="right"/>
            </w:pPr>
            <w:r>
              <w:t xml:space="preserve">0.546</w:t>
            </w:r>
          </w:p>
        </w:tc>
        <w:tc>
          <w:tcPr/>
          <w:p>
            <w:pPr>
              <w:pStyle w:val="Compact"/>
              <w:jc w:val="right"/>
            </w:pPr>
            <w:r>
              <w:t xml:space="preserve">—</w:t>
            </w:r>
          </w:p>
        </w:tc>
        <w:tc>
          <w:tcPr/>
          <w:p>
            <w:pPr>
              <w:pStyle w:val="Compact"/>
              <w:jc w:val="right"/>
            </w:pPr>
            <w:r>
              <w:t xml:space="preserve">—</w:t>
            </w:r>
          </w:p>
        </w:tc>
      </w:tr>
    </w:tbl>
    <w:p>
      <w:pPr>
        <w:pStyle w:val="BodyText"/>
      </w:pPr>
      <w:r>
        <w:t xml:space="preserve">Two readings follow. First, the strongest signal is in event</w:t>
      </w:r>
      <w:r>
        <w:t xml:space="preserve"> </w:t>
      </w:r>
      <w:r>
        <w:rPr>
          <w:iCs/>
          <w:i/>
        </w:rPr>
        <w:t xml:space="preserve">rates</w:t>
      </w:r>
      <w:r>
        <w:t xml:space="preserve">. GPT-4o text uses far fewer square brackets (0.21 per 500 tokens, against 4.46 in human text), semicolons (0.51 against 1.95), and quotation marks (0.53 against 0.95), and substantially more nominalizations (34.1 against 24.4) and discourse markers (2.38 against 1.84). These are stylistic differences and do not depend on the Poisson framing. Part of the gap may reflect how the model was prompted: our prompts asked for in-text citations, and a model that writes author–year citations would use few square brackets, whereas many PubMed Central articles cite with bracketed numbers. We did not examine citation style directly, so this explanation is a hypothesis, and a different prompt could shift these rates.</w:t>
      </w:r>
    </w:p>
    <w:p>
      <w:pPr>
        <w:pStyle w:val="BodyText"/>
      </w:pPr>
      <w:r>
        <w:t xml:space="preserve">Second, dispersion alone still discriminates well (AUC 0.86; 0.83–0.87 within field). This is the evidence most relevant to the count-process idea, because it does not rely on average event frequency. Differences between fields were small, which suggests the result is not driven by field composition alone.</w:t>
      </w:r>
    </w:p>
    <w:bookmarkEnd w:id="33"/>
    <w:bookmarkStart w:id="34" w:name="cost-rq3"/>
    <w:p>
      <w:pPr>
        <w:pStyle w:val="Heading2"/>
      </w:pPr>
      <w:r>
        <w:t xml:space="preserve">4.3 Cost (RQ3)</w:t>
      </w:r>
    </w:p>
    <w:p>
      <w:pPr>
        <w:pStyle w:val="FirstParagraph"/>
      </w:pPr>
      <w:r>
        <w:t xml:space="preserve">Computing all events and indices took 0.006 seconds per document on one CPU core (about 170 documents per second) with no external service calls, so the marginal monetary cost is zero. For context on the</w:t>
      </w:r>
      <w:r>
        <w:t xml:space="preserve"> </w:t>
      </w:r>
      <w:r>
        <w:rPr>
          <w:iCs/>
          <w:i/>
        </w:rPr>
        <w:t xml:space="preserve">generation</w:t>
      </w:r>
      <w:r>
        <w:t xml:space="preserve"> </w:t>
      </w:r>
      <w:r>
        <w:t xml:space="preserve">side, producing one paper through four requests cost about US$0.04 and 38 seconds on average through a commercial API gateway. We did not run an LLM-as-a-judge baseline, so we cannot report a measured cost or latency ratio between the two screening methods; any such comparison would depend on the judge model, prompt length, and pricing at the time, and we leave it to future work.</w:t>
      </w:r>
    </w:p>
    <w:bookmarkEnd w:id="34"/>
    <w:bookmarkEnd w:id="35"/>
    <w:bookmarkStart w:id="36" w:name="discussion"/>
    <w:p>
      <w:pPr>
        <w:pStyle w:val="Heading1"/>
      </w:pPr>
      <w:r>
        <w:t xml:space="preserve">5. Discussion</w:t>
      </w:r>
    </w:p>
    <w:p>
      <w:pPr>
        <w:pStyle w:val="FirstParagraph"/>
      </w:pPr>
      <w:r>
        <w:t xml:space="preserve">The headline lesson is that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What does work is a richer description that includes both how often events occur and how clustered they are, compared against empirical human distributions rather than a theoretical benchmark. In effect, the Poisson model is useful here as a yardstick for describing departures (dispersion indices), not as a null hypothesis that human writing satisfies.</w:t>
      </w:r>
    </w:p>
    <w:p>
      <w:pPr>
        <w:pStyle w:val="BodyText"/>
      </w:pPr>
      <w:r>
        <w:t xml:space="preserve">For practitioners, two implications stand out. A screening layer based on these features would be extremely cheap and its outputs interpretable in plain terms:</w:t>
      </w:r>
      <w:r>
        <w:t xml:space="preserve"> </w:t>
      </w:r>
      <w:r>
        <w:t xml:space="preserve">“</w:t>
      </w:r>
      <w:r>
        <w:t xml:space="preserve">this paper has almost no bracketed citations, and its passive constructions are unusually clustered.</w:t>
      </w:r>
      <w:r>
        <w:t xml:space="preserve">”</w:t>
      </w:r>
      <w:r>
        <w:t xml:space="preserve"> </w:t>
      </w:r>
      <w:r>
        <w:t xml:space="preserve">That kind of statement can be shown to an author or editor. Second, the large role of rates suggests that a detector of this type is likely to be sensitive to prompting and to the citation conventions of a field, so it should be calibrated per venue and refreshed as models change.</w:t>
      </w:r>
    </w:p>
    <w:p>
      <w:pPr>
        <w:pStyle w:val="BodyText"/>
      </w:pPr>
      <w:r>
        <w:t xml:space="preserve">For research, the within-field dispersion result is the more interesting one. If dispersion carries signal beyond average frequency, then count-process descriptions of text deserve more attention than the single-metric approaches currently dominating the literature. The mixed directions in Table 1 also suggest that future work should model events separately rather than assume machine text is uniformly more regular.</w:t>
      </w:r>
    </w:p>
    <w:bookmarkEnd w:id="36"/>
    <w:bookmarkStart w:id="37"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One generator.</w:t>
      </w:r>
      <w:r>
        <w:t xml:space="preserve"> </w:t>
      </w:r>
      <w:r>
        <w:t xml:space="preserve">All synthetic text comes from GPT-4o. We cannot say whether the findings hold for other models or for newer versions. A held-out generator is the most important next test.</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 Our within-field comparison reduces but does not remove this concern.</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No black-box baselines and no reviewer experiment.</w:t>
      </w:r>
      <w:r>
        <w:t xml:space="preserve"> </w:t>
      </w:r>
      <w:r>
        <w:t xml:space="preserve">We did not compare against LLM-as-a-judge, MAUVE, or BERTScore, and we did not test whether explainable evidence improves human decisions. Claims about relative advantage over those methods are therefore not supported by this study.</w:t>
      </w:r>
    </w:p>
    <w:p>
      <w:pPr>
        <w:numPr>
          <w:ilvl w:val="0"/>
          <w:numId w:val="1002"/>
        </w:numPr>
        <w:pStyle w:val="Compact"/>
      </w:pPr>
      <w:r>
        <w:rPr>
          <w:bCs/>
          <w:b/>
        </w:rPr>
        <w:t xml:space="preserve">Scale.</w:t>
      </w:r>
      <w:r>
        <w:t xml:space="preserve"> </w:t>
      </w:r>
      <w:r>
        <w:t xml:space="preserve">The planned benchmark was larger and used several generators. This pilot has 719 documents in total.</w:t>
      </w:r>
    </w:p>
    <w:bookmarkEnd w:id="37"/>
    <w:bookmarkStart w:id="38" w:name="planned-extensions"/>
    <w:p>
      <w:pPr>
        <w:pStyle w:val="Heading1"/>
      </w:pPr>
      <w:r>
        <w:t xml:space="preserve">7. Planned Extensions</w:t>
      </w:r>
    </w:p>
    <w:p>
      <w:pPr>
        <w:pStyle w:val="FirstParagraph"/>
      </w:pPr>
      <w:r>
        <w:t xml:space="preserve">Three steps would turn this pilot into a test of the full proposal. (i) Add at least two further generators, with one held out from calibration, and include a negative binomial reference. (ii) Run MAUVE, BERTScore, and an LLM-as-a-judge baseline on identical documents, recording latency and cost, to answer the efficiency question properly. (iii)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also guard against analytic flexibility.</w:t>
      </w:r>
    </w:p>
    <w:bookmarkEnd w:id="38"/>
    <w:bookmarkStart w:id="39"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GPT-4o-generated papers well in this pilot, mostly through differences in event rates, with a smaller but real contribution from dispersion. The evidence is limited to one generator and one genre, and whether the approach helps human reviewers or outperforms black-box metrics remains untested.</w:t>
      </w:r>
    </w:p>
    <w:bookmarkEnd w:id="39"/>
    <w:bookmarkStart w:id="40"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2026-10-07T04:36:07Z</dcterms:created>
  <dcterms:modified xsi:type="dcterms:W3CDTF">2026-10-07T04:36:07Z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(single generator; human-subject experiment not yet conducted)</vt:lpwstr>
  </property>
</Properties>
</file>