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28"/>
        </w:rPr>
        <w:t>Price Competition and Capacity Investment in LLM Inference Markets:</w:t>
      </w:r>
    </w:p>
    <w:p>
      <w:pPr>
        <w:spacing w:after="280"/>
        <w:jc w:val="center"/>
      </w:pPr>
      <w:r>
        <w:rPr>
          <w:rFonts w:ascii="Times New Roman" w:hAnsi="Times New Roman" w:eastAsia="Times New Roman"/>
          <w:b/>
          <w:sz w:val="28"/>
        </w:rPr>
        <w:t>A Dynamic Bertrand–Edgeworth Game</w:t>
      </w:r>
    </w:p>
    <w:p>
      <w:pPr>
        <w:spacing w:after="40"/>
        <w:jc w:val="center"/>
      </w:pPr>
      <w:r>
        <w:rPr>
          <w:rFonts w:ascii="Times New Roman" w:hAnsi="Times New Roman" w:eastAsia="Times New Roman"/>
          <w:sz w:val="24"/>
        </w:rPr>
        <w:t>[Author names]</w:t>
      </w:r>
    </w:p>
    <w:p>
      <w:pPr>
        <w:spacing w:after="40"/>
        <w:jc w:val="center"/>
      </w:pPr>
      <w:r>
        <w:rPr>
          <w:rFonts w:ascii="Times New Roman" w:hAnsi="Times New Roman" w:eastAsia="Times New Roman"/>
          <w:sz w:val="24"/>
        </w:rPr>
        <w:t>[Affiliations]</w:t>
      </w:r>
    </w:p>
    <w:p>
      <w:pPr>
        <w:spacing w:after="360"/>
        <w:jc w:val="center"/>
      </w:pPr>
      <w:r>
        <w:rPr>
          <w:rFonts w:ascii="Times New Roman" w:hAnsi="Times New Roman" w:eastAsia="Times New Roman"/>
          <w:sz w:val="24"/>
        </w:rPr>
        <w:t>[Corresponding author e-mail]</w:t>
      </w:r>
    </w:p>
    <w:p>
      <w:pPr>
        <w:spacing w:after="120"/>
      </w:pPr>
      <w:r>
        <w:rPr>
          <w:rFonts w:ascii="Times New Roman" w:hAnsi="Times New Roman" w:eastAsia="Times New Roman"/>
          <w:b/>
        </w:rPr>
        <w:t>Abstract</w:t>
      </w:r>
    </w:p>
    <w:p>
      <w:pPr>
        <w:spacing w:line="276" w:lineRule="auto" w:after="200"/>
      </w:pPr>
      <w:r>
        <w:rPr>
          <w:rFonts w:ascii="Times New Roman" w:hAnsi="Times New Roman" w:eastAsia="Times New Roman"/>
          <w:sz w:val="22"/>
        </w:rPr>
        <w:t>Providers of large language model (LLM) inference compete on posted prices, yet the capacity behind those prices takes a period to build and cannot be adjusted for free. We model two providers that post prices under capacity constraints and adjust discrete GPU capacity with a one-period lag and sunk costs, while demand moves among three Markov regimes. In a logit Markov perfect equilibrium, pricing and capacity separate when prices are not state variables; scarcity then makes the reservation price dominant, and abundance leaves markups bounded by twice the price step. Across 20 settings, equilibrium capacity lies between a joint-profit benchmark and a market-share contest, but equilibria are often multiple and are ranked differently by consumer and by total surplus. When prices become state variables through alternating commitments, Edgeworth cycles appear at ample capacity, prices exceed those under simultaneous pricing, and equilibrium capacity rises. We draw implications for capacity disclosure, switching rules, and repricing frequency, and we mark what the model does not test.</w:t>
      </w:r>
    </w:p>
    <w:p>
      <w:pPr>
        <w:spacing w:after="0"/>
      </w:pPr>
      <w:r>
        <w:rPr>
          <w:rFonts w:ascii="Times New Roman" w:hAnsi="Times New Roman" w:eastAsia="Times New Roman"/>
          <w:i/>
          <w:sz w:val="22"/>
        </w:rPr>
        <w:t>Keywords</w:t>
      </w:r>
      <w:r>
        <w:rPr>
          <w:rFonts w:ascii="Times New Roman" w:hAnsi="Times New Roman" w:eastAsia="Times New Roman"/>
          <w:sz w:val="22"/>
        </w:rPr>
        <w:t>: cloud computing; generative AI; capacity investment; Bertrand–Edgeworth competition; Markov perfect equilibrium; dynamic oligopoly; IT infrastructure markets</w:t>
      </w:r>
    </w:p>
    <w:p>
      <w:r>
        <w:br w:type="page"/>
      </w:r>
    </w:p>
    <w:p>
      <w:pPr>
        <w:keepNext/>
        <w:spacing w:line="480" w:lineRule="auto"/>
      </w:pPr>
      <w:r>
        <w:rPr>
          <w:rFonts w:ascii="Times New Roman" w:hAnsi="Times New Roman" w:eastAsia="Times New Roman"/>
          <w:b/>
        </w:rPr>
        <w:t>1. Introduction</w:t>
      </w:r>
    </w:p>
    <w:p>
      <w:pPr>
        <w:spacing w:line="480" w:lineRule="auto" w:after="0"/>
        <w:ind w:firstLine="720"/>
        <w:jc w:val="left"/>
      </w:pPr>
      <w:r>
        <w:rPr>
          <w:rFonts w:ascii="Times New Roman" w:hAnsi="Times New Roman" w:eastAsia="Times New Roman"/>
        </w:rPr>
        <w:t>Between the second half of 2023 and the second half of 2025, the median hourly price of renting an NVIDIA H100 GPU from a large cloud provider fell from about $7.76 to $6.26, and the median price on GPU marketplaces fell from about $2.58 to $1.95 over a shorter window (Silicon Data 2026). Over the same period the four largest U.S. cloud and platform firms spent on the order of $410 to $435 billion on capital expenditure in 2025 alone, most of it directed at data-center capacity, and company guidance for 2026 was higher still (Platformonomics 2026). Capacity was expanding quickly, prices were falling, and yet price levels across provider types stayed far apart. The pattern raises a question that sits between industrial organization and information systems (IS): how do price competition and capacity investment interact when new capacity is slow and costly to install, demand for inference is volatile, and a rival can take customers whenever one's own servers are full?</w:t>
      </w:r>
    </w:p>
    <w:p>
      <w:pPr>
        <w:spacing w:line="480" w:lineRule="auto" w:after="0"/>
        <w:ind w:firstLine="720"/>
        <w:jc w:val="left"/>
      </w:pPr>
      <w:r>
        <w:rPr>
          <w:rFonts w:ascii="Times New Roman" w:hAnsi="Times New Roman" w:eastAsia="Times New Roman"/>
        </w:rPr>
        <w:t>The IS and operations literature has long studied the pricing and sizing of computing capacity, but mostly from the perspective of a single provider or a given set of competitors choosing service levels (Mendelson 1985, Dewan and Mendelson 1990, Cachon and Harker 2002, Allon and Federgruen 2007, Bapna et al. 2008). The industrial organization literature, in turn, has a sharp theory of capacity-constrained price competition (Levitan and Shubik 1972, Kreps and Scheinkman 1983, Osborne and Pitchik 1986) and a toolkit for dynamic investment games (Maskin and Tirole 1988, Ericson and Pakes 1995, Besanko and Doraszelski 2004). What is missing, and what the market for LLM inference makes timely, is the combination: an infrastructure market in which firms post prices every period, capacity is a lumpy state variable that carries a lag and a sunk cost, and demand shifts between regimes.</w:t>
      </w:r>
    </w:p>
    <w:p>
      <w:pPr>
        <w:spacing w:line="480" w:lineRule="auto" w:after="0"/>
        <w:ind w:firstLine="720"/>
        <w:jc w:val="left"/>
      </w:pPr>
      <w:r>
        <w:rPr>
          <w:rFonts w:ascii="Times New Roman" w:hAnsi="Times New Roman" w:eastAsia="Times New Roman"/>
        </w:rPr>
        <w:t>We build that combination as a dynamic game between two providers. In each period a provider chooses a posted price from a finite grid and a discrete capacity action (hold, add one GPU node, or retire one). Customers buy from the cheaper provider until its capacity binds and then spill over to the rival, which is the Bertrand–Edgeworth allocation. Capacity chosen today is usable next period, and changing capacity costs a sunk amount, in the spirit of Rust (1987). We solve for a stationary Markov perfect equilibrium (MPE) with extreme-value payoff shocks, so that the equilibrium is a logit MPE (McKelvey and Palfrey 1995, Doraszelski and Satterthwaite 2010).</w:t>
      </w:r>
    </w:p>
    <w:p>
      <w:pPr>
        <w:spacing w:line="480" w:lineRule="auto" w:after="0"/>
        <w:ind w:firstLine="720"/>
        <w:jc w:val="left"/>
      </w:pPr>
      <w:r>
        <w:rPr>
          <w:rFonts w:ascii="Times New Roman" w:hAnsi="Times New Roman" w:eastAsia="Times New Roman"/>
        </w:rPr>
        <w:t>The paper makes four contributions. First, we show that when prices are not state variables, pricing and capacity separate exactly (Proposition 1). Prices are the solution to a static logit pricing game in each state, and capacity is the solution to a dynamic game whose flow payoffs come from those prices. This result is useful analytically and, as we show, computationally. Second, we characterize the pricing game at the two ends of the capacity spectrum. When installed capacity falls short of demand, posting the reservation price is a dominant strategy (Proposition 2). When both firms can serve the whole market, the only pure-strategy equilibria are symmetric price pairs whose markup cannot exceed twice the step of the price grid (Proposition 3), which is the Bertrand paradox in discrete clothing. Third, we compute equilibria for 20 parameter settings and compare them with a joint-profit benchmark and with a market-share contest. Equilibrium capacity always lies between the two benchmarks, but the equilibrium is frequently not unique, and the equilibria that consumers prefer are not the ones that maximize total surplus. Fourth, we make prices state variables by letting the firms move in alternation and commit to a price until their next move, as in Maskin and Tirole (1988). At fixed capacities this produces Edgeworth price cycles and prices well above those of simultaneous pricing when capacity is ample, and when capacity is chosen as well, it raises equilibrium capacity relative to simultaneous pricing.</w:t>
      </w:r>
    </w:p>
    <w:p>
      <w:pPr>
        <w:spacing w:line="480" w:lineRule="auto" w:after="0"/>
        <w:ind w:firstLine="720"/>
        <w:jc w:val="left"/>
      </w:pPr>
      <w:r>
        <w:rPr>
          <w:rFonts w:ascii="Times New Roman" w:hAnsi="Times New Roman" w:eastAsia="Times New Roman"/>
        </w:rPr>
        <w:t>We are careful about what the paper does not do. In the baseline model prices are not payoff-relevant state variables, so the pricing stage is a repeated static game and cannot generate Edgeworth cycles or tacit collusion; Section 7 relaxes this assumption with alternating moves. That extension is solved at moderate payoff noise only, because the equilibrium iteration does not converge reliably for small noise, and it changes the timing of capacity decisions as well as the pricing protocol. The parameters are illustrative. We compare the model with public data on GPU rental prices, token prices, and capital expenditure, but only qualitatively, and one price ratio is the only parameter that those data discipline. The numerical results should be read as the output of a transparent, replicable model, not as estimates of the market.</w:t>
      </w:r>
    </w:p>
    <w:p>
      <w:pPr>
        <w:spacing w:line="480" w:lineRule="auto" w:after="0"/>
        <w:ind w:firstLine="720"/>
        <w:jc w:val="left"/>
      </w:pPr>
      <w:r>
        <w:rPr>
          <w:rFonts w:ascii="Times New Roman" w:hAnsi="Times New Roman" w:eastAsia="Times New Roman"/>
        </w:rPr>
        <w:t>The remainder of the paper proceeds as follows. Section 2 positions the paper in the literature. Section 3 sets out the model, and Section 4 states the analytical results. Section 5 reports the base-case equilibria, Section 6 the sensitivity and equilibrium-selection analysis, and Section 7 the extension to dynamic price competition. Section 8 compares the model with public data. Section 9 draws implications for platform design and policy, Section 10 discusses limitations, and Section 11 concludes. Proofs and computational details are in the appendices.</w:t>
      </w:r>
    </w:p>
    <w:p>
      <w:pPr>
        <w:keepNext/>
        <w:spacing w:line="480" w:lineRule="auto"/>
      </w:pPr>
      <w:r>
        <w:rPr>
          <w:rFonts w:ascii="Times New Roman" w:hAnsi="Times New Roman" w:eastAsia="Times New Roman"/>
          <w:b/>
        </w:rPr>
        <w:t>2. Related Literature</w:t>
      </w:r>
    </w:p>
    <w:p>
      <w:pPr>
        <w:spacing w:line="480" w:lineRule="auto" w:after="0"/>
        <w:ind w:firstLine="720"/>
        <w:jc w:val="left"/>
      </w:pPr>
      <w:r>
        <w:rPr>
          <w:rFonts w:ascii="Times New Roman" w:hAnsi="Times New Roman" w:eastAsia="Times New Roman"/>
          <w:i/>
        </w:rPr>
        <w:t>Pricing and capacity of computing services.</w:t>
      </w:r>
      <w:r>
        <w:rPr>
          <w:rFonts w:ascii="Times New Roman" w:hAnsi="Times New Roman" w:eastAsia="Times New Roman"/>
        </w:rPr>
        <w:t xml:space="preserve"> An established IS and operations literature treats computing as a service facility whose users bear delay costs. Mendelson (1985) and Dewan and Mendelson (1990) study how to price and size internal computing capacity when queueing delays matter, and Cachon and Harker (2002) and Allon and Federgruen (2007) extend the analysis to competing service providers that choose prices and delay standards. Bapna et al. (2008) design a market for grid computing resources. Armbrust et al. (2010) frame the economics of elastic cloud capacity. These papers are mostly static or consider one decision-maker; we add dynamic capacity investment under adjustment frictions among a small number of strategic rivals.</w:t>
      </w:r>
    </w:p>
    <w:p>
      <w:pPr>
        <w:spacing w:line="480" w:lineRule="auto" w:after="0"/>
        <w:ind w:firstLine="720"/>
        <w:jc w:val="left"/>
      </w:pPr>
      <w:r>
        <w:rPr>
          <w:rFonts w:ascii="Times New Roman" w:hAnsi="Times New Roman" w:eastAsia="Times New Roman"/>
          <w:i/>
        </w:rPr>
        <w:t>Capacity-constrained price competition.</w:t>
      </w:r>
      <w:r>
        <w:rPr>
          <w:rFonts w:ascii="Times New Roman" w:hAnsi="Times New Roman" w:eastAsia="Times New Roman"/>
        </w:rPr>
        <w:t xml:space="preserve"> Edgeworth’s observation that capacity limits can destroy pure-strategy price equilibria was formalized by Levitan and Shubik (1972) and Osborne and Pitchik (1986). Kreps and Scheinkman (1983) showed that when capacity is chosen first and prices second, the outcome is the Cournot outcome, and Davidson and Deneckere (1986) showed how the result depends on the rationing rule. Our stage game uses efficient rationing, and the same logic appears in our Propositions 2 and 3: scarcity restores market power, and abundance removes it. What our setting adds is that capacity is chosen repeatedly, with a lag and a sunk cost, while demand is stochastic.</w:t>
      </w:r>
    </w:p>
    <w:p>
      <w:pPr>
        <w:spacing w:line="480" w:lineRule="auto" w:after="0"/>
        <w:ind w:firstLine="720"/>
        <w:jc w:val="left"/>
      </w:pPr>
      <w:r>
        <w:rPr>
          <w:rFonts w:ascii="Times New Roman" w:hAnsi="Times New Roman" w:eastAsia="Times New Roman"/>
          <w:i/>
        </w:rPr>
        <w:t>Dynamic oligopoly and computation.</w:t>
      </w:r>
      <w:r>
        <w:rPr>
          <w:rFonts w:ascii="Times New Roman" w:hAnsi="Times New Roman" w:eastAsia="Times New Roman"/>
        </w:rPr>
        <w:t xml:space="preserve"> Maskin and Tirole (1988) analyze Markov-perfect price competition and show that Edgeworth cycles can arise when firms alternate moves and prices are state variables. Ericson and Pakes (1995) and Pakes and McGuire (1994) provide the framework for computing MPE with investment, and Besanko and Doraszelski (2004) apply it to capacity dynamics and endogenous size asymmetries. Doraszelski and Satterthwaite (2010) show how extreme-value shocks ensure existence, and Besanko et al. (2010) document multiple equilibria in related dynamic models. The structural-estimation side of this literature, from Rust (1987) to Aguirregabiria and Mira (2007) and Bajari, Benkard, and Levin (2007), indicates how a model like ours could be taken to data. Our contribution relative to this work is the separation result and its application to an IT infrastructure market.</w:t>
      </w:r>
    </w:p>
    <w:p>
      <w:pPr>
        <w:keepNext/>
        <w:spacing w:line="480" w:lineRule="auto"/>
      </w:pPr>
      <w:r>
        <w:rPr>
          <w:rFonts w:ascii="Times New Roman" w:hAnsi="Times New Roman" w:eastAsia="Times New Roman"/>
          <w:b/>
        </w:rPr>
        <w:t>3. Model</w:t>
      </w:r>
    </w:p>
    <w:p>
      <w:pPr>
        <w:keepNext/>
        <w:spacing w:line="480" w:lineRule="auto"/>
      </w:pPr>
      <w:r>
        <w:rPr>
          <w:rFonts w:ascii="Times New Roman" w:hAnsi="Times New Roman" w:eastAsia="Times New Roman"/>
          <w:b/>
          <w:i/>
        </w:rPr>
        <w:t>3.1 State, demand, and timing</w:t>
      </w:r>
    </w:p>
    <w:p>
      <w:pPr>
        <w:spacing w:line="480" w:lineRule="auto" w:after="0"/>
        <w:ind w:firstLine="720"/>
        <w:jc w:val="left"/>
      </w:pPr>
      <w:r>
        <w:rPr>
          <w:rFonts w:ascii="Times New Roman" w:hAnsi="Times New Roman" w:eastAsia="Times New Roman"/>
        </w:rPr>
        <w:t xml:space="preserve">Two providers, </w:t>
      </w:r>
      <w:r>
        <w:rPr>
          <w:rFonts w:ascii="Times New Roman" w:hAnsi="Times New Roman" w:eastAsia="Times New Roman"/>
          <w:i/>
        </w:rPr>
        <w:t>i</w:t>
      </w:r>
      <w:r>
        <w:rPr>
          <w:rFonts w:ascii="Times New Roman" w:hAnsi="Times New Roman" w:eastAsia="Times New Roman"/>
        </w:rPr>
        <w:t xml:space="preserve"> ∈ {A, B}, operate in discrete time. Provider </w:t>
      </w:r>
      <w:r>
        <w:rPr>
          <w:rFonts w:ascii="Times New Roman" w:hAnsi="Times New Roman" w:eastAsia="Times New Roman"/>
          <w:i/>
        </w:rPr>
        <w:t>i</w:t>
      </w:r>
      <w:r>
        <w:rPr>
          <w:rFonts w:ascii="Times New Roman" w:hAnsi="Times New Roman" w:eastAsia="Times New Roman"/>
        </w:rPr>
        <w:t xml:space="preserve"> owns </w:t>
      </w:r>
      <w:r>
        <w:rPr>
          <w:rFonts w:ascii="Times New Roman" w:hAnsi="Times New Roman" w:eastAsia="Times New Roman"/>
          <w:i/>
        </w:rPr>
        <w:t>m</w:t>
      </w:r>
      <w:r>
        <w:rPr>
          <w:rFonts w:ascii="Times New Roman" w:hAnsi="Times New Roman" w:eastAsia="Times New Roman"/>
          <w:vertAlign w:val="subscript"/>
        </w:rPr>
        <w:t>i</w:t>
      </w:r>
      <w:r>
        <w:rPr>
          <w:rFonts w:ascii="Times New Roman" w:hAnsi="Times New Roman" w:eastAsia="Times New Roman"/>
        </w:rPr>
        <w:t xml:space="preserve"> ∈ {0, 1, …, </w:t>
      </w:r>
      <w:r>
        <w:rPr>
          <w:rFonts w:ascii="Times New Roman" w:hAnsi="Times New Roman" w:eastAsia="Times New Roman"/>
          <w:i/>
        </w:rPr>
        <w:t>M</w:t>
      </w:r>
      <w:r>
        <w:rPr>
          <w:rFonts w:ascii="Times New Roman" w:hAnsi="Times New Roman" w:eastAsia="Times New Roman"/>
        </w:rPr>
        <w:t xml:space="preserve"> − 1} GPU nodes, each of which can serve κ requests per period, so its capacity is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 κ</w:t>
      </w:r>
      <w:r>
        <w:rPr>
          <w:rFonts w:ascii="Times New Roman" w:hAnsi="Times New Roman" w:eastAsia="Times New Roman"/>
          <w:i/>
        </w:rPr>
        <w:t>m</w:t>
      </w:r>
      <w:r>
        <w:rPr>
          <w:rFonts w:ascii="Times New Roman" w:hAnsi="Times New Roman" w:eastAsia="Times New Roman"/>
          <w:vertAlign w:val="subscript"/>
        </w:rPr>
        <w:t>i</w:t>
      </w:r>
      <w:r>
        <w:rPr>
          <w:rFonts w:ascii="Times New Roman" w:hAnsi="Times New Roman" w:eastAsia="Times New Roman"/>
        </w:rPr>
        <w:t xml:space="preserve">. Aggregate demand is a number of requests per period, λ ∈ {10, 25, 45} (low, medium, high), and the regime follows a Markov chain with transition matrix </w:t>
      </w:r>
      <w:r>
        <w:rPr>
          <w:rFonts w:ascii="Times New Roman" w:hAnsi="Times New Roman" w:eastAsia="Times New Roman"/>
          <w:i/>
        </w:rPr>
        <w:t>P</w:t>
      </w:r>
      <w:r>
        <w:rPr>
          <w:rFonts w:ascii="Times New Roman" w:hAnsi="Times New Roman" w:eastAsia="Times New Roman"/>
          <w:vertAlign w:val="subscript"/>
        </w:rPr>
        <w:t>λ</w:t>
      </w:r>
      <w:r>
        <w:rPr>
          <w:rFonts w:ascii="Times New Roman" w:hAnsi="Times New Roman" w:eastAsia="Times New Roman"/>
        </w:rPr>
        <w:t>. The payoff-relevant state is</w:t>
      </w:r>
    </w:p>
    <w:p>
      <w:pPr>
        <w:tabs>
          <w:tab w:pos="4680" w:val="center"/>
          <w:tab w:pos="9360" w:val="right"/>
        </w:tabs>
        <w:spacing w:line="360" w:lineRule="auto" w:after="120"/>
      </w:pPr>
      <w:r>
        <w:tab/>
      </w:r>
      <w:r>
        <w:rPr>
          <w:rFonts w:ascii="Times New Roman" w:hAnsi="Times New Roman" w:eastAsia="Times New Roman"/>
          <w:i/>
        </w:rPr>
        <w:t>S</w:t>
      </w:r>
      <w:r>
        <w:rPr>
          <w:rFonts w:ascii="Times New Roman" w:hAnsi="Times New Roman" w:eastAsia="Times New Roman"/>
          <w:i/>
        </w:rPr>
        <w:t xml:space="preserve"> = (</w:t>
      </w:r>
      <w:r>
        <w:rPr>
          <w:rFonts w:ascii="Times New Roman" w:hAnsi="Times New Roman" w:eastAsia="Times New Roman"/>
          <w:i/>
        </w:rPr>
        <w:t>m</w:t>
      </w:r>
      <w:r>
        <w:rPr>
          <w:rFonts w:ascii="Times New Roman" w:hAnsi="Times New Roman" w:eastAsia="Times New Roman"/>
          <w:i/>
          <w:vertAlign w:val="subscript"/>
        </w:rPr>
        <w:t>A</w:t>
      </w:r>
      <w:r>
        <w:rPr>
          <w:rFonts w:ascii="Times New Roman" w:hAnsi="Times New Roman" w:eastAsia="Times New Roman"/>
          <w:i/>
        </w:rPr>
        <w:t xml:space="preserve">, </w:t>
      </w:r>
      <w:r>
        <w:rPr>
          <w:rFonts w:ascii="Times New Roman" w:hAnsi="Times New Roman" w:eastAsia="Times New Roman"/>
          <w:i/>
        </w:rPr>
        <w:t>m</w:t>
      </w:r>
      <w:r>
        <w:rPr>
          <w:rFonts w:ascii="Times New Roman" w:hAnsi="Times New Roman" w:eastAsia="Times New Roman"/>
          <w:i/>
          <w:vertAlign w:val="subscript"/>
        </w:rPr>
        <w:t>B</w:t>
      </w:r>
      <w:r>
        <w:rPr>
          <w:rFonts w:ascii="Times New Roman" w:hAnsi="Times New Roman" w:eastAsia="Times New Roman"/>
          <w:i/>
        </w:rPr>
        <w:t>, λ).</w:t>
      </w:r>
      <w:r>
        <w:rPr>
          <w:rFonts w:ascii="Times New Roman" w:hAnsi="Times New Roman"/>
        </w:rPr>
        <w:tab/>
        <w:t>(1)</w:t>
      </w:r>
    </w:p>
    <w:p>
      <w:pPr>
        <w:spacing w:line="480" w:lineRule="auto" w:after="0"/>
        <w:ind w:firstLine="720"/>
        <w:jc w:val="left"/>
      </w:pPr>
      <w:r>
        <w:rPr>
          <w:rFonts w:ascii="Times New Roman" w:hAnsi="Times New Roman" w:eastAsia="Times New Roman"/>
        </w:rPr>
        <w:t xml:space="preserve">In each period both providers observe </w:t>
      </w:r>
      <w:r>
        <w:rPr>
          <w:rFonts w:ascii="Times New Roman" w:hAnsi="Times New Roman" w:eastAsia="Times New Roman"/>
          <w:i/>
        </w:rPr>
        <w:t>S</w:t>
      </w:r>
      <w:r>
        <w:rPr>
          <w:rFonts w:ascii="Times New Roman" w:hAnsi="Times New Roman" w:eastAsia="Times New Roman"/>
        </w:rPr>
        <w:t xml:space="preserve"> and simultaneously choose an action </w:t>
      </w:r>
      <w:r>
        <w:rPr>
          <w:rFonts w:ascii="Times New Roman" w:hAnsi="Times New Roman" w:eastAsia="Times New Roman"/>
          <w:i/>
        </w:rPr>
        <w:t>a</w:t>
      </w:r>
      <w:r>
        <w:rPr>
          <w:rFonts w:ascii="Times New Roman" w:hAnsi="Times New Roman" w:eastAsia="Times New Roman"/>
          <w:vertAlign w:val="subscript"/>
        </w:rPr>
        <w:t>i</w:t>
      </w:r>
      <w:r>
        <w:rPr>
          <w:rFonts w:ascii="Times New Roman" w:hAnsi="Times New Roman" w:eastAsia="Times New Roman"/>
        </w:rPr>
        <w:t xml:space="preserve"> =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where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is a posted price from a finite grid 𝒫 = {0.4, 0.8, 1.2, 1.5} (the largest value, p̄ = 1.5, is customers’ reservation price) and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 {0, 1, 2} is hold, expand, or contract. Capacity follows</w:t>
      </w:r>
    </w:p>
    <w:p>
      <w:pPr>
        <w:tabs>
          <w:tab w:pos="4680" w:val="center"/>
          <w:tab w:pos="9360" w:val="right"/>
        </w:tabs>
        <w:spacing w:line="360" w:lineRule="auto" w:after="120"/>
      </w:pPr>
      <w:r>
        <w:tab/>
      </w:r>
      <w:r>
        <w:rPr>
          <w:rFonts w:ascii="Times New Roman" w:hAnsi="Times New Roman" w:eastAsia="Times New Roman"/>
          <w:i/>
        </w:rPr>
        <w:t>m</w:t>
      </w:r>
      <w:r>
        <w:rPr>
          <w:rFonts w:ascii="Times New Roman" w:hAnsi="Times New Roman" w:eastAsia="Times New Roman"/>
          <w:i/>
          <w:vertAlign w:val="subscript"/>
        </w:rPr>
        <w:t>i</w:t>
      </w:r>
      <w:r>
        <w:rPr>
          <w:rFonts w:ascii="Times New Roman" w:hAnsi="Times New Roman" w:eastAsia="Times New Roman"/>
          <w:i/>
        </w:rPr>
        <w:t>′ = max{0, min{</w:t>
      </w:r>
      <w:r>
        <w:rPr>
          <w:rFonts w:ascii="Times New Roman" w:hAnsi="Times New Roman" w:eastAsia="Times New Roman"/>
          <w:i/>
        </w:rPr>
        <w:t>M</w:t>
      </w:r>
      <w:r>
        <w:rPr>
          <w:rFonts w:ascii="Times New Roman" w:hAnsi="Times New Roman" w:eastAsia="Times New Roman"/>
          <w:i/>
        </w:rPr>
        <w:t xml:space="preserve"> − 1, </w:t>
      </w:r>
      <w:r>
        <w:rPr>
          <w:rFonts w:ascii="Times New Roman" w:hAnsi="Times New Roman" w:eastAsia="Times New Roman"/>
          <w:i/>
        </w:rPr>
        <w:t>m</w:t>
      </w:r>
      <w:r>
        <w:rPr>
          <w:rFonts w:ascii="Times New Roman" w:hAnsi="Times New Roman" w:eastAsia="Times New Roman"/>
          <w:i/>
          <w:vertAlign w:val="subscript"/>
        </w:rPr>
        <w:t>i</w:t>
      </w:r>
      <w:r>
        <w:rPr>
          <w:rFonts w:ascii="Times New Roman" w:hAnsi="Times New Roman" w:eastAsia="Times New Roman"/>
          <w:i/>
        </w:rPr>
        <w:t xml:space="preserve"> + 1[</w:t>
      </w:r>
      <w:r>
        <w:rPr>
          <w:rFonts w:ascii="Times New Roman" w:hAnsi="Times New Roman" w:eastAsia="Times New Roman"/>
          <w:i/>
        </w:rPr>
        <w:t>k</w:t>
      </w:r>
      <w:r>
        <w:rPr>
          <w:rFonts w:ascii="Times New Roman" w:hAnsi="Times New Roman" w:eastAsia="Times New Roman"/>
          <w:i/>
          <w:vertAlign w:val="subscript"/>
        </w:rPr>
        <w:t>i</w:t>
      </w:r>
      <w:r>
        <w:rPr>
          <w:rFonts w:ascii="Times New Roman" w:hAnsi="Times New Roman" w:eastAsia="Times New Roman"/>
          <w:i/>
        </w:rPr>
        <w:t xml:space="preserve"> = 1] − 1[</w:t>
      </w:r>
      <w:r>
        <w:rPr>
          <w:rFonts w:ascii="Times New Roman" w:hAnsi="Times New Roman" w:eastAsia="Times New Roman"/>
          <w:i/>
        </w:rPr>
        <w:t>k</w:t>
      </w:r>
      <w:r>
        <w:rPr>
          <w:rFonts w:ascii="Times New Roman" w:hAnsi="Times New Roman" w:eastAsia="Times New Roman"/>
          <w:i/>
          <w:vertAlign w:val="subscript"/>
        </w:rPr>
        <w:t>i</w:t>
      </w:r>
      <w:r>
        <w:rPr>
          <w:rFonts w:ascii="Times New Roman" w:hAnsi="Times New Roman" w:eastAsia="Times New Roman"/>
          <w:i/>
        </w:rPr>
        <w:t xml:space="preserve"> = 2]}},</w:t>
      </w:r>
      <w:r>
        <w:rPr>
          <w:rFonts w:ascii="Times New Roman" w:hAnsi="Times New Roman"/>
        </w:rPr>
        <w:tab/>
        <w:t>(2)</w:t>
      </w:r>
    </w:p>
    <w:p>
      <w:pPr>
        <w:spacing w:line="480" w:lineRule="auto" w:after="0"/>
        <w:ind w:firstLine="720"/>
        <w:jc w:val="left"/>
      </w:pPr>
      <w:r>
        <w:rPr>
          <w:rFonts w:ascii="Times New Roman" w:hAnsi="Times New Roman" w:eastAsia="Times New Roman"/>
        </w:rPr>
        <w:t xml:space="preserve">so that a node added in period </w:t>
      </w:r>
      <w:r>
        <w:rPr>
          <w:rFonts w:ascii="Times New Roman" w:hAnsi="Times New Roman" w:eastAsia="Times New Roman"/>
          <w:i/>
        </w:rPr>
        <w:t>t</w:t>
      </w:r>
      <w:r>
        <w:rPr>
          <w:rFonts w:ascii="Times New Roman" w:hAnsi="Times New Roman" w:eastAsia="Times New Roman"/>
        </w:rPr>
        <w:t xml:space="preserve"> serves customers from period </w:t>
      </w:r>
      <w:r>
        <w:rPr>
          <w:rFonts w:ascii="Times New Roman" w:hAnsi="Times New Roman" w:eastAsia="Times New Roman"/>
          <w:i/>
        </w:rPr>
        <w:t>t</w:t>
      </w:r>
      <w:r>
        <w:rPr>
          <w:rFonts w:ascii="Times New Roman" w:hAnsi="Times New Roman" w:eastAsia="Times New Roman"/>
        </w:rPr>
        <w:t xml:space="preserve"> + 1 on. This is the provisioning lag. Changing capacity costs </w:t>
      </w:r>
      <w:r>
        <w:rPr>
          <w:rFonts w:ascii="Times New Roman" w:hAnsi="Times New Roman" w:eastAsia="Times New Roman"/>
          <w:i/>
        </w:rPr>
        <w:t>FC</w:t>
      </w:r>
      <w:r>
        <w:rPr>
          <w:rFonts w:ascii="Times New Roman" w:hAnsi="Times New Roman" w:eastAsia="Times New Roman"/>
          <w:vertAlign w:val="subscript"/>
        </w:rPr>
        <w:t>i</w:t>
      </w:r>
      <w:r>
        <w:rPr>
          <w:rFonts w:ascii="Times New Roman" w:hAnsi="Times New Roman" w:eastAsia="Times New Roman"/>
        </w:rPr>
        <w:t xml:space="preserve"> for an expansion and 0.3</w:t>
      </w:r>
      <w:r>
        <w:rPr>
          <w:rFonts w:ascii="Times New Roman" w:hAnsi="Times New Roman" w:eastAsia="Times New Roman"/>
          <w:i/>
        </w:rPr>
        <w:t>FC</w:t>
      </w:r>
      <w:r>
        <w:rPr>
          <w:rFonts w:ascii="Times New Roman" w:hAnsi="Times New Roman" w:eastAsia="Times New Roman"/>
          <w:vertAlign w:val="subscript"/>
        </w:rPr>
        <w:t>i</w:t>
      </w:r>
      <w:r>
        <w:rPr>
          <w:rFonts w:ascii="Times New Roman" w:hAnsi="Times New Roman" w:eastAsia="Times New Roman"/>
        </w:rPr>
        <w:t xml:space="preserve"> for a contraction, paid in the period of the decision.</w:t>
      </w:r>
    </w:p>
    <w:p>
      <w:pPr>
        <w:keepNext/>
        <w:spacing w:line="480" w:lineRule="auto"/>
      </w:pPr>
      <w:r>
        <w:rPr>
          <w:rFonts w:ascii="Times New Roman" w:hAnsi="Times New Roman" w:eastAsia="Times New Roman"/>
          <w:b/>
          <w:i/>
        </w:rPr>
        <w:t>3.2 Allocation and payoffs</w:t>
      </w:r>
    </w:p>
    <w:p>
      <w:pPr>
        <w:spacing w:line="480" w:lineRule="auto" w:after="0"/>
        <w:ind w:firstLine="720"/>
        <w:jc w:val="left"/>
      </w:pPr>
      <w:r>
        <w:rPr>
          <w:rFonts w:ascii="Times New Roman" w:hAnsi="Times New Roman" w:eastAsia="Times New Roman"/>
        </w:rPr>
        <w:t xml:space="preserve">Customers are homogeneous and, up to the reservation price, inelastic. Directed demand to provider </w:t>
      </w:r>
      <w:r>
        <w:rPr>
          <w:rFonts w:ascii="Times New Roman" w:hAnsi="Times New Roman" w:eastAsia="Times New Roman"/>
          <w:i/>
        </w:rPr>
        <w:t>i</w:t>
      </w:r>
      <w:r>
        <w:rPr>
          <w:rFonts w:ascii="Times New Roman" w:hAnsi="Times New Roman" w:eastAsia="Times New Roman"/>
        </w:rPr>
        <w:t xml:space="preserve"> is </w:t>
      </w:r>
      <w:r>
        <w:rPr>
          <w:rFonts w:ascii="Times New Roman" w:hAnsi="Times New Roman" w:eastAsia="Times New Roman"/>
          <w:i/>
        </w:rPr>
        <w:t>d</w:t>
      </w:r>
      <w:r>
        <w:rPr>
          <w:rFonts w:ascii="Times New Roman" w:hAnsi="Times New Roman" w:eastAsia="Times New Roman"/>
          <w:vertAlign w:val="subscript"/>
        </w:rPr>
        <w:t>i</w:t>
      </w:r>
      <w:r>
        <w:rPr>
          <w:rFonts w:ascii="Times New Roman" w:hAnsi="Times New Roman" w:eastAsia="Times New Roman"/>
        </w:rPr>
        <w:t xml:space="preserve"> = λ if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&lt;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xml:space="preserve">, λ/2 if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and 0 otherwise. Each provider serves its directed demand up to its capacity, and customers rejected by one provider move to the other at no cost, so that</w:t>
      </w:r>
    </w:p>
    <w:p>
      <w:pPr>
        <w:tabs>
          <w:tab w:pos="4680" w:val="center"/>
          <w:tab w:pos="9360" w:val="right"/>
        </w:tabs>
        <w:spacing w:line="360" w:lineRule="auto" w:after="120"/>
      </w:pPr>
      <w:r>
        <w:tab/>
      </w:r>
      <w:r>
        <w:rPr>
          <w:rFonts w:ascii="Times New Roman" w:hAnsi="Times New Roman" w:eastAsia="Times New Roman"/>
          <w:i/>
        </w:rPr>
        <w:t>q</w:t>
      </w:r>
      <w:r>
        <w:rPr>
          <w:rFonts w:ascii="Times New Roman" w:hAnsi="Times New Roman" w:eastAsia="Times New Roman"/>
          <w:i/>
          <w:vertAlign w:val="subscript"/>
        </w:rPr>
        <w:t>i</w:t>
      </w:r>
      <w:r>
        <w:rPr>
          <w:rFonts w:ascii="Times New Roman" w:hAnsi="Times New Roman" w:eastAsia="Times New Roman"/>
          <w:i/>
        </w:rPr>
        <w:t xml:space="preserve"> = min{</w:t>
      </w:r>
      <w:r>
        <w:rPr>
          <w:rFonts w:ascii="Times New Roman" w:hAnsi="Times New Roman" w:eastAsia="Times New Roman"/>
          <w:i/>
        </w:rPr>
        <w:t>K</w:t>
      </w:r>
      <w:r>
        <w:rPr>
          <w:rFonts w:ascii="Times New Roman" w:hAnsi="Times New Roman" w:eastAsia="Times New Roman"/>
          <w:i/>
          <w:vertAlign w:val="subscript"/>
        </w:rPr>
        <w:t>i</w:t>
      </w:r>
      <w:r>
        <w:rPr>
          <w:rFonts w:ascii="Times New Roman" w:hAnsi="Times New Roman" w:eastAsia="Times New Roman"/>
          <w:i/>
        </w:rPr>
        <w:t xml:space="preserve">, </w:t>
      </w:r>
      <w:r>
        <w:rPr>
          <w:rFonts w:ascii="Times New Roman" w:hAnsi="Times New Roman" w:eastAsia="Times New Roman"/>
          <w:i/>
        </w:rPr>
        <w:t>d</w:t>
      </w:r>
      <w:r>
        <w:rPr>
          <w:rFonts w:ascii="Times New Roman" w:hAnsi="Times New Roman" w:eastAsia="Times New Roman"/>
          <w:i/>
          <w:vertAlign w:val="subscript"/>
        </w:rPr>
        <w:t>i</w:t>
      </w:r>
      <w:r>
        <w:rPr>
          <w:rFonts w:ascii="Times New Roman" w:hAnsi="Times New Roman" w:eastAsia="Times New Roman"/>
          <w:i/>
        </w:rPr>
        <w:t xml:space="preserve"> + max(0, </w:t>
      </w:r>
      <w:r>
        <w:rPr>
          <w:rFonts w:ascii="Times New Roman" w:hAnsi="Times New Roman" w:eastAsia="Times New Roman"/>
          <w:i/>
        </w:rPr>
        <w:t>d</w:t>
      </w:r>
      <w:r>
        <w:rPr>
          <w:rFonts w:ascii="Times New Roman" w:hAnsi="Times New Roman" w:eastAsia="Times New Roman"/>
          <w:i/>
          <w:vertAlign w:val="subscript"/>
        </w:rPr>
        <w:t>j</w:t>
      </w:r>
      <w:r>
        <w:rPr>
          <w:rFonts w:ascii="Times New Roman" w:hAnsi="Times New Roman" w:eastAsia="Times New Roman"/>
          <w:i/>
        </w:rPr>
        <w:t xml:space="preserve"> − </w:t>
      </w:r>
      <w:r>
        <w:rPr>
          <w:rFonts w:ascii="Times New Roman" w:hAnsi="Times New Roman" w:eastAsia="Times New Roman"/>
          <w:i/>
        </w:rPr>
        <w:t>K</w:t>
      </w:r>
      <w:r>
        <w:rPr>
          <w:rFonts w:ascii="Times New Roman" w:hAnsi="Times New Roman" w:eastAsia="Times New Roman"/>
          <w:i/>
          <w:vertAlign w:val="subscript"/>
        </w:rPr>
        <w:t>j</w:t>
      </w:r>
      <w:r>
        <w:rPr>
          <w:rFonts w:ascii="Times New Roman" w:hAnsi="Times New Roman" w:eastAsia="Times New Roman"/>
          <w:i/>
        </w:rPr>
        <w:t>)}.</w:t>
      </w:r>
      <w:r>
        <w:rPr>
          <w:rFonts w:ascii="Times New Roman" w:hAnsi="Times New Roman"/>
        </w:rPr>
        <w:tab/>
        <w:t>(3)</w:t>
      </w:r>
    </w:p>
    <w:p>
      <w:pPr>
        <w:spacing w:line="480" w:lineRule="auto" w:after="0"/>
        <w:ind w:firstLine="720"/>
        <w:jc w:val="left"/>
      </w:pPr>
      <w:r>
        <w:rPr>
          <w:rFonts w:ascii="Times New Roman" w:hAnsi="Times New Roman" w:eastAsia="Times New Roman"/>
        </w:rPr>
        <w:t>The assumption of costless spillover is deliberate. It is the frictionless-switching benchmark, and we return to it when we discuss portability remedies in Section 9. Period profit is</w:t>
      </w:r>
    </w:p>
    <w:p>
      <w:pPr>
        <w:tabs>
          <w:tab w:pos="4680" w:val="center"/>
          <w:tab w:pos="9360" w:val="right"/>
        </w:tabs>
        <w:spacing w:line="360" w:lineRule="auto" w:after="120"/>
      </w:pPr>
      <w:r>
        <w:tab/>
      </w:r>
      <w:r>
        <w:rPr>
          <w:rFonts w:ascii="Times New Roman" w:hAnsi="Times New Roman" w:eastAsia="Times New Roman"/>
          <w:i/>
        </w:rPr>
        <w:t>Π</w:t>
      </w:r>
      <w:r>
        <w:rPr>
          <w:rFonts w:ascii="Times New Roman" w:hAnsi="Times New Roman" w:eastAsia="Times New Roman"/>
          <w:i/>
          <w:vertAlign w:val="subscript"/>
        </w:rPr>
        <w:t>i</w:t>
      </w:r>
      <w:r>
        <w:rPr>
          <w:rFonts w:ascii="Times New Roman" w:hAnsi="Times New Roman" w:eastAsia="Times New Roman"/>
          <w:i/>
        </w:rPr>
        <w:t xml:space="preserve"> = (</w:t>
      </w:r>
      <w:r>
        <w:rPr>
          <w:rFonts w:ascii="Times New Roman" w:hAnsi="Times New Roman" w:eastAsia="Times New Roman"/>
          <w:i/>
        </w:rPr>
        <w:t>p</w:t>
      </w:r>
      <w:r>
        <w:rPr>
          <w:rFonts w:ascii="Times New Roman" w:hAnsi="Times New Roman" w:eastAsia="Times New Roman"/>
          <w:i/>
          <w:vertAlign w:val="subscript"/>
        </w:rPr>
        <w:t>i</w:t>
      </w:r>
      <w:r>
        <w:rPr>
          <w:rFonts w:ascii="Times New Roman" w:hAnsi="Times New Roman" w:eastAsia="Times New Roman"/>
          <w:i/>
        </w:rPr>
        <w:t xml:space="preserve"> − </w:t>
      </w:r>
      <w:r>
        <w:rPr>
          <w:rFonts w:ascii="Times New Roman" w:hAnsi="Times New Roman" w:eastAsia="Times New Roman"/>
          <w:i/>
        </w:rPr>
        <w:t>c</w:t>
      </w:r>
      <w:r>
        <w:rPr>
          <w:rFonts w:ascii="Times New Roman" w:hAnsi="Times New Roman" w:eastAsia="Times New Roman"/>
          <w:i/>
        </w:rPr>
        <w:t>)</w:t>
      </w:r>
      <w:r>
        <w:rPr>
          <w:rFonts w:ascii="Times New Roman" w:hAnsi="Times New Roman" w:eastAsia="Times New Roman"/>
          <w:i/>
        </w:rPr>
        <w:t>q</w:t>
      </w:r>
      <w:r>
        <w:rPr>
          <w:rFonts w:ascii="Times New Roman" w:hAnsi="Times New Roman" w:eastAsia="Times New Roman"/>
          <w:i/>
          <w:vertAlign w:val="subscript"/>
        </w:rPr>
        <w:t>i</w:t>
      </w:r>
      <w:r>
        <w:rPr>
          <w:rFonts w:ascii="Times New Roman" w:hAnsi="Times New Roman" w:eastAsia="Times New Roman"/>
          <w:i/>
        </w:rPr>
        <w:t xml:space="preserve"> − ψ max(0, </w:t>
      </w:r>
      <w:r>
        <w:rPr>
          <w:rFonts w:ascii="Times New Roman" w:hAnsi="Times New Roman" w:eastAsia="Times New Roman"/>
          <w:i/>
        </w:rPr>
        <w:t>d</w:t>
      </w:r>
      <w:r>
        <w:rPr>
          <w:rFonts w:ascii="Times New Roman" w:hAnsi="Times New Roman" w:eastAsia="Times New Roman"/>
          <w:i/>
          <w:vertAlign w:val="subscript"/>
        </w:rPr>
        <w:t>i</w:t>
      </w:r>
      <w:r>
        <w:rPr>
          <w:rFonts w:ascii="Times New Roman" w:hAnsi="Times New Roman" w:eastAsia="Times New Roman"/>
          <w:i/>
        </w:rPr>
        <w:t xml:space="preserve"> − </w:t>
      </w:r>
      <w:r>
        <w:rPr>
          <w:rFonts w:ascii="Times New Roman" w:hAnsi="Times New Roman" w:eastAsia="Times New Roman"/>
          <w:i/>
        </w:rPr>
        <w:t>K</w:t>
      </w:r>
      <w:r>
        <w:rPr>
          <w:rFonts w:ascii="Times New Roman" w:hAnsi="Times New Roman" w:eastAsia="Times New Roman"/>
          <w:i/>
          <w:vertAlign w:val="subscript"/>
        </w:rPr>
        <w:t>i</w:t>
      </w:r>
      <w:r>
        <w:rPr>
          <w:rFonts w:ascii="Times New Roman" w:hAnsi="Times New Roman" w:eastAsia="Times New Roman"/>
          <w:i/>
        </w:rPr>
        <w:t xml:space="preserve">) − </w:t>
      </w:r>
      <w:r>
        <w:rPr>
          <w:rFonts w:ascii="Times New Roman" w:hAnsi="Times New Roman" w:eastAsia="Times New Roman"/>
          <w:i/>
        </w:rPr>
        <w:t>P</w:t>
      </w:r>
      <w:r>
        <w:rPr>
          <w:rFonts w:ascii="Times New Roman" w:hAnsi="Times New Roman" w:eastAsia="Times New Roman"/>
          <w:i/>
          <w:vertAlign w:val="subscript"/>
        </w:rPr>
        <w:t>k</w:t>
      </w:r>
      <w:r>
        <w:rPr>
          <w:rFonts w:ascii="Times New Roman" w:hAnsi="Times New Roman" w:eastAsia="Times New Roman"/>
          <w:i/>
        </w:rPr>
        <w:t>m</w:t>
      </w:r>
      <w:r>
        <w:rPr>
          <w:rFonts w:ascii="Times New Roman" w:hAnsi="Times New Roman" w:eastAsia="Times New Roman"/>
          <w:i/>
          <w:vertAlign w:val="subscript"/>
        </w:rPr>
        <w:t>i</w:t>
      </w:r>
      <w:r>
        <w:rPr>
          <w:rFonts w:ascii="Times New Roman" w:hAnsi="Times New Roman" w:eastAsia="Times New Roman"/>
          <w:i/>
        </w:rPr>
        <w:t xml:space="preserve"> − AC</w:t>
      </w:r>
      <w:r>
        <w:rPr>
          <w:rFonts w:ascii="Times New Roman" w:hAnsi="Times New Roman" w:eastAsia="Times New Roman"/>
          <w:i/>
          <w:vertAlign w:val="subscript"/>
        </w:rPr>
        <w:t>i</w:t>
      </w:r>
      <w:r>
        <w:rPr>
          <w:rFonts w:ascii="Times New Roman" w:hAnsi="Times New Roman" w:eastAsia="Times New Roman"/>
          <w:i/>
        </w:rPr>
        <w:t>(</w:t>
      </w:r>
      <w:r>
        <w:rPr>
          <w:rFonts w:ascii="Times New Roman" w:hAnsi="Times New Roman" w:eastAsia="Times New Roman"/>
          <w:i/>
        </w:rPr>
        <w:t>k</w:t>
      </w:r>
      <w:r>
        <w:rPr>
          <w:rFonts w:ascii="Times New Roman" w:hAnsi="Times New Roman" w:eastAsia="Times New Roman"/>
          <w:i/>
          <w:vertAlign w:val="subscript"/>
        </w:rPr>
        <w:t>i</w:t>
      </w:r>
      <w:r>
        <w:rPr>
          <w:rFonts w:ascii="Times New Roman" w:hAnsi="Times New Roman" w:eastAsia="Times New Roman"/>
          <w:i/>
        </w:rPr>
        <w:t>),</w:t>
      </w:r>
      <w:r>
        <w:rPr>
          <w:rFonts w:ascii="Times New Roman" w:hAnsi="Times New Roman"/>
        </w:rPr>
        <w:tab/>
        <w:t>(4)</w:t>
      </w:r>
    </w:p>
    <w:p>
      <w:pPr>
        <w:spacing w:line="480" w:lineRule="auto" w:after="0"/>
        <w:ind w:firstLine="720"/>
        <w:jc w:val="left"/>
      </w:pPr>
      <w:r>
        <w:rPr>
          <w:rFonts w:ascii="Times New Roman" w:hAnsi="Times New Roman" w:eastAsia="Times New Roman"/>
        </w:rPr>
        <w:t xml:space="preserve">where </w:t>
      </w:r>
      <w:r>
        <w:rPr>
          <w:rFonts w:ascii="Times New Roman" w:hAnsi="Times New Roman" w:eastAsia="Times New Roman"/>
          <w:i/>
        </w:rPr>
        <w:t>c</w:t>
      </w:r>
      <w:r>
        <w:rPr>
          <w:rFonts w:ascii="Times New Roman" w:hAnsi="Times New Roman" w:eastAsia="Times New Roman"/>
        </w:rPr>
        <w:t xml:space="preserve"> is the marginal serving cost, ψ is a service-level penalty per request that a provider was asked to serve but could not, </w:t>
      </w:r>
      <w:r>
        <w:rPr>
          <w:rFonts w:ascii="Times New Roman" w:hAnsi="Times New Roman" w:eastAsia="Times New Roman"/>
          <w:i/>
        </w:rPr>
        <w:t>P</w:t>
      </w:r>
      <w:r>
        <w:rPr>
          <w:rFonts w:ascii="Times New Roman" w:hAnsi="Times New Roman" w:eastAsia="Times New Roman"/>
          <w:vertAlign w:val="subscript"/>
        </w:rPr>
        <w:t>k</w:t>
      </w:r>
      <w:r>
        <w:rPr>
          <w:rFonts w:ascii="Times New Roman" w:hAnsi="Times New Roman" w:eastAsia="Times New Roman"/>
        </w:rPr>
        <w:t xml:space="preserve"> is the holding cost of a node, and AC</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rPr>
        <w:t>) is the adjustment cost just described. Two features of (4) matter for what follows. Profit does not depend on the capacity action except through AC</w:t>
      </w:r>
      <w:r>
        <w:rPr>
          <w:rFonts w:ascii="Times New Roman" w:hAnsi="Times New Roman" w:eastAsia="Times New Roman"/>
          <w:vertAlign w:val="subscript"/>
        </w:rPr>
        <w:t>i</w:t>
      </w:r>
      <w:r>
        <w:rPr>
          <w:rFonts w:ascii="Times New Roman" w:hAnsi="Times New Roman" w:eastAsia="Times New Roman"/>
        </w:rPr>
        <w:t>, and prices do not enter the law of motion (2).</w:t>
      </w:r>
    </w:p>
    <w:p>
      <w:pPr>
        <w:keepNext/>
        <w:spacing w:line="480" w:lineRule="auto"/>
      </w:pPr>
      <w:r>
        <w:rPr>
          <w:rFonts w:ascii="Times New Roman" w:hAnsi="Times New Roman" w:eastAsia="Times New Roman"/>
          <w:b/>
          <w:i/>
        </w:rPr>
        <w:t>3.3 Equilibrium</w:t>
      </w:r>
    </w:p>
    <w:p>
      <w:pPr>
        <w:spacing w:line="480" w:lineRule="auto" w:after="0"/>
        <w:ind w:firstLine="720"/>
        <w:jc w:val="left"/>
      </w:pPr>
      <w:r>
        <w:rPr>
          <w:rFonts w:ascii="Times New Roman" w:hAnsi="Times New Roman" w:eastAsia="Times New Roman"/>
        </w:rPr>
        <w:t>Each provider also receives an additive payoff shock ε</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a</w:t>
      </w:r>
      <w:r>
        <w:rPr>
          <w:rFonts w:ascii="Times New Roman" w:hAnsi="Times New Roman" w:eastAsia="Times New Roman"/>
        </w:rPr>
        <w:t xml:space="preserve">) for every joint action </w:t>
      </w:r>
      <w:r>
        <w:rPr>
          <w:rFonts w:ascii="Times New Roman" w:hAnsi="Times New Roman" w:eastAsia="Times New Roman"/>
          <w:i/>
        </w:rPr>
        <w:t>a</w:t>
      </w:r>
      <w:r>
        <w:rPr>
          <w:rFonts w:ascii="Times New Roman" w:hAnsi="Times New Roman" w:eastAsia="Times New Roman"/>
        </w:rPr>
        <w:t xml:space="preserve"> = (</w:t>
      </w:r>
      <w:r>
        <w:rPr>
          <w:rFonts w:ascii="Times New Roman" w:hAnsi="Times New Roman" w:eastAsia="Times New Roman"/>
          <w:i/>
        </w:rPr>
        <w:t>p</w:t>
      </w:r>
      <w:r>
        <w:rPr>
          <w:rFonts w:ascii="Times New Roman" w:hAnsi="Times New Roman" w:eastAsia="Times New Roman"/>
        </w:rPr>
        <w:t xml:space="preserve">, </w:t>
      </w:r>
      <w:r>
        <w:rPr>
          <w:rFonts w:ascii="Times New Roman" w:hAnsi="Times New Roman" w:eastAsia="Times New Roman"/>
          <w:i/>
        </w:rPr>
        <w:t>k</w:t>
      </w:r>
      <w:r>
        <w:rPr>
          <w:rFonts w:ascii="Times New Roman" w:hAnsi="Times New Roman" w:eastAsia="Times New Roman"/>
        </w:rPr>
        <w:t>), drawn independently over actions, periods, and providers from a Type I extreme-value distribution with scale ρ. A stationary MPE consists of strategies σ</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a</w:t>
      </w:r>
      <w:r>
        <w:rPr>
          <w:rFonts w:ascii="Times New Roman" w:hAnsi="Times New Roman" w:eastAsia="Times New Roman"/>
        </w:rPr>
        <w:t xml:space="preserve"> | </w:t>
      </w:r>
      <w:r>
        <w:rPr>
          <w:rFonts w:ascii="Times New Roman" w:hAnsi="Times New Roman" w:eastAsia="Times New Roman"/>
          <w:i/>
        </w:rPr>
        <w:t>S</w:t>
      </w:r>
      <w:r>
        <w:rPr>
          <w:rFonts w:ascii="Times New Roman" w:hAnsi="Times New Roman" w:eastAsia="Times New Roman"/>
        </w:rPr>
        <w:t xml:space="preserve">) and value functions </w:t>
      </w:r>
      <w:r>
        <w:rPr>
          <w:rFonts w:ascii="Times New Roman" w:hAnsi="Times New Roman" w:eastAsia="Times New Roman"/>
          <w:i/>
        </w:rPr>
        <w:t>V</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S</w:t>
      </w:r>
      <w:r>
        <w:rPr>
          <w:rFonts w:ascii="Times New Roman" w:hAnsi="Times New Roman" w:eastAsia="Times New Roman"/>
        </w:rPr>
        <w:t>) such that, with discount factor β,</w:t>
      </w:r>
    </w:p>
    <w:p>
      <w:pPr>
        <w:tabs>
          <w:tab w:pos="4680" w:val="center"/>
          <w:tab w:pos="9360" w:val="right"/>
        </w:tabs>
        <w:spacing w:line="360" w:lineRule="auto" w:after="120"/>
      </w:pPr>
      <w:r>
        <w:tab/>
      </w:r>
      <w:r>
        <w:rPr>
          <w:rFonts w:ascii="Times New Roman" w:hAnsi="Times New Roman" w:eastAsia="Times New Roman"/>
          <w:i/>
        </w:rPr>
        <w:t>v</w:t>
      </w:r>
      <w:r>
        <w:rPr>
          <w:rFonts w:ascii="Times New Roman" w:hAnsi="Times New Roman" w:eastAsia="Times New Roman"/>
          <w:i/>
          <w:vertAlign w:val="subscript"/>
        </w:rPr>
        <w:t>i</w:t>
      </w:r>
      <w:r>
        <w:rPr>
          <w:rFonts w:ascii="Times New Roman" w:hAnsi="Times New Roman" w:eastAsia="Times New Roman"/>
          <w:i/>
        </w:rPr>
        <w:t>(</w:t>
      </w:r>
      <w:r>
        <w:rPr>
          <w:rFonts w:ascii="Times New Roman" w:hAnsi="Times New Roman" w:eastAsia="Times New Roman"/>
          <w:i/>
        </w:rPr>
        <w:t>a</w:t>
      </w:r>
      <w:r>
        <w:rPr>
          <w:rFonts w:ascii="Times New Roman" w:hAnsi="Times New Roman" w:eastAsia="Times New Roman"/>
          <w:i/>
        </w:rPr>
        <w:t xml:space="preserve"> | </w:t>
      </w:r>
      <w:r>
        <w:rPr>
          <w:rFonts w:ascii="Times New Roman" w:hAnsi="Times New Roman" w:eastAsia="Times New Roman"/>
          <w:i/>
        </w:rPr>
        <w:t>S</w:t>
      </w:r>
      <w:r>
        <w:rPr>
          <w:rFonts w:ascii="Times New Roman" w:hAnsi="Times New Roman" w:eastAsia="Times New Roman"/>
          <w:i/>
        </w:rPr>
        <w:t>) = Σ</w:t>
      </w:r>
      <w:r>
        <w:rPr>
          <w:rFonts w:ascii="Times New Roman" w:hAnsi="Times New Roman" w:eastAsia="Times New Roman"/>
          <w:i/>
          <w:vertAlign w:val="subscript"/>
        </w:rPr>
        <w:t>a_{j</w:t>
      </w:r>
      <w:r>
        <w:rPr>
          <w:rFonts w:ascii="Times New Roman" w:hAnsi="Times New Roman" w:eastAsia="Times New Roman"/>
          <w:i/>
        </w:rPr>
        <w:t>} σ</w:t>
      </w:r>
      <w:r>
        <w:rPr>
          <w:rFonts w:ascii="Times New Roman" w:hAnsi="Times New Roman" w:eastAsia="Times New Roman"/>
          <w:i/>
          <w:vertAlign w:val="subscript"/>
        </w:rPr>
        <w:t>j</w:t>
      </w:r>
      <w:r>
        <w:rPr>
          <w:rFonts w:ascii="Times New Roman" w:hAnsi="Times New Roman" w:eastAsia="Times New Roman"/>
          <w:i/>
        </w:rPr>
        <w:t>(</w:t>
      </w:r>
      <w:r>
        <w:rPr>
          <w:rFonts w:ascii="Times New Roman" w:hAnsi="Times New Roman" w:eastAsia="Times New Roman"/>
          <w:i/>
        </w:rPr>
        <w:t>a</w:t>
      </w:r>
      <w:r>
        <w:rPr>
          <w:rFonts w:ascii="Times New Roman" w:hAnsi="Times New Roman" w:eastAsia="Times New Roman"/>
          <w:i/>
          <w:vertAlign w:val="subscript"/>
        </w:rPr>
        <w:t>j</w:t>
      </w:r>
      <w:r>
        <w:rPr>
          <w:rFonts w:ascii="Times New Roman" w:hAnsi="Times New Roman" w:eastAsia="Times New Roman"/>
          <w:i/>
        </w:rPr>
        <w:t xml:space="preserve"> | </w:t>
      </w:r>
      <w:r>
        <w:rPr>
          <w:rFonts w:ascii="Times New Roman" w:hAnsi="Times New Roman" w:eastAsia="Times New Roman"/>
          <w:i/>
        </w:rPr>
        <w:t>S</w:t>
      </w:r>
      <w:r>
        <w:rPr>
          <w:rFonts w:ascii="Times New Roman" w:hAnsi="Times New Roman" w:eastAsia="Times New Roman"/>
          <w:i/>
        </w:rPr>
        <w:t>) [ Π</w:t>
      </w:r>
      <w:r>
        <w:rPr>
          <w:rFonts w:ascii="Times New Roman" w:hAnsi="Times New Roman" w:eastAsia="Times New Roman"/>
          <w:i/>
          <w:vertAlign w:val="subscript"/>
        </w:rPr>
        <w:t>i</w:t>
      </w:r>
      <w:r>
        <w:rPr>
          <w:rFonts w:ascii="Times New Roman" w:hAnsi="Times New Roman" w:eastAsia="Times New Roman"/>
          <w:i/>
        </w:rPr>
        <w:t>(</w:t>
      </w:r>
      <w:r>
        <w:rPr>
          <w:rFonts w:ascii="Times New Roman" w:hAnsi="Times New Roman" w:eastAsia="Times New Roman"/>
          <w:i/>
        </w:rPr>
        <w:t>S</w:t>
      </w:r>
      <w:r>
        <w:rPr>
          <w:rFonts w:ascii="Times New Roman" w:hAnsi="Times New Roman" w:eastAsia="Times New Roman"/>
          <w:i/>
        </w:rPr>
        <w:t xml:space="preserve">, </w:t>
      </w:r>
      <w:r>
        <w:rPr>
          <w:rFonts w:ascii="Times New Roman" w:hAnsi="Times New Roman" w:eastAsia="Times New Roman"/>
          <w:i/>
        </w:rPr>
        <w:t>a</w:t>
      </w:r>
      <w:r>
        <w:rPr>
          <w:rFonts w:ascii="Times New Roman" w:hAnsi="Times New Roman" w:eastAsia="Times New Roman"/>
          <w:i/>
        </w:rPr>
        <w:t xml:space="preserve">, </w:t>
      </w:r>
      <w:r>
        <w:rPr>
          <w:rFonts w:ascii="Times New Roman" w:hAnsi="Times New Roman" w:eastAsia="Times New Roman"/>
          <w:i/>
        </w:rPr>
        <w:t>a</w:t>
      </w:r>
      <w:r>
        <w:rPr>
          <w:rFonts w:ascii="Times New Roman" w:hAnsi="Times New Roman" w:eastAsia="Times New Roman"/>
          <w:i/>
          <w:vertAlign w:val="subscript"/>
        </w:rPr>
        <w:t>j</w:t>
      </w:r>
      <w:r>
        <w:rPr>
          <w:rFonts w:ascii="Times New Roman" w:hAnsi="Times New Roman" w:eastAsia="Times New Roman"/>
          <w:i/>
        </w:rPr>
        <w:t>) + β Σ</w:t>
      </w:r>
      <w:r>
        <w:rPr>
          <w:rFonts w:ascii="Times New Roman" w:hAnsi="Times New Roman" w:eastAsia="Times New Roman"/>
          <w:i/>
          <w:vertAlign w:val="subscript"/>
        </w:rPr>
        <w:t>λ′</w:t>
      </w:r>
      <w:r>
        <w:rPr>
          <w:rFonts w:ascii="Times New Roman" w:hAnsi="Times New Roman" w:eastAsia="Times New Roman"/>
          <w:i/>
        </w:rPr>
        <w:t xml:space="preserve"> </w:t>
      </w:r>
      <w:r>
        <w:rPr>
          <w:rFonts w:ascii="Times New Roman" w:hAnsi="Times New Roman" w:eastAsia="Times New Roman"/>
          <w:i/>
        </w:rPr>
        <w:t>P</w:t>
      </w:r>
      <w:r>
        <w:rPr>
          <w:rFonts w:ascii="Times New Roman" w:hAnsi="Times New Roman" w:eastAsia="Times New Roman"/>
          <w:i/>
          <w:vertAlign w:val="subscript"/>
        </w:rPr>
        <w:t>λ</w:t>
      </w:r>
      <w:r>
        <w:rPr>
          <w:rFonts w:ascii="Times New Roman" w:hAnsi="Times New Roman" w:eastAsia="Times New Roman"/>
          <w:i/>
        </w:rPr>
        <w:t xml:space="preserve">(λ′ | λ) </w:t>
      </w:r>
      <w:r>
        <w:rPr>
          <w:rFonts w:ascii="Times New Roman" w:hAnsi="Times New Roman" w:eastAsia="Times New Roman"/>
          <w:i/>
        </w:rPr>
        <w:t>V</w:t>
      </w:r>
      <w:r>
        <w:rPr>
          <w:rFonts w:ascii="Times New Roman" w:hAnsi="Times New Roman" w:eastAsia="Times New Roman"/>
          <w:i/>
          <w:vertAlign w:val="subscript"/>
        </w:rPr>
        <w:t>i</w:t>
      </w:r>
      <w:r>
        <w:rPr>
          <w:rFonts w:ascii="Times New Roman" w:hAnsi="Times New Roman" w:eastAsia="Times New Roman"/>
          <w:i/>
        </w:rPr>
        <w:t>(</w:t>
      </w:r>
      <w:r>
        <w:rPr>
          <w:rFonts w:ascii="Times New Roman" w:hAnsi="Times New Roman" w:eastAsia="Times New Roman"/>
          <w:i/>
        </w:rPr>
        <w:t>m</w:t>
      </w:r>
      <w:r>
        <w:rPr>
          <w:rFonts w:ascii="Times New Roman" w:hAnsi="Times New Roman" w:eastAsia="Times New Roman"/>
          <w:i/>
          <w:vertAlign w:val="subscript"/>
        </w:rPr>
        <w:t>i</w:t>
      </w:r>
      <w:r>
        <w:rPr>
          <w:rFonts w:ascii="Times New Roman" w:hAnsi="Times New Roman" w:eastAsia="Times New Roman"/>
          <w:i/>
        </w:rPr>
        <w:t xml:space="preserve">′, </w:t>
      </w:r>
      <w:r>
        <w:rPr>
          <w:rFonts w:ascii="Times New Roman" w:hAnsi="Times New Roman" w:eastAsia="Times New Roman"/>
          <w:i/>
        </w:rPr>
        <w:t>m</w:t>
      </w:r>
      <w:r>
        <w:rPr>
          <w:rFonts w:ascii="Times New Roman" w:hAnsi="Times New Roman" w:eastAsia="Times New Roman"/>
          <w:i/>
          <w:vertAlign w:val="subscript"/>
        </w:rPr>
        <w:t>j</w:t>
      </w:r>
      <w:r>
        <w:rPr>
          <w:rFonts w:ascii="Times New Roman" w:hAnsi="Times New Roman" w:eastAsia="Times New Roman"/>
          <w:i/>
        </w:rPr>
        <w:t>′, λ′) ],</w:t>
      </w:r>
      <w:r>
        <w:rPr>
          <w:rFonts w:ascii="Times New Roman" w:hAnsi="Times New Roman"/>
        </w:rPr>
        <w:tab/>
        <w:t>(5)</w:t>
      </w:r>
    </w:p>
    <w:p>
      <w:pPr>
        <w:tabs>
          <w:tab w:pos="4680" w:val="center"/>
          <w:tab w:pos="9360" w:val="right"/>
        </w:tabs>
        <w:spacing w:line="360" w:lineRule="auto" w:after="120"/>
      </w:pPr>
      <w:r>
        <w:tab/>
      </w:r>
      <w:r>
        <w:rPr>
          <w:rFonts w:ascii="Times New Roman" w:hAnsi="Times New Roman" w:eastAsia="Times New Roman"/>
          <w:i/>
        </w:rPr>
        <w:t>σ</w:t>
      </w:r>
      <w:r>
        <w:rPr>
          <w:rFonts w:ascii="Times New Roman" w:hAnsi="Times New Roman" w:eastAsia="Times New Roman"/>
          <w:i/>
          <w:vertAlign w:val="subscript"/>
        </w:rPr>
        <w:t>i</w:t>
      </w:r>
      <w:r>
        <w:rPr>
          <w:rFonts w:ascii="Times New Roman" w:hAnsi="Times New Roman" w:eastAsia="Times New Roman"/>
          <w:i/>
        </w:rPr>
        <w:t>(</w:t>
      </w:r>
      <w:r>
        <w:rPr>
          <w:rFonts w:ascii="Times New Roman" w:hAnsi="Times New Roman" w:eastAsia="Times New Roman"/>
          <w:i/>
        </w:rPr>
        <w:t>a</w:t>
      </w:r>
      <w:r>
        <w:rPr>
          <w:rFonts w:ascii="Times New Roman" w:hAnsi="Times New Roman" w:eastAsia="Times New Roman"/>
          <w:i/>
        </w:rPr>
        <w:t xml:space="preserve"> | </w:t>
      </w:r>
      <w:r>
        <w:rPr>
          <w:rFonts w:ascii="Times New Roman" w:hAnsi="Times New Roman" w:eastAsia="Times New Roman"/>
          <w:i/>
        </w:rPr>
        <w:t>S</w:t>
      </w:r>
      <w:r>
        <w:rPr>
          <w:rFonts w:ascii="Times New Roman" w:hAnsi="Times New Roman" w:eastAsia="Times New Roman"/>
          <w:i/>
        </w:rPr>
        <w:t>) = exp(</w:t>
      </w:r>
      <w:r>
        <w:rPr>
          <w:rFonts w:ascii="Times New Roman" w:hAnsi="Times New Roman" w:eastAsia="Times New Roman"/>
          <w:i/>
        </w:rPr>
        <w:t>v</w:t>
      </w:r>
      <w:r>
        <w:rPr>
          <w:rFonts w:ascii="Times New Roman" w:hAnsi="Times New Roman" w:eastAsia="Times New Roman"/>
          <w:i/>
          <w:vertAlign w:val="subscript"/>
        </w:rPr>
        <w:t>i</w:t>
      </w:r>
      <w:r>
        <w:rPr>
          <w:rFonts w:ascii="Times New Roman" w:hAnsi="Times New Roman" w:eastAsia="Times New Roman"/>
          <w:i/>
        </w:rPr>
        <w:t>(</w:t>
      </w:r>
      <w:r>
        <w:rPr>
          <w:rFonts w:ascii="Times New Roman" w:hAnsi="Times New Roman" w:eastAsia="Times New Roman"/>
          <w:i/>
        </w:rPr>
        <w:t>a</w:t>
      </w:r>
      <w:r>
        <w:rPr>
          <w:rFonts w:ascii="Times New Roman" w:hAnsi="Times New Roman" w:eastAsia="Times New Roman"/>
          <w:i/>
        </w:rPr>
        <w:t xml:space="preserve"> | </w:t>
      </w:r>
      <w:r>
        <w:rPr>
          <w:rFonts w:ascii="Times New Roman" w:hAnsi="Times New Roman" w:eastAsia="Times New Roman"/>
          <w:i/>
        </w:rPr>
        <w:t>S</w:t>
      </w:r>
      <w:r>
        <w:rPr>
          <w:rFonts w:ascii="Times New Roman" w:hAnsi="Times New Roman" w:eastAsia="Times New Roman"/>
          <w:i/>
        </w:rPr>
        <w:t>)/ρ) / Σ</w:t>
      </w:r>
      <w:r>
        <w:rPr>
          <w:rFonts w:ascii="Times New Roman" w:hAnsi="Times New Roman" w:eastAsia="Times New Roman"/>
          <w:i/>
          <w:vertAlign w:val="subscript"/>
        </w:rPr>
        <w:t>a′</w:t>
      </w:r>
      <w:r>
        <w:rPr>
          <w:rFonts w:ascii="Times New Roman" w:hAnsi="Times New Roman" w:eastAsia="Times New Roman"/>
          <w:i/>
        </w:rPr>
        <w:t xml:space="preserve"> exp(</w:t>
      </w:r>
      <w:r>
        <w:rPr>
          <w:rFonts w:ascii="Times New Roman" w:hAnsi="Times New Roman" w:eastAsia="Times New Roman"/>
          <w:i/>
        </w:rPr>
        <w:t>v</w:t>
      </w:r>
      <w:r>
        <w:rPr>
          <w:rFonts w:ascii="Times New Roman" w:hAnsi="Times New Roman" w:eastAsia="Times New Roman"/>
          <w:i/>
          <w:vertAlign w:val="subscript"/>
        </w:rPr>
        <w:t>i</w:t>
      </w:r>
      <w:r>
        <w:rPr>
          <w:rFonts w:ascii="Times New Roman" w:hAnsi="Times New Roman" w:eastAsia="Times New Roman"/>
          <w:i/>
        </w:rPr>
        <w:t>(</w:t>
      </w:r>
      <w:r>
        <w:rPr>
          <w:rFonts w:ascii="Times New Roman" w:hAnsi="Times New Roman" w:eastAsia="Times New Roman"/>
          <w:i/>
        </w:rPr>
        <w:t>a</w:t>
      </w:r>
      <w:r>
        <w:rPr>
          <w:rFonts w:ascii="Times New Roman" w:hAnsi="Times New Roman" w:eastAsia="Times New Roman"/>
          <w:i/>
        </w:rPr>
        <w:t xml:space="preserve">′ | </w:t>
      </w:r>
      <w:r>
        <w:rPr>
          <w:rFonts w:ascii="Times New Roman" w:hAnsi="Times New Roman" w:eastAsia="Times New Roman"/>
          <w:i/>
        </w:rPr>
        <w:t>S</w:t>
      </w:r>
      <w:r>
        <w:rPr>
          <w:rFonts w:ascii="Times New Roman" w:hAnsi="Times New Roman" w:eastAsia="Times New Roman"/>
          <w:i/>
        </w:rPr>
        <w:t xml:space="preserve">)/ρ),    </w:t>
      </w:r>
      <w:r>
        <w:rPr>
          <w:rFonts w:ascii="Times New Roman" w:hAnsi="Times New Roman" w:eastAsia="Times New Roman"/>
          <w:i/>
        </w:rPr>
        <w:t>V</w:t>
      </w:r>
      <w:r>
        <w:rPr>
          <w:rFonts w:ascii="Times New Roman" w:hAnsi="Times New Roman" w:eastAsia="Times New Roman"/>
          <w:i/>
          <w:vertAlign w:val="subscript"/>
        </w:rPr>
        <w:t>i</w:t>
      </w:r>
      <w:r>
        <w:rPr>
          <w:rFonts w:ascii="Times New Roman" w:hAnsi="Times New Roman" w:eastAsia="Times New Roman"/>
          <w:i/>
        </w:rPr>
        <w:t>(</w:t>
      </w:r>
      <w:r>
        <w:rPr>
          <w:rFonts w:ascii="Times New Roman" w:hAnsi="Times New Roman" w:eastAsia="Times New Roman"/>
          <w:i/>
        </w:rPr>
        <w:t>S</w:t>
      </w:r>
      <w:r>
        <w:rPr>
          <w:rFonts w:ascii="Times New Roman" w:hAnsi="Times New Roman" w:eastAsia="Times New Roman"/>
          <w:i/>
        </w:rPr>
        <w:t>) = ρ [ γ + ln Σ</w:t>
      </w:r>
      <w:r>
        <w:rPr>
          <w:rFonts w:ascii="Times New Roman" w:hAnsi="Times New Roman" w:eastAsia="Times New Roman"/>
          <w:i/>
          <w:vertAlign w:val="subscript"/>
        </w:rPr>
        <w:t>a</w:t>
      </w:r>
      <w:r>
        <w:rPr>
          <w:rFonts w:ascii="Times New Roman" w:hAnsi="Times New Roman" w:eastAsia="Times New Roman"/>
          <w:i/>
        </w:rPr>
        <w:t xml:space="preserve"> exp(</w:t>
      </w:r>
      <w:r>
        <w:rPr>
          <w:rFonts w:ascii="Times New Roman" w:hAnsi="Times New Roman" w:eastAsia="Times New Roman"/>
          <w:i/>
        </w:rPr>
        <w:t>v</w:t>
      </w:r>
      <w:r>
        <w:rPr>
          <w:rFonts w:ascii="Times New Roman" w:hAnsi="Times New Roman" w:eastAsia="Times New Roman"/>
          <w:i/>
          <w:vertAlign w:val="subscript"/>
        </w:rPr>
        <w:t>i</w:t>
      </w:r>
      <w:r>
        <w:rPr>
          <w:rFonts w:ascii="Times New Roman" w:hAnsi="Times New Roman" w:eastAsia="Times New Roman"/>
          <w:i/>
        </w:rPr>
        <w:t>(</w:t>
      </w:r>
      <w:r>
        <w:rPr>
          <w:rFonts w:ascii="Times New Roman" w:hAnsi="Times New Roman" w:eastAsia="Times New Roman"/>
          <w:i/>
        </w:rPr>
        <w:t>a</w:t>
      </w:r>
      <w:r>
        <w:rPr>
          <w:rFonts w:ascii="Times New Roman" w:hAnsi="Times New Roman" w:eastAsia="Times New Roman"/>
          <w:i/>
        </w:rPr>
        <w:t xml:space="preserve"> | </w:t>
      </w:r>
      <w:r>
        <w:rPr>
          <w:rFonts w:ascii="Times New Roman" w:hAnsi="Times New Roman" w:eastAsia="Times New Roman"/>
          <w:i/>
        </w:rPr>
        <w:t>S</w:t>
      </w:r>
      <w:r>
        <w:rPr>
          <w:rFonts w:ascii="Times New Roman" w:hAnsi="Times New Roman" w:eastAsia="Times New Roman"/>
          <w:i/>
        </w:rPr>
        <w:t>)/ρ) ],</w:t>
      </w:r>
      <w:r>
        <w:rPr>
          <w:rFonts w:ascii="Times New Roman" w:hAnsi="Times New Roman"/>
        </w:rPr>
        <w:tab/>
        <w:t>(6)</w:t>
      </w:r>
    </w:p>
    <w:p>
      <w:pPr>
        <w:spacing w:line="480" w:lineRule="auto" w:after="0"/>
        <w:ind w:firstLine="720"/>
        <w:jc w:val="left"/>
      </w:pPr>
      <w:r>
        <w:rPr>
          <w:rFonts w:ascii="Times New Roman" w:hAnsi="Times New Roman" w:eastAsia="Times New Roman"/>
        </w:rPr>
        <w:t>where γ is Euler’s constant. The logit form serves two purposes. It matches the extreme-value assumption that is standard in the structural dynamic-game literature, and it guarantees that an equilibrium exists in the pricing game even in states where no pure-strategy equilibrium does, which is the Edgeworth problem. As ρ shrinks, behavior approaches best-response behavior.</w:t>
      </w:r>
    </w:p>
    <w:p>
      <w:pPr>
        <w:keepNext/>
        <w:spacing w:line="480" w:lineRule="auto"/>
      </w:pPr>
      <w:r>
        <w:rPr>
          <w:rFonts w:ascii="Times New Roman" w:hAnsi="Times New Roman" w:eastAsia="Times New Roman"/>
          <w:b/>
          <w:i/>
        </w:rPr>
        <w:t>3.4 Benchmarks and parameters</w:t>
      </w:r>
    </w:p>
    <w:p>
      <w:pPr>
        <w:spacing w:line="480" w:lineRule="auto" w:after="0"/>
        <w:ind w:firstLine="720"/>
        <w:jc w:val="left"/>
      </w:pPr>
      <w:r>
        <w:rPr>
          <w:rFonts w:ascii="Times New Roman" w:hAnsi="Times New Roman" w:eastAsia="Times New Roman"/>
        </w:rPr>
        <w:t xml:space="preserve">We compare the equilibrium with two benchmarks. The </w:t>
      </w:r>
      <w:r>
        <w:rPr>
          <w:rFonts w:ascii="Times New Roman" w:hAnsi="Times New Roman" w:eastAsia="Times New Roman"/>
          <w:i/>
        </w:rPr>
        <w:t>joint-profit benchmark</w:t>
      </w:r>
      <w:r>
        <w:rPr>
          <w:rFonts w:ascii="Times New Roman" w:hAnsi="Times New Roman" w:eastAsia="Times New Roman"/>
        </w:rPr>
        <w:t xml:space="preserve"> has a single decision-maker choose both firms’ prices and capacity actions to maximize the sum of profits, with no shocks; it stands in for the outcome of perfect coordination. The </w:t>
      </w:r>
      <w:r>
        <w:rPr>
          <w:rFonts w:ascii="Times New Roman" w:hAnsi="Times New Roman" w:eastAsia="Times New Roman"/>
          <w:i/>
        </w:rPr>
        <w:t>market-share contest</w:t>
      </w:r>
      <w:r>
        <w:rPr>
          <w:rFonts w:ascii="Times New Roman" w:hAnsi="Times New Roman" w:eastAsia="Times New Roman"/>
        </w:rPr>
        <w:t xml:space="preserve"> replaces the pricing game by a single posted price and splits demand in proportion to installed capacity, </w:t>
      </w:r>
      <w:r>
        <w:rPr>
          <w:rFonts w:ascii="Times New Roman" w:hAnsi="Times New Roman" w:eastAsia="Times New Roman"/>
          <w:i/>
        </w:rPr>
        <w:t>d</w:t>
      </w:r>
      <w:r>
        <w:rPr>
          <w:rFonts w:ascii="Times New Roman" w:hAnsi="Times New Roman" w:eastAsia="Times New Roman"/>
          <w:vertAlign w:val="subscript"/>
        </w:rPr>
        <w:t>i</w:t>
      </w:r>
      <w:r>
        <w:rPr>
          <w:rFonts w:ascii="Times New Roman" w:hAnsi="Times New Roman" w:eastAsia="Times New Roman"/>
        </w:rPr>
        <w:t xml:space="preserve"> = λ</w:t>
      </w:r>
      <w:r>
        <w:rPr>
          <w:rFonts w:ascii="Times New Roman" w:hAnsi="Times New Roman" w:eastAsia="Times New Roman"/>
          <w:i/>
        </w:rPr>
        <w:t>m</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m</w:t>
      </w:r>
      <w:r>
        <w:rPr>
          <w:rFonts w:ascii="Times New Roman" w:hAnsi="Times New Roman" w:eastAsia="Times New Roman"/>
          <w:vertAlign w:val="subscript"/>
        </w:rPr>
        <w:t>i</w:t>
      </w:r>
      <w:r>
        <w:rPr>
          <w:rFonts w:ascii="Times New Roman" w:hAnsi="Times New Roman" w:eastAsia="Times New Roman"/>
        </w:rPr>
        <w:t xml:space="preserve"> + </w:t>
      </w:r>
      <w:r>
        <w:rPr>
          <w:rFonts w:ascii="Times New Roman" w:hAnsi="Times New Roman" w:eastAsia="Times New Roman"/>
          <w:i/>
        </w:rPr>
        <w:t>m</w:t>
      </w:r>
      <w:r>
        <w:rPr>
          <w:rFonts w:ascii="Times New Roman" w:hAnsi="Times New Roman" w:eastAsia="Times New Roman"/>
          <w:vertAlign w:val="subscript"/>
        </w:rPr>
        <w:t>j</w:t>
      </w:r>
      <w:r>
        <w:rPr>
          <w:rFonts w:ascii="Times New Roman" w:hAnsi="Times New Roman" w:eastAsia="Times New Roman"/>
        </w:rPr>
        <w:t>) (equal split if both are zero), a reduced form that is common in capacity-race models. Both use the same cost parameters and state space. Table 1 lists the parameters. They are illustrative, and Section 6 varies each of them.</w:t>
      </w:r>
    </w:p>
    <w:p>
      <w:pPr>
        <w:keepNext/>
        <w:spacing w:after="80"/>
      </w:pPr>
      <w:r>
        <w:rPr>
          <w:rFonts w:ascii="Times New Roman" w:hAnsi="Times New Roman" w:eastAsia="Times New Roman"/>
          <w:b/>
          <w:sz w:val="22"/>
        </w:rPr>
        <w:t>Table 1.</w:t>
      </w:r>
      <w:r>
        <w:rPr>
          <w:rFonts w:ascii="Times New Roman" w:hAnsi="Times New Roman" w:eastAsia="Times New Roman"/>
          <w:sz w:val="22"/>
        </w:rPr>
        <w:t xml:space="preserve"> Parameters of the base scenario.</w:t>
      </w:r>
    </w:p>
    <w:tbl>
      <w:tblPr>
        <w:tblW w:type="auto" w:w="0"/>
        <w:jc w:val="center"/>
        <w:tblLayout w:type="fixed"/>
        <w:tblLook w:firstColumn="1" w:firstRow="1" w:lastColumn="0" w:lastRow="0" w:noHBand="0" w:noVBand="1" w:val="04A0"/>
      </w:tblPr>
      <w:tblGrid>
        <w:gridCol w:w="3120"/>
        <w:gridCol w:w="3120"/>
        <w:gridCol w:w="3120"/>
      </w:tblGrid>
      <w:tr>
        <w:tc>
          <w:tcPr>
            <w:tcW w:type="dxa" w:w="5184"/>
            <w:tcBorders>
              <w:top w:val="single" w:sz="8" w:space="0" w:color="000000"/>
              <w:bottom w:val="single" w:sz="8" w:space="0" w:color="000000"/>
            </w:tcBorders>
          </w:tcPr>
          <w:p>
            <w:pPr>
              <w:jc w:val="left"/>
            </w:pPr>
            <w:r/>
            <w:r>
              <w:rPr>
                <w:rFonts w:ascii="Times New Roman" w:hAnsi="Times New Roman" w:eastAsia="Times New Roman"/>
                <w:b/>
                <w:sz w:val="20"/>
              </w:rPr>
              <w:t>Parameter</w:t>
            </w:r>
          </w:p>
        </w:tc>
        <w:tc>
          <w:tcPr>
            <w:tcW w:type="dxa" w:w="1584"/>
            <w:tcBorders>
              <w:top w:val="single" w:sz="8" w:space="0" w:color="000000"/>
              <w:bottom w:val="single" w:sz="8" w:space="0" w:color="000000"/>
            </w:tcBorders>
          </w:tcPr>
          <w:p>
            <w:pPr>
              <w:jc w:val="center"/>
            </w:pPr>
            <w:r/>
            <w:r>
              <w:rPr>
                <w:rFonts w:ascii="Times New Roman" w:hAnsi="Times New Roman" w:eastAsia="Times New Roman"/>
                <w:b/>
                <w:sz w:val="20"/>
              </w:rPr>
              <w:t>Symbol</w:t>
            </w:r>
          </w:p>
        </w:tc>
        <w:tc>
          <w:tcPr>
            <w:tcW w:type="dxa" w:w="2592"/>
            <w:tcBorders>
              <w:top w:val="single" w:sz="8" w:space="0" w:color="000000"/>
              <w:bottom w:val="single" w:sz="8" w:space="0" w:color="000000"/>
            </w:tcBorders>
          </w:tcPr>
          <w:p>
            <w:pPr>
              <w:jc w:val="center"/>
            </w:pPr>
            <w:r/>
            <w:r>
              <w:rPr>
                <w:rFonts w:ascii="Times New Roman" w:hAnsi="Times New Roman" w:eastAsia="Times New Roman"/>
                <w:b/>
                <w:sz w:val="20"/>
              </w:rPr>
              <w:t>Value</w:t>
            </w:r>
          </w:p>
        </w:tc>
      </w:tr>
      <w:tr>
        <w:tc>
          <w:tcPr>
            <w:tcW w:type="dxa" w:w="5184"/>
          </w:tcPr>
          <w:p>
            <w:pPr>
              <w:jc w:val="left"/>
            </w:pPr>
            <w:r/>
            <w:r>
              <w:rPr>
                <w:rFonts w:ascii="Times New Roman" w:hAnsi="Times New Roman" w:eastAsia="Times New Roman"/>
                <w:sz w:val="20"/>
              </w:rPr>
              <w:t>Requests served per node per period</w:t>
            </w:r>
          </w:p>
        </w:tc>
        <w:tc>
          <w:tcPr>
            <w:tcW w:type="dxa" w:w="1584"/>
          </w:tcPr>
          <w:p>
            <w:pPr>
              <w:jc w:val="center"/>
            </w:pPr>
            <w:r/>
            <w:r>
              <w:rPr>
                <w:rFonts w:ascii="Times New Roman" w:hAnsi="Times New Roman" w:eastAsia="Times New Roman"/>
                <w:sz w:val="20"/>
              </w:rPr>
              <w:t>κ</w:t>
            </w:r>
          </w:p>
        </w:tc>
        <w:tc>
          <w:tcPr>
            <w:tcW w:type="dxa" w:w="2592"/>
          </w:tcPr>
          <w:p>
            <w:pPr>
              <w:jc w:val="center"/>
            </w:pPr>
            <w:r/>
            <w:r>
              <w:rPr>
                <w:rFonts w:ascii="Times New Roman" w:hAnsi="Times New Roman" w:eastAsia="Times New Roman"/>
                <w:sz w:val="20"/>
              </w:rPr>
              <w:t>15</w:t>
            </w:r>
          </w:p>
        </w:tc>
      </w:tr>
      <w:tr>
        <w:tc>
          <w:tcPr>
            <w:tcW w:type="dxa" w:w="5184"/>
          </w:tcPr>
          <w:p>
            <w:pPr>
              <w:jc w:val="left"/>
            </w:pPr>
            <w:r/>
            <w:r>
              <w:rPr>
                <w:rFonts w:ascii="Times New Roman" w:hAnsi="Times New Roman" w:eastAsia="Times New Roman"/>
                <w:sz w:val="20"/>
              </w:rPr>
              <w:t>Demand regimes (low, medium, high)</w:t>
            </w:r>
          </w:p>
        </w:tc>
        <w:tc>
          <w:tcPr>
            <w:tcW w:type="dxa" w:w="1584"/>
          </w:tcPr>
          <w:p>
            <w:pPr>
              <w:jc w:val="center"/>
            </w:pPr>
            <w:r/>
            <w:r>
              <w:rPr>
                <w:rFonts w:ascii="Times New Roman" w:hAnsi="Times New Roman" w:eastAsia="Times New Roman"/>
                <w:sz w:val="20"/>
              </w:rPr>
              <w:t>λ</w:t>
            </w:r>
          </w:p>
        </w:tc>
        <w:tc>
          <w:tcPr>
            <w:tcW w:type="dxa" w:w="2592"/>
          </w:tcPr>
          <w:p>
            <w:pPr>
              <w:jc w:val="center"/>
            </w:pPr>
            <w:r/>
            <w:r>
              <w:rPr>
                <w:rFonts w:ascii="Times New Roman" w:hAnsi="Times New Roman" w:eastAsia="Times New Roman"/>
                <w:sz w:val="20"/>
              </w:rPr>
              <w:t>10, 25, 45</w:t>
            </w:r>
          </w:p>
        </w:tc>
      </w:tr>
      <w:tr>
        <w:tc>
          <w:tcPr>
            <w:tcW w:type="dxa" w:w="5184"/>
          </w:tcPr>
          <w:p>
            <w:pPr>
              <w:jc w:val="left"/>
            </w:pPr>
            <w:r/>
            <w:r>
              <w:rPr>
                <w:rFonts w:ascii="Times New Roman" w:hAnsi="Times New Roman" w:eastAsia="Times New Roman"/>
                <w:sz w:val="20"/>
              </w:rPr>
              <w:t>Regime transition matrix (rows: from low, medium, high)</w:t>
            </w:r>
          </w:p>
        </w:tc>
        <w:tc>
          <w:tcPr>
            <w:tcW w:type="dxa" w:w="1584"/>
          </w:tcPr>
          <w:p>
            <w:pPr>
              <w:jc w:val="center"/>
            </w:pPr>
            <w:r/>
            <w:r>
              <w:rPr>
                <w:rFonts w:ascii="Times New Roman" w:hAnsi="Times New Roman" w:eastAsia="Times New Roman"/>
                <w:i/>
                <w:sz w:val="20"/>
              </w:rPr>
              <w:t>P</w:t>
            </w:r>
            <w:r>
              <w:rPr>
                <w:rFonts w:ascii="Times New Roman" w:hAnsi="Times New Roman" w:eastAsia="Times New Roman"/>
                <w:sz w:val="20"/>
                <w:vertAlign w:val="subscript"/>
              </w:rPr>
              <w:t>λ</w:t>
            </w:r>
          </w:p>
        </w:tc>
        <w:tc>
          <w:tcPr>
            <w:tcW w:type="dxa" w:w="2592"/>
          </w:tcPr>
          <w:p>
            <w:pPr>
              <w:jc w:val="center"/>
            </w:pPr>
            <w:r/>
            <w:r>
              <w:rPr>
                <w:rFonts w:ascii="Times New Roman" w:hAnsi="Times New Roman" w:eastAsia="Times New Roman"/>
                <w:sz w:val="20"/>
              </w:rPr>
              <w:t>(.7, .2, .1), (.2, .6, .2), (.1, .3, .6)</w:t>
            </w:r>
          </w:p>
        </w:tc>
      </w:tr>
      <w:tr>
        <w:tc>
          <w:tcPr>
            <w:tcW w:type="dxa" w:w="5184"/>
          </w:tcPr>
          <w:p>
            <w:pPr>
              <w:jc w:val="left"/>
            </w:pPr>
            <w:r/>
            <w:r>
              <w:rPr>
                <w:rFonts w:ascii="Times New Roman" w:hAnsi="Times New Roman" w:eastAsia="Times New Roman"/>
                <w:sz w:val="20"/>
              </w:rPr>
              <w:t>Price grid / reservation price</w:t>
            </w:r>
          </w:p>
        </w:tc>
        <w:tc>
          <w:tcPr>
            <w:tcW w:type="dxa" w:w="1584"/>
          </w:tcPr>
          <w:p>
            <w:pPr>
              <w:jc w:val="center"/>
            </w:pPr>
            <w:r/>
            <w:r>
              <w:rPr>
                <w:rFonts w:ascii="Times New Roman" w:hAnsi="Times New Roman" w:eastAsia="Times New Roman"/>
                <w:sz w:val="20"/>
              </w:rPr>
              <w:t>𝒫 / p̄</w:t>
            </w:r>
          </w:p>
        </w:tc>
        <w:tc>
          <w:tcPr>
            <w:tcW w:type="dxa" w:w="2592"/>
          </w:tcPr>
          <w:p>
            <w:pPr>
              <w:jc w:val="center"/>
            </w:pPr>
            <w:r/>
            <w:r>
              <w:rPr>
                <w:rFonts w:ascii="Times New Roman" w:hAnsi="Times New Roman" w:eastAsia="Times New Roman"/>
                <w:sz w:val="20"/>
              </w:rPr>
              <w:t>{0.4, 0.8, 1.2, 1.5} / 1.5</w:t>
            </w:r>
          </w:p>
        </w:tc>
      </w:tr>
      <w:tr>
        <w:tc>
          <w:tcPr>
            <w:tcW w:type="dxa" w:w="5184"/>
          </w:tcPr>
          <w:p>
            <w:pPr>
              <w:jc w:val="left"/>
            </w:pPr>
            <w:r/>
            <w:r>
              <w:rPr>
                <w:rFonts w:ascii="Times New Roman" w:hAnsi="Times New Roman" w:eastAsia="Times New Roman"/>
                <w:sz w:val="20"/>
              </w:rPr>
              <w:t>Marginal serving cost</w:t>
            </w:r>
          </w:p>
        </w:tc>
        <w:tc>
          <w:tcPr>
            <w:tcW w:type="dxa" w:w="1584"/>
          </w:tcPr>
          <w:p>
            <w:pPr>
              <w:jc w:val="center"/>
            </w:pPr>
            <w:r/>
            <w:r>
              <w:rPr>
                <w:rFonts w:ascii="Times New Roman" w:hAnsi="Times New Roman" w:eastAsia="Times New Roman"/>
                <w:i/>
                <w:sz w:val="20"/>
              </w:rPr>
              <w:t>c</w:t>
            </w:r>
          </w:p>
        </w:tc>
        <w:tc>
          <w:tcPr>
            <w:tcW w:type="dxa" w:w="2592"/>
          </w:tcPr>
          <w:p>
            <w:pPr>
              <w:jc w:val="center"/>
            </w:pPr>
            <w:r/>
            <w:r>
              <w:rPr>
                <w:rFonts w:ascii="Times New Roman" w:hAnsi="Times New Roman" w:eastAsia="Times New Roman"/>
                <w:sz w:val="20"/>
              </w:rPr>
              <w:t>0.3</w:t>
            </w:r>
          </w:p>
        </w:tc>
      </w:tr>
      <w:tr>
        <w:tc>
          <w:tcPr>
            <w:tcW w:type="dxa" w:w="5184"/>
          </w:tcPr>
          <w:p>
            <w:pPr>
              <w:jc w:val="left"/>
            </w:pPr>
            <w:r/>
            <w:r>
              <w:rPr>
                <w:rFonts w:ascii="Times New Roman" w:hAnsi="Times New Roman" w:eastAsia="Times New Roman"/>
                <w:sz w:val="20"/>
              </w:rPr>
              <w:t>Node holding cost per period</w:t>
            </w:r>
          </w:p>
        </w:tc>
        <w:tc>
          <w:tcPr>
            <w:tcW w:type="dxa" w:w="1584"/>
          </w:tcPr>
          <w:p>
            <w:pPr>
              <w:jc w:val="center"/>
            </w:pPr>
            <w:r/>
            <w:r>
              <w:rPr>
                <w:rFonts w:ascii="Times New Roman" w:hAnsi="Times New Roman" w:eastAsia="Times New Roman"/>
                <w:i/>
                <w:sz w:val="20"/>
              </w:rPr>
              <w:t>P</w:t>
            </w:r>
            <w:r>
              <w:rPr>
                <w:rFonts w:ascii="Times New Roman" w:hAnsi="Times New Roman" w:eastAsia="Times New Roman"/>
                <w:sz w:val="20"/>
                <w:vertAlign w:val="subscript"/>
              </w:rPr>
              <w:t>k</w:t>
            </w:r>
          </w:p>
        </w:tc>
        <w:tc>
          <w:tcPr>
            <w:tcW w:type="dxa" w:w="2592"/>
          </w:tcPr>
          <w:p>
            <w:pPr>
              <w:jc w:val="center"/>
            </w:pPr>
            <w:r/>
            <w:r>
              <w:rPr>
                <w:rFonts w:ascii="Times New Roman" w:hAnsi="Times New Roman" w:eastAsia="Times New Roman"/>
                <w:sz w:val="20"/>
              </w:rPr>
              <w:t>2</w:t>
            </w:r>
          </w:p>
        </w:tc>
      </w:tr>
      <w:tr>
        <w:tc>
          <w:tcPr>
            <w:tcW w:type="dxa" w:w="5184"/>
          </w:tcPr>
          <w:p>
            <w:pPr>
              <w:jc w:val="left"/>
            </w:pPr>
            <w:r/>
            <w:r>
              <w:rPr>
                <w:rFonts w:ascii="Times New Roman" w:hAnsi="Times New Roman" w:eastAsia="Times New Roman"/>
                <w:sz w:val="20"/>
              </w:rPr>
              <w:t>Expansion cost (A, B); contraction share</w:t>
            </w:r>
          </w:p>
        </w:tc>
        <w:tc>
          <w:tcPr>
            <w:tcW w:type="dxa" w:w="1584"/>
          </w:tcPr>
          <w:p>
            <w:pPr>
              <w:jc w:val="center"/>
            </w:pPr>
            <w:r/>
            <w:r>
              <w:rPr>
                <w:rFonts w:ascii="Times New Roman" w:hAnsi="Times New Roman" w:eastAsia="Times New Roman"/>
                <w:i/>
                <w:sz w:val="20"/>
              </w:rPr>
              <w:t>FC</w:t>
            </w:r>
            <w:r>
              <w:rPr>
                <w:rFonts w:ascii="Times New Roman" w:hAnsi="Times New Roman" w:eastAsia="Times New Roman"/>
                <w:sz w:val="20"/>
                <w:vertAlign w:val="subscript"/>
              </w:rPr>
              <w:t>A</w:t>
            </w:r>
            <w:r>
              <w:rPr>
                <w:rFonts w:ascii="Times New Roman" w:hAnsi="Times New Roman" w:eastAsia="Times New Roman"/>
                <w:sz w:val="20"/>
              </w:rPr>
              <w:t xml:space="preserve">, </w:t>
            </w:r>
            <w:r>
              <w:rPr>
                <w:rFonts w:ascii="Times New Roman" w:hAnsi="Times New Roman" w:eastAsia="Times New Roman"/>
                <w:i/>
                <w:sz w:val="20"/>
              </w:rPr>
              <w:t>FC</w:t>
            </w:r>
            <w:r>
              <w:rPr>
                <w:rFonts w:ascii="Times New Roman" w:hAnsi="Times New Roman" w:eastAsia="Times New Roman"/>
                <w:sz w:val="20"/>
                <w:vertAlign w:val="subscript"/>
              </w:rPr>
              <w:t>B</w:t>
            </w:r>
          </w:p>
        </w:tc>
        <w:tc>
          <w:tcPr>
            <w:tcW w:type="dxa" w:w="2592"/>
          </w:tcPr>
          <w:p>
            <w:pPr>
              <w:jc w:val="center"/>
            </w:pPr>
            <w:r/>
            <w:r>
              <w:rPr>
                <w:rFonts w:ascii="Times New Roman" w:hAnsi="Times New Roman" w:eastAsia="Times New Roman"/>
                <w:sz w:val="20"/>
              </w:rPr>
              <w:t>12, 15; 0.3</w:t>
            </w:r>
          </w:p>
        </w:tc>
      </w:tr>
      <w:tr>
        <w:tc>
          <w:tcPr>
            <w:tcW w:type="dxa" w:w="5184"/>
          </w:tcPr>
          <w:p>
            <w:pPr>
              <w:jc w:val="left"/>
            </w:pPr>
            <w:r/>
            <w:r>
              <w:rPr>
                <w:rFonts w:ascii="Times New Roman" w:hAnsi="Times New Roman" w:eastAsia="Times New Roman"/>
                <w:sz w:val="20"/>
              </w:rPr>
              <w:t>Penalty per directed-but-unserved request</w:t>
            </w:r>
          </w:p>
        </w:tc>
        <w:tc>
          <w:tcPr>
            <w:tcW w:type="dxa" w:w="1584"/>
          </w:tcPr>
          <w:p>
            <w:pPr>
              <w:jc w:val="center"/>
            </w:pPr>
            <w:r/>
            <w:r>
              <w:rPr>
                <w:rFonts w:ascii="Times New Roman" w:hAnsi="Times New Roman" w:eastAsia="Times New Roman"/>
                <w:sz w:val="20"/>
              </w:rPr>
              <w:t>ψ</w:t>
            </w:r>
          </w:p>
        </w:tc>
        <w:tc>
          <w:tcPr>
            <w:tcW w:type="dxa" w:w="2592"/>
          </w:tcPr>
          <w:p>
            <w:pPr>
              <w:jc w:val="center"/>
            </w:pPr>
            <w:r/>
            <w:r>
              <w:rPr>
                <w:rFonts w:ascii="Times New Roman" w:hAnsi="Times New Roman" w:eastAsia="Times New Roman"/>
                <w:sz w:val="20"/>
              </w:rPr>
              <w:t>0.3</w:t>
            </w:r>
          </w:p>
        </w:tc>
      </w:tr>
      <w:tr>
        <w:tc>
          <w:tcPr>
            <w:tcW w:type="dxa" w:w="5184"/>
          </w:tcPr>
          <w:p>
            <w:pPr>
              <w:jc w:val="left"/>
            </w:pPr>
            <w:r/>
            <w:r>
              <w:rPr>
                <w:rFonts w:ascii="Times New Roman" w:hAnsi="Times New Roman" w:eastAsia="Times New Roman"/>
                <w:sz w:val="20"/>
              </w:rPr>
              <w:t>Discount factor</w:t>
            </w:r>
          </w:p>
        </w:tc>
        <w:tc>
          <w:tcPr>
            <w:tcW w:type="dxa" w:w="1584"/>
          </w:tcPr>
          <w:p>
            <w:pPr>
              <w:jc w:val="center"/>
            </w:pPr>
            <w:r/>
            <w:r>
              <w:rPr>
                <w:rFonts w:ascii="Times New Roman" w:hAnsi="Times New Roman" w:eastAsia="Times New Roman"/>
                <w:sz w:val="20"/>
              </w:rPr>
              <w:t>β</w:t>
            </w:r>
          </w:p>
        </w:tc>
        <w:tc>
          <w:tcPr>
            <w:tcW w:type="dxa" w:w="2592"/>
          </w:tcPr>
          <w:p>
            <w:pPr>
              <w:jc w:val="center"/>
            </w:pPr>
            <w:r/>
            <w:r>
              <w:rPr>
                <w:rFonts w:ascii="Times New Roman" w:hAnsi="Times New Roman" w:eastAsia="Times New Roman"/>
                <w:sz w:val="20"/>
              </w:rPr>
              <w:t>0.95</w:t>
            </w:r>
          </w:p>
        </w:tc>
      </w:tr>
      <w:tr>
        <w:tc>
          <w:tcPr>
            <w:tcW w:type="dxa" w:w="5184"/>
          </w:tcPr>
          <w:p>
            <w:pPr>
              <w:jc w:val="left"/>
            </w:pPr>
            <w:r/>
            <w:r>
              <w:rPr>
                <w:rFonts w:ascii="Times New Roman" w:hAnsi="Times New Roman" w:eastAsia="Times New Roman"/>
                <w:sz w:val="20"/>
              </w:rPr>
              <w:t>Scale of payoff shocks</w:t>
            </w:r>
          </w:p>
        </w:tc>
        <w:tc>
          <w:tcPr>
            <w:tcW w:type="dxa" w:w="1584"/>
          </w:tcPr>
          <w:p>
            <w:pPr>
              <w:jc w:val="center"/>
            </w:pPr>
            <w:r/>
            <w:r>
              <w:rPr>
                <w:rFonts w:ascii="Times New Roman" w:hAnsi="Times New Roman" w:eastAsia="Times New Roman"/>
                <w:sz w:val="20"/>
              </w:rPr>
              <w:t>ρ</w:t>
            </w:r>
          </w:p>
        </w:tc>
        <w:tc>
          <w:tcPr>
            <w:tcW w:type="dxa" w:w="2592"/>
          </w:tcPr>
          <w:p>
            <w:pPr>
              <w:jc w:val="center"/>
            </w:pPr>
            <w:r/>
            <w:r>
              <w:rPr>
                <w:rFonts w:ascii="Times New Roman" w:hAnsi="Times New Roman" w:eastAsia="Times New Roman"/>
                <w:sz w:val="20"/>
              </w:rPr>
              <w:t>1</w:t>
            </w:r>
          </w:p>
        </w:tc>
      </w:tr>
      <w:tr>
        <w:tc>
          <w:tcPr>
            <w:tcW w:type="dxa" w:w="5184"/>
            <w:tcBorders>
              <w:bottom w:val="single" w:sz="8" w:space="0" w:color="000000"/>
            </w:tcBorders>
          </w:tcPr>
          <w:p>
            <w:pPr>
              <w:jc w:val="left"/>
            </w:pPr>
            <w:r/>
            <w:r>
              <w:rPr>
                <w:rFonts w:ascii="Times New Roman" w:hAnsi="Times New Roman" w:eastAsia="Times New Roman"/>
                <w:sz w:val="20"/>
              </w:rPr>
              <w:t>Nodes per firm</w:t>
            </w:r>
          </w:p>
        </w:tc>
        <w:tc>
          <w:tcPr>
            <w:tcW w:type="dxa" w:w="1584"/>
            <w:tcBorders>
              <w:bottom w:val="single" w:sz="8" w:space="0" w:color="000000"/>
            </w:tcBorders>
          </w:tcPr>
          <w:p>
            <w:pPr>
              <w:jc w:val="center"/>
            </w:pPr>
            <w:r/>
            <w:r>
              <w:rPr>
                <w:rFonts w:ascii="Times New Roman" w:hAnsi="Times New Roman" w:eastAsia="Times New Roman"/>
                <w:i/>
                <w:sz w:val="20"/>
              </w:rPr>
              <w:t>M</w:t>
            </w:r>
            <w:r>
              <w:rPr>
                <w:rFonts w:ascii="Times New Roman" w:hAnsi="Times New Roman" w:eastAsia="Times New Roman"/>
                <w:sz w:val="20"/>
              </w:rPr>
              <w:t xml:space="preserve"> − 1</w:t>
            </w:r>
          </w:p>
        </w:tc>
        <w:tc>
          <w:tcPr>
            <w:tcW w:type="dxa" w:w="2592"/>
            <w:tcBorders>
              <w:bottom w:val="single" w:sz="8" w:space="0" w:color="000000"/>
            </w:tcBorders>
          </w:tcPr>
          <w:p>
            <w:pPr>
              <w:jc w:val="center"/>
            </w:pPr>
            <w:r/>
            <w:r>
              <w:rPr>
                <w:rFonts w:ascii="Times New Roman" w:hAnsi="Times New Roman" w:eastAsia="Times New Roman"/>
                <w:sz w:val="20"/>
              </w:rPr>
              <w:t>4 (so 0 to 4 nodes)</w:t>
            </w:r>
          </w:p>
        </w:tc>
      </w:tr>
    </w:tbl>
    <w:p>
      <w:pPr>
        <w:spacing w:after="240"/>
      </w:pPr>
      <w:r>
        <w:rPr>
          <w:rFonts w:ascii="Times New Roman" w:hAnsi="Times New Roman" w:eastAsia="Times New Roman"/>
          <w:sz w:val="20"/>
        </w:rPr>
        <w:t>Note. The model has 75 states (5 × 5 nodes, 3 demand regimes). Each firm has 12 actions (4 prices × 3 capacity actions).</w:t>
      </w:r>
    </w:p>
    <w:p>
      <w:pPr>
        <w:keepNext/>
        <w:spacing w:line="480" w:lineRule="auto"/>
      </w:pPr>
      <w:r>
        <w:rPr>
          <w:rFonts w:ascii="Times New Roman" w:hAnsi="Times New Roman" w:eastAsia="Times New Roman"/>
          <w:b/>
        </w:rPr>
        <w:t>4. Analytical Results</w:t>
      </w:r>
    </w:p>
    <w:p>
      <w:pPr>
        <w:spacing w:line="480" w:lineRule="auto" w:after="0"/>
        <w:ind w:firstLine="720"/>
        <w:jc w:val="left"/>
      </w:pPr>
      <w:r>
        <w:rPr>
          <w:rFonts w:ascii="Times New Roman" w:hAnsi="Times New Roman" w:eastAsia="Times New Roman"/>
        </w:rPr>
        <w:t>The first result is structural. It holds under two maintained properties of the model: prices do not affect the transition of the state, and the capacity action does not affect current profit except through its own adjustment cost.</w:t>
      </w:r>
    </w:p>
    <w:p>
      <w:pPr>
        <w:spacing w:line="480" w:lineRule="auto" w:after="0"/>
        <w:ind w:firstLine="720"/>
        <w:jc w:val="left"/>
      </w:pPr>
      <w:r>
        <w:rPr>
          <w:rFonts w:ascii="Times New Roman" w:hAnsi="Times New Roman" w:eastAsia="Times New Roman"/>
          <w:b/>
        </w:rPr>
        <w:t>Proposition 1 (Separation).</w:t>
      </w:r>
      <w:r>
        <w:rPr>
          <w:rFonts w:ascii="Times New Roman" w:hAnsi="Times New Roman" w:eastAsia="Times New Roman"/>
        </w:rPr>
        <w:t xml:space="preserve"> Every logit MPE has the product form σ</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rPr>
        <w:t xml:space="preserve">, </w:t>
      </w:r>
      <w:r>
        <w:rPr>
          <w:rFonts w:ascii="Times New Roman" w:hAnsi="Times New Roman" w:eastAsia="Times New Roman"/>
          <w:i/>
        </w:rPr>
        <w:t>k</w:t>
      </w:r>
      <w:r>
        <w:rPr>
          <w:rFonts w:ascii="Times New Roman" w:hAnsi="Times New Roman" w:eastAsia="Times New Roman"/>
        </w:rPr>
        <w:t xml:space="preserve"> | </w:t>
      </w:r>
      <w:r>
        <w:rPr>
          <w:rFonts w:ascii="Times New Roman" w:hAnsi="Times New Roman" w:eastAsia="Times New Roman"/>
          <w:i/>
        </w:rPr>
        <w:t>S</w:t>
      </w:r>
      <w:r>
        <w:rPr>
          <w:rFonts w:ascii="Times New Roman" w:hAnsi="Times New Roman" w:eastAsia="Times New Roman"/>
        </w:rPr>
        <w:t>) = σ</w:t>
      </w:r>
      <w:r>
        <w:rPr>
          <w:rFonts w:ascii="Times New Roman" w:hAnsi="Times New Roman" w:eastAsia="Times New Roman"/>
          <w:vertAlign w:val="subscript"/>
        </w:rPr>
        <w:t>i</w:t>
      </w:r>
      <w:r>
        <w:rPr>
          <w:rFonts w:ascii="Times New Roman" w:hAnsi="Times New Roman" w:eastAsia="Times New Roman"/>
          <w:vertAlign w:val="superscript"/>
        </w:rPr>
        <w:t>P</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S</w:t>
      </w:r>
      <w:r>
        <w:rPr>
          <w:rFonts w:ascii="Times New Roman" w:hAnsi="Times New Roman" w:eastAsia="Times New Roman"/>
        </w:rPr>
        <w:t>) σ</w:t>
      </w:r>
      <w:r>
        <w:rPr>
          <w:rFonts w:ascii="Times New Roman" w:hAnsi="Times New Roman" w:eastAsia="Times New Roman"/>
          <w:vertAlign w:val="subscript"/>
        </w:rPr>
        <w:t>i</w:t>
      </w:r>
      <w:r>
        <w:rPr>
          <w:rFonts w:ascii="Times New Roman" w:hAnsi="Times New Roman" w:eastAsia="Times New Roman"/>
          <w:vertAlign w:val="superscript"/>
        </w:rPr>
        <w:t>K</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rPr>
        <w:t xml:space="preserve"> | </w:t>
      </w:r>
      <w:r>
        <w:rPr>
          <w:rFonts w:ascii="Times New Roman" w:hAnsi="Times New Roman" w:eastAsia="Times New Roman"/>
          <w:i/>
        </w:rPr>
        <w:t>S</w:t>
      </w:r>
      <w:r>
        <w:rPr>
          <w:rFonts w:ascii="Times New Roman" w:hAnsi="Times New Roman" w:eastAsia="Times New Roman"/>
        </w:rPr>
        <w:t>). The pricing component σ</w:t>
      </w:r>
      <w:r>
        <w:rPr>
          <w:rFonts w:ascii="Times New Roman" w:hAnsi="Times New Roman" w:eastAsia="Times New Roman"/>
          <w:vertAlign w:val="superscript"/>
        </w:rPr>
        <w:t>P</w:t>
      </w:r>
      <w:r>
        <w:rPr>
          <w:rFonts w:ascii="Times New Roman" w:hAnsi="Times New Roman" w:eastAsia="Times New Roman"/>
        </w:rPr>
        <w:t xml:space="preserve"> is a logit quantal-response equilibrium of the static game with payoffs Π</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S</w:t>
      </w:r>
      <w:r>
        <w:rPr>
          <w:rFonts w:ascii="Times New Roman" w:hAnsi="Times New Roman" w:eastAsia="Times New Roman"/>
        </w:rPr>
        <w:t xml:space="preserve">,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in each state, and the capacity component σ</w:t>
      </w:r>
      <w:r>
        <w:rPr>
          <w:rFonts w:ascii="Times New Roman" w:hAnsi="Times New Roman" w:eastAsia="Times New Roman"/>
          <w:vertAlign w:val="superscript"/>
        </w:rPr>
        <w:t>K</w:t>
      </w:r>
      <w:r>
        <w:rPr>
          <w:rFonts w:ascii="Times New Roman" w:hAnsi="Times New Roman" w:eastAsia="Times New Roman"/>
        </w:rPr>
        <w:t xml:space="preserve"> is a logit MPE of a dynamic capacity game in which firm </w:t>
      </w:r>
      <w:r>
        <w:rPr>
          <w:rFonts w:ascii="Times New Roman" w:hAnsi="Times New Roman" w:eastAsia="Times New Roman"/>
          <w:i/>
        </w:rPr>
        <w:t>i</w:t>
      </w:r>
      <w:r>
        <w:rPr>
          <w:rFonts w:ascii="Times New Roman" w:hAnsi="Times New Roman" w:eastAsia="Times New Roman"/>
        </w:rPr>
        <w:t xml:space="preserve"> has flow payoff −AC</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plus the pricing component’s inclusive value, and continuation values as in (5).</w:t>
      </w:r>
    </w:p>
    <w:p>
      <w:pPr>
        <w:spacing w:line="480" w:lineRule="auto" w:after="0"/>
        <w:ind w:firstLine="720"/>
        <w:jc w:val="left"/>
      </w:pPr>
      <w:r>
        <w:rPr>
          <w:rFonts w:ascii="Times New Roman" w:hAnsi="Times New Roman" w:eastAsia="Times New Roman"/>
        </w:rPr>
        <w:t>The proof is in Appendix A. The intuition is that, because the rival’s price affects my payoff only through the stage profit and the rival’s capacity action affects it only through the continuation value, my expected payoff from an action (</w:t>
      </w:r>
      <w:r>
        <w:rPr>
          <w:rFonts w:ascii="Times New Roman" w:hAnsi="Times New Roman" w:eastAsia="Times New Roman"/>
          <w:i/>
        </w:rPr>
        <w:t>p</w:t>
      </w:r>
      <w:r>
        <w:rPr>
          <w:rFonts w:ascii="Times New Roman" w:hAnsi="Times New Roman" w:eastAsia="Times New Roman"/>
        </w:rPr>
        <w:t xml:space="preserve">, </w:t>
      </w:r>
      <w:r>
        <w:rPr>
          <w:rFonts w:ascii="Times New Roman" w:hAnsi="Times New Roman" w:eastAsia="Times New Roman"/>
          <w:i/>
        </w:rPr>
        <w:t>k</w:t>
      </w:r>
      <w:r>
        <w:rPr>
          <w:rFonts w:ascii="Times New Roman" w:hAnsi="Times New Roman" w:eastAsia="Times New Roman"/>
        </w:rPr>
        <w:t xml:space="preserve">) is the sum of a term in </w:t>
      </w:r>
      <w:r>
        <w:rPr>
          <w:rFonts w:ascii="Times New Roman" w:hAnsi="Times New Roman" w:eastAsia="Times New Roman"/>
          <w:i/>
        </w:rPr>
        <w:t>p</w:t>
      </w:r>
      <w:r>
        <w:rPr>
          <w:rFonts w:ascii="Times New Roman" w:hAnsi="Times New Roman" w:eastAsia="Times New Roman"/>
        </w:rPr>
        <w:t xml:space="preserve"> and a term in </w:t>
      </w:r>
      <w:r>
        <w:rPr>
          <w:rFonts w:ascii="Times New Roman" w:hAnsi="Times New Roman" w:eastAsia="Times New Roman"/>
          <w:i/>
        </w:rPr>
        <w:t>k</w:t>
      </w:r>
      <w:r>
        <w:rPr>
          <w:rFonts w:ascii="Times New Roman" w:hAnsi="Times New Roman" w:eastAsia="Times New Roman"/>
        </w:rPr>
        <w:t>. With independent extreme-value shocks, additively separable payoffs produce independent logit choices. Computationally, the result replaces a 12 × 12 game in each state with a 4 × 4 pricing game, solved once, and a 3 × 3 capacity game, solved inside the value iteration. We verify that the two solution methods agree to five decimals in Section 5.</w:t>
      </w:r>
    </w:p>
    <w:p>
      <w:pPr>
        <w:spacing w:line="480" w:lineRule="auto" w:after="0"/>
        <w:ind w:firstLine="720"/>
        <w:jc w:val="left"/>
      </w:pPr>
      <w:r>
        <w:rPr>
          <w:rFonts w:ascii="Times New Roman" w:hAnsi="Times New Roman" w:eastAsia="Times New Roman"/>
        </w:rPr>
        <w:t xml:space="preserve">The next two results describe the pricing game at its extremes. Let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 κ</w:t>
      </w:r>
      <w:r>
        <w:rPr>
          <w:rFonts w:ascii="Times New Roman" w:hAnsi="Times New Roman" w:eastAsia="Times New Roman"/>
          <w:i/>
        </w:rPr>
        <w:t>m</w:t>
      </w:r>
      <w:r>
        <w:rPr>
          <w:rFonts w:ascii="Times New Roman" w:hAnsi="Times New Roman" w:eastAsia="Times New Roman"/>
          <w:vertAlign w:val="subscript"/>
        </w:rPr>
        <w:t>i</w:t>
      </w:r>
      <w:r>
        <w:rPr>
          <w:rFonts w:ascii="Times New Roman" w:hAnsi="Times New Roman" w:eastAsia="Times New Roman"/>
        </w:rPr>
        <w:t xml:space="preserve"> denote installed capacity in the current state.</w:t>
      </w:r>
    </w:p>
    <w:p>
      <w:pPr>
        <w:spacing w:line="480" w:lineRule="auto" w:after="0"/>
        <w:ind w:firstLine="720"/>
        <w:jc w:val="left"/>
      </w:pPr>
      <w:r>
        <w:rPr>
          <w:rFonts w:ascii="Times New Roman" w:hAnsi="Times New Roman" w:eastAsia="Times New Roman"/>
          <w:b/>
        </w:rPr>
        <w:t>Proposition 2 (Scarcity).</w:t>
      </w:r>
      <w:r>
        <w:rPr>
          <w:rFonts w:ascii="Times New Roman" w:hAnsi="Times New Roman" w:eastAsia="Times New Roman"/>
        </w:rPr>
        <w:t xml:space="preserve"> Suppose </w:t>
      </w:r>
      <w:r>
        <w:rPr>
          <w:rFonts w:ascii="Times New Roman" w:hAnsi="Times New Roman" w:eastAsia="Times New Roman"/>
          <w:i/>
        </w:rPr>
        <w:t>K</w:t>
      </w:r>
      <w:r>
        <w:rPr>
          <w:rFonts w:ascii="Times New Roman" w:hAnsi="Times New Roman" w:eastAsia="Times New Roman"/>
          <w:vertAlign w:val="subscript"/>
        </w:rPr>
        <w:t>A</w:t>
      </w:r>
      <w:r>
        <w:rPr>
          <w:rFonts w:ascii="Times New Roman" w:hAnsi="Times New Roman" w:eastAsia="Times New Roman"/>
        </w:rPr>
        <w:t xml:space="preserve"> + </w:t>
      </w:r>
      <w:r>
        <w:rPr>
          <w:rFonts w:ascii="Times New Roman" w:hAnsi="Times New Roman" w:eastAsia="Times New Roman"/>
          <w:i/>
        </w:rPr>
        <w:t>K</w:t>
      </w:r>
      <w:r>
        <w:rPr>
          <w:rFonts w:ascii="Times New Roman" w:hAnsi="Times New Roman" w:eastAsia="Times New Roman"/>
          <w:vertAlign w:val="subscript"/>
        </w:rPr>
        <w:t>B</w:t>
      </w:r>
      <w:r>
        <w:rPr>
          <w:rFonts w:ascii="Times New Roman" w:hAnsi="Times New Roman" w:eastAsia="Times New Roman"/>
        </w:rPr>
        <w:t xml:space="preserve"> ≤ λ and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&gt; 0. Then the reservation price p̄ strictly dominates every lower price for firm </w:t>
      </w:r>
      <w:r>
        <w:rPr>
          <w:rFonts w:ascii="Times New Roman" w:hAnsi="Times New Roman" w:eastAsia="Times New Roman"/>
          <w:i/>
        </w:rPr>
        <w:t>i</w:t>
      </w:r>
      <w:r>
        <w:rPr>
          <w:rFonts w:ascii="Times New Roman" w:hAnsi="Times New Roman" w:eastAsia="Times New Roman"/>
        </w:rPr>
        <w:t xml:space="preserve"> in the stage game. Consequently, in the logit equilibrium p̄ is firm </w:t>
      </w:r>
      <w:r>
        <w:rPr>
          <w:rFonts w:ascii="Times New Roman" w:hAnsi="Times New Roman" w:eastAsia="Times New Roman"/>
          <w:i/>
        </w:rPr>
        <w:t>i</w:t>
      </w:r>
      <w:r>
        <w:rPr>
          <w:rFonts w:ascii="Times New Roman" w:hAnsi="Times New Roman" w:eastAsia="Times New Roman"/>
        </w:rPr>
        <w:t>’s modal price, and its probability tends to one as ρ → 0.</w:t>
      </w:r>
    </w:p>
    <w:p>
      <w:pPr>
        <w:spacing w:line="480" w:lineRule="auto" w:after="0"/>
        <w:ind w:firstLine="720"/>
        <w:jc w:val="left"/>
      </w:pPr>
      <w:r>
        <w:rPr>
          <w:rFonts w:ascii="Times New Roman" w:hAnsi="Times New Roman" w:eastAsia="Times New Roman"/>
          <w:b/>
        </w:rPr>
        <w:t>Proposition 3 (Abundance).</w:t>
      </w:r>
      <w:r>
        <w:rPr>
          <w:rFonts w:ascii="Times New Roman" w:hAnsi="Times New Roman" w:eastAsia="Times New Roman"/>
        </w:rPr>
        <w:t xml:space="preserve"> Suppose </w:t>
      </w:r>
      <w:r>
        <w:rPr>
          <w:rFonts w:ascii="Times New Roman" w:hAnsi="Times New Roman" w:eastAsia="Times New Roman"/>
          <w:i/>
        </w:rPr>
        <w:t>K</w:t>
      </w:r>
      <w:r>
        <w:rPr>
          <w:rFonts w:ascii="Times New Roman" w:hAnsi="Times New Roman" w:eastAsia="Times New Roman"/>
          <w:vertAlign w:val="subscript"/>
        </w:rPr>
        <w:t>A</w:t>
      </w:r>
      <w:r>
        <w:rPr>
          <w:rFonts w:ascii="Times New Roman" w:hAnsi="Times New Roman" w:eastAsia="Times New Roman"/>
        </w:rPr>
        <w:t xml:space="preserve"> ≥ λ and </w:t>
      </w:r>
      <w:r>
        <w:rPr>
          <w:rFonts w:ascii="Times New Roman" w:hAnsi="Times New Roman" w:eastAsia="Times New Roman"/>
          <w:i/>
        </w:rPr>
        <w:t>K</w:t>
      </w:r>
      <w:r>
        <w:rPr>
          <w:rFonts w:ascii="Times New Roman" w:hAnsi="Times New Roman" w:eastAsia="Times New Roman"/>
          <w:vertAlign w:val="subscript"/>
        </w:rPr>
        <w:t>B</w:t>
      </w:r>
      <w:r>
        <w:rPr>
          <w:rFonts w:ascii="Times New Roman" w:hAnsi="Times New Roman" w:eastAsia="Times New Roman"/>
        </w:rPr>
        <w:t xml:space="preserve"> ≥ λ, and let </w:t>
      </w:r>
      <w:r>
        <w:rPr>
          <w:rFonts w:ascii="Times New Roman" w:hAnsi="Times New Roman" w:eastAsia="Times New Roman"/>
          <w:i/>
        </w:rPr>
        <w:t>p</w:t>
      </w:r>
      <w:r>
        <w:rPr>
          <w:rFonts w:ascii="Times New Roman" w:hAnsi="Times New Roman" w:eastAsia="Times New Roman"/>
          <w:vertAlign w:val="subscript"/>
        </w:rPr>
        <w:t>min</w:t>
      </w:r>
      <w:r>
        <w:rPr>
          <w:rFonts w:ascii="Times New Roman" w:hAnsi="Times New Roman" w:eastAsia="Times New Roman"/>
        </w:rPr>
        <w:t xml:space="preserve"> &gt; </w:t>
      </w:r>
      <w:r>
        <w:rPr>
          <w:rFonts w:ascii="Times New Roman" w:hAnsi="Times New Roman" w:eastAsia="Times New Roman"/>
          <w:i/>
        </w:rPr>
        <w:t>c</w:t>
      </w:r>
      <w:r>
        <w:rPr>
          <w:rFonts w:ascii="Times New Roman" w:hAnsi="Times New Roman" w:eastAsia="Times New Roman"/>
        </w:rPr>
        <w:t xml:space="preserve"> be the lowest grid price. The pure-strategy Nash equilibria of the stage game are exactly the symmetric pairs (</w:t>
      </w:r>
      <w:r>
        <w:rPr>
          <w:rFonts w:ascii="Times New Roman" w:hAnsi="Times New Roman" w:eastAsia="Times New Roman"/>
          <w:i/>
        </w:rPr>
        <w:t>p</w:t>
      </w:r>
      <w:r>
        <w:rPr>
          <w:rFonts w:ascii="Times New Roman" w:hAnsi="Times New Roman" w:eastAsia="Times New Roman"/>
        </w:rPr>
        <w:t xml:space="preserve">, </w:t>
      </w:r>
      <w:r>
        <w:rPr>
          <w:rFonts w:ascii="Times New Roman" w:hAnsi="Times New Roman" w:eastAsia="Times New Roman"/>
          <w:i/>
        </w:rPr>
        <w:t>p</w:t>
      </w:r>
      <w:r>
        <w:rPr>
          <w:rFonts w:ascii="Times New Roman" w:hAnsi="Times New Roman" w:eastAsia="Times New Roman"/>
        </w:rPr>
        <w:t xml:space="preserve">) in which either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p</w:t>
      </w:r>
      <w:r>
        <w:rPr>
          <w:rFonts w:ascii="Times New Roman" w:hAnsi="Times New Roman" w:eastAsia="Times New Roman"/>
          <w:vertAlign w:val="subscript"/>
        </w:rPr>
        <w:t>min</w:t>
      </w:r>
      <w:r>
        <w:rPr>
          <w:rFonts w:ascii="Times New Roman" w:hAnsi="Times New Roman" w:eastAsia="Times New Roman"/>
        </w:rPr>
        <w:t xml:space="preserve"> or the next lower grid price </w:t>
      </w:r>
      <w:r>
        <w:rPr>
          <w:rFonts w:ascii="Times New Roman" w:hAnsi="Times New Roman" w:eastAsia="Times New Roman"/>
          <w:i/>
        </w:rPr>
        <w:t>p</w:t>
      </w:r>
      <w:r>
        <w:rPr>
          <w:rFonts w:ascii="Times New Roman" w:hAnsi="Times New Roman" w:eastAsia="Times New Roman"/>
        </w:rPr>
        <w:t xml:space="preserve">⁻ satisfies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c</w:t>
      </w:r>
      <w:r>
        <w:rPr>
          <w:rFonts w:ascii="Times New Roman" w:hAnsi="Times New Roman" w:eastAsia="Times New Roman"/>
        </w:rPr>
        <w:t xml:space="preserve"> ≤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c</w:t>
      </w:r>
      <w:r>
        <w:rPr>
          <w:rFonts w:ascii="Times New Roman" w:hAnsi="Times New Roman" w:eastAsia="Times New Roman"/>
        </w:rPr>
        <w:t xml:space="preserve">)/2. In particular, any pure-strategy equilibrium price </w:t>
      </w:r>
      <w:r>
        <w:rPr>
          <w:rFonts w:ascii="Times New Roman" w:hAnsi="Times New Roman" w:eastAsia="Times New Roman"/>
          <w:i/>
        </w:rPr>
        <w:t>p</w:t>
      </w:r>
      <w:r>
        <w:rPr>
          <w:rFonts w:ascii="Times New Roman" w:hAnsi="Times New Roman" w:eastAsia="Times New Roman"/>
        </w:rPr>
        <w:t xml:space="preserve"> above </w:t>
      </w:r>
      <w:r>
        <w:rPr>
          <w:rFonts w:ascii="Times New Roman" w:hAnsi="Times New Roman" w:eastAsia="Times New Roman"/>
          <w:i/>
        </w:rPr>
        <w:t>p</w:t>
      </w:r>
      <w:r>
        <w:rPr>
          <w:rFonts w:ascii="Times New Roman" w:hAnsi="Times New Roman" w:eastAsia="Times New Roman"/>
          <w:vertAlign w:val="subscript"/>
        </w:rPr>
        <w:t>min</w:t>
      </w:r>
      <w:r>
        <w:rPr>
          <w:rFonts w:ascii="Times New Roman" w:hAnsi="Times New Roman" w:eastAsia="Times New Roman"/>
        </w:rPr>
        <w:t xml:space="preserve"> has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c</w:t>
      </w:r>
      <w:r>
        <w:rPr>
          <w:rFonts w:ascii="Times New Roman" w:hAnsi="Times New Roman" w:eastAsia="Times New Roman"/>
        </w:rPr>
        <w:t xml:space="preserve"> ≤ 2(</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p</w:t>
      </w:r>
      <w:r>
        <w:rPr>
          <w:rFonts w:ascii="Times New Roman" w:hAnsi="Times New Roman" w:eastAsia="Times New Roman"/>
        </w:rPr>
        <w:t>⁻), twice the local step of the price grid.</w:t>
      </w:r>
    </w:p>
    <w:p>
      <w:pPr>
        <w:spacing w:line="480" w:lineRule="auto" w:after="0"/>
        <w:ind w:firstLine="720"/>
        <w:jc w:val="left"/>
      </w:pPr>
      <w:r>
        <w:rPr>
          <w:rFonts w:ascii="Times New Roman" w:hAnsi="Times New Roman" w:eastAsia="Times New Roman"/>
        </w:rPr>
        <w:t>Proposition 2 is the Kreps–Scheinkman logic in our setting. When the market cannot be served by both firms together, undercutting wins no extra volume, so the high price is free. Proposition 3 is the Bertrand paradox. If either firm could serve everybody, the other firm’s price is the only thing that matters, and the only equilibria are symmetric. The markup that survives is bounded by the coarseness of the grid, so with a fine grid it vanishes. We will see in Section 6 that this has consequences for how robust the capacity results are. Taken together, the propositions say that in this market capacity is the only source of market power. A firm earns margin when, and only when, total installed capacity is short of demand, and any additional node a firm builds raises its holding cost while eroding the margin it earns on the nodes it already has.</w:t>
      </w:r>
    </w:p>
    <w:p>
      <w:pPr>
        <w:spacing w:line="480" w:lineRule="auto" w:after="0"/>
        <w:ind w:firstLine="720"/>
        <w:jc w:val="left"/>
      </w:pPr>
      <w:r>
        <w:rPr>
          <w:rFonts w:ascii="Times New Roman" w:hAnsi="Times New Roman" w:eastAsia="Times New Roman"/>
        </w:rPr>
        <w:t>The propositions do not by themselves tell us how much capacity firms will build or how many equilibria exist. For that we compute.</w:t>
      </w:r>
    </w:p>
    <w:p>
      <w:pPr>
        <w:keepNext/>
        <w:spacing w:line="480" w:lineRule="auto"/>
      </w:pPr>
      <w:r>
        <w:rPr>
          <w:rFonts w:ascii="Times New Roman" w:hAnsi="Times New Roman" w:eastAsia="Times New Roman"/>
          <w:b/>
        </w:rPr>
        <w:t>5. Base-Case Equilibria</w:t>
      </w:r>
    </w:p>
    <w:p>
      <w:pPr>
        <w:keepNext/>
        <w:spacing w:line="480" w:lineRule="auto"/>
      </w:pPr>
      <w:r>
        <w:rPr>
          <w:rFonts w:ascii="Times New Roman" w:hAnsi="Times New Roman" w:eastAsia="Times New Roman"/>
          <w:b/>
          <w:i/>
        </w:rPr>
        <w:t>5.1 Computation</w:t>
      </w:r>
    </w:p>
    <w:p>
      <w:pPr>
        <w:spacing w:line="480" w:lineRule="auto" w:after="0"/>
        <w:ind w:firstLine="720"/>
        <w:jc w:val="left"/>
      </w:pPr>
      <w:r>
        <w:rPr>
          <w:rFonts w:ascii="Times New Roman" w:hAnsi="Times New Roman" w:eastAsia="Times New Roman"/>
        </w:rPr>
        <w:t>We solve the model by nested fixed point. The pricing game in each of the 75 states is solved as a logit quantal-response equilibrium by damped best-response iteration. The capacity game is then solved inside a value iteration, with the 3 × 3 stage game in each state solved by the same iteration. Value updates are damped (step 0.3) and we stop when the largest change in any value is below 10</w:t>
      </w:r>
      <w:r>
        <w:rPr>
          <w:rFonts w:ascii="Times New Roman" w:hAnsi="Times New Roman" w:eastAsia="Times New Roman"/>
          <w:vertAlign w:val="superscript"/>
        </w:rPr>
        <w:t>−4</w:t>
      </w:r>
      <w:r>
        <w:rPr>
          <w:rFonts w:ascii="Times New Roman" w:hAnsi="Times New Roman" w:eastAsia="Times New Roman"/>
        </w:rPr>
        <w:t>. A reference implementation that solves the full 12 × 12 game directly produces the same equilibrium to five decimals in the base scenario (average price 1.12607, industry profit 12.9059, mean capacity 59.7798), which is a numerical check on Proposition 1. Because the model may have several equilibria, we run each scenario from one uniform starting point and three random starting points. Appendix B gives the details, and the code accompanies the paper (see the Replication Note).</w:t>
      </w:r>
    </w:p>
    <w:p>
      <w:pPr>
        <w:keepNext/>
        <w:spacing w:line="480" w:lineRule="auto"/>
      </w:pPr>
      <w:r>
        <w:rPr>
          <w:rFonts w:ascii="Times New Roman" w:hAnsi="Times New Roman" w:eastAsia="Times New Roman"/>
          <w:b/>
          <w:i/>
        </w:rPr>
        <w:t>5.2 Prices and capacity in the base scenario</w:t>
      </w:r>
    </w:p>
    <w:p>
      <w:pPr>
        <w:spacing w:line="480" w:lineRule="auto" w:after="0"/>
        <w:ind w:firstLine="720"/>
        <w:jc w:val="left"/>
      </w:pPr>
      <w:r>
        <w:rPr>
          <w:rFonts w:ascii="Times New Roman" w:hAnsi="Times New Roman" w:eastAsia="Times New Roman"/>
        </w:rPr>
        <w:t>Figure 1 shows the equilibrium expected price by state. The pattern is the one Propositions 2 and 3 predict. The price sits at the reservation price whenever total capacity is short of demand, which in the high-demand regime covers every pair with up to three nodes in total. It falls to about 0.8 once both firms hold enough capacity to serve the current regime alone, and with low demand the price is already near 0.8 as soon as each firm has one node. Capacity acts as a commitment to compete: the more capacity a rival holds, the lower the price a firm can sustain.</w:t>
      </w:r>
    </w:p>
    <w:p>
      <w:pPr>
        <w:jc w:val="center"/>
      </w:pPr>
      <w:r>
        <w:drawing>
          <wp:inline xmlns:a="http://schemas.openxmlformats.org/drawingml/2006/main" xmlns:pic="http://schemas.openxmlformats.org/drawingml/2006/picture">
            <wp:extent cx="5852160" cy="2017254"/>
            <wp:docPr id="1" name="Picture 1"/>
            <wp:cNvGraphicFramePr>
              <a:graphicFrameLocks noChangeAspect="1"/>
            </wp:cNvGraphicFramePr>
            <a:graphic>
              <a:graphicData uri="http://schemas.openxmlformats.org/drawingml/2006/picture">
                <pic:pic>
                  <pic:nvPicPr>
                    <pic:cNvPr id="0" name="price_by_state.png"/>
                    <pic:cNvPicPr/>
                  </pic:nvPicPr>
                  <pic:blipFill>
                    <a:blip r:embed="rId10"/>
                    <a:stretch>
                      <a:fillRect/>
                    </a:stretch>
                  </pic:blipFill>
                  <pic:spPr>
                    <a:xfrm>
                      <a:off x="0" y="0"/>
                      <a:ext cx="5852160" cy="2017254"/>
                    </a:xfrm>
                    <a:prstGeom prst="rect"/>
                  </pic:spPr>
                </pic:pic>
              </a:graphicData>
            </a:graphic>
          </wp:inline>
        </w:drawing>
      </w:r>
    </w:p>
    <w:p>
      <w:pPr>
        <w:keepNext/>
        <w:spacing w:after="80"/>
      </w:pPr>
      <w:r>
        <w:rPr>
          <w:rFonts w:ascii="Times New Roman" w:hAnsi="Times New Roman" w:eastAsia="Times New Roman"/>
          <w:b/>
          <w:sz w:val="22"/>
        </w:rPr>
        <w:t>Figure 1.</w:t>
      </w:r>
      <w:r>
        <w:rPr>
          <w:rFonts w:ascii="Times New Roman" w:hAnsi="Times New Roman" w:eastAsia="Times New Roman"/>
          <w:sz w:val="22"/>
        </w:rPr>
        <w:t xml:space="preserve"> Equilibrium expected posted price by number of nodes (A on the vertical axis, B on the horizontal axis) and demand regime, base scenario, equilibrium reached from the uniform start.</w:t>
      </w:r>
    </w:p>
    <w:p>
      <w:pPr>
        <w:spacing w:line="480" w:lineRule="auto" w:after="0"/>
        <w:ind w:firstLine="720"/>
        <w:jc w:val="left"/>
      </w:pPr>
      <w:r>
        <w:rPr>
          <w:rFonts w:ascii="Times New Roman" w:hAnsi="Times New Roman" w:eastAsia="Times New Roman"/>
        </w:rPr>
        <w:t xml:space="preserve">The base scenario has two stationary outcomes, which differ mainly in how much capacity the firms hold. Table 2 shows behavior at selected states in each. In the </w:t>
      </w:r>
      <w:r>
        <w:rPr>
          <w:rFonts w:ascii="Times New Roman" w:hAnsi="Times New Roman" w:eastAsia="Times New Roman"/>
          <w:i/>
        </w:rPr>
        <w:t>capacity-heavy</w:t>
      </w:r>
      <w:r>
        <w:rPr>
          <w:rFonts w:ascii="Times New Roman" w:hAnsi="Times New Roman" w:eastAsia="Times New Roman"/>
        </w:rPr>
        <w:t xml:space="preserve"> equilibrium, reached from the uniform starting point, the firms end up with about two nodes each (59.8 request-units of capacity on average). In the </w:t>
      </w:r>
      <w:r>
        <w:rPr>
          <w:rFonts w:ascii="Times New Roman" w:hAnsi="Times New Roman" w:eastAsia="Times New Roman"/>
          <w:i/>
        </w:rPr>
        <w:t>capacity-scarce</w:t>
      </w:r>
      <w:r>
        <w:rPr>
          <w:rFonts w:ascii="Times New Roman" w:hAnsi="Times New Roman" w:eastAsia="Times New Roman"/>
        </w:rPr>
        <w:t xml:space="preserve"> equilibrium, reached from many random starting points, the firms end up with one node and two nodes, so that total capacity (45.0) equals peak demand and the firms are asymmetric in size, although their adjustment costs differ only modestly. Size asymmetry that arises without any difference in fundamentals is a familiar feature of dynamic capacity games (Besanko and Doraszelski 2004), and which firm is large depends on the equilibrium selected.</w:t>
      </w:r>
    </w:p>
    <w:p>
      <w:pPr>
        <w:keepNext/>
        <w:spacing w:after="80"/>
      </w:pPr>
      <w:r>
        <w:rPr>
          <w:rFonts w:ascii="Times New Roman" w:hAnsi="Times New Roman" w:eastAsia="Times New Roman"/>
          <w:b/>
          <w:sz w:val="22"/>
        </w:rPr>
        <w:t>Table 2.</w:t>
      </w:r>
      <w:r>
        <w:rPr>
          <w:rFonts w:ascii="Times New Roman" w:hAnsi="Times New Roman" w:eastAsia="Times New Roman"/>
          <w:sz w:val="22"/>
        </w:rPr>
        <w:t xml:space="preserve"> Equilibrium behavior at selected states in the two base-scenario equilibria.</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656"/>
            <w:tcBorders>
              <w:top w:val="single" w:sz="8" w:space="0" w:color="000000"/>
              <w:bottom w:val="single" w:sz="8" w:space="0" w:color="000000"/>
            </w:tcBorders>
          </w:tcPr>
          <w:p>
            <w:pPr>
              <w:jc w:val="left"/>
            </w:pPr>
            <w:r/>
            <w:r>
              <w:rPr>
                <w:rFonts w:ascii="Times New Roman" w:hAnsi="Times New Roman" w:eastAsia="Times New Roman"/>
                <w:b/>
                <w:sz w:val="18"/>
              </w:rPr>
              <w:t>State (</w:t>
            </w:r>
            <w:r>
              <w:rPr>
                <w:rFonts w:ascii="Times New Roman" w:hAnsi="Times New Roman" w:eastAsia="Times New Roman"/>
                <w:b/>
                <w:i/>
                <w:sz w:val="18"/>
              </w:rPr>
              <w:t>m</w:t>
            </w:r>
            <w:r>
              <w:rPr>
                <w:rFonts w:ascii="Times New Roman" w:hAnsi="Times New Roman" w:eastAsia="Times New Roman"/>
                <w:b/>
                <w:sz w:val="18"/>
                <w:vertAlign w:val="subscript"/>
              </w:rPr>
              <w:t>A</w:t>
            </w:r>
            <w:r>
              <w:rPr>
                <w:rFonts w:ascii="Times New Roman" w:hAnsi="Times New Roman" w:eastAsia="Times New Roman"/>
                <w:b/>
                <w:sz w:val="18"/>
              </w:rPr>
              <w:t xml:space="preserve">, </w:t>
            </w:r>
            <w:r>
              <w:rPr>
                <w:rFonts w:ascii="Times New Roman" w:hAnsi="Times New Roman" w:eastAsia="Times New Roman"/>
                <w:b/>
                <w:i/>
                <w:sz w:val="18"/>
              </w:rPr>
              <w:t>m</w:t>
            </w:r>
            <w:r>
              <w:rPr>
                <w:rFonts w:ascii="Times New Roman" w:hAnsi="Times New Roman" w:eastAsia="Times New Roman"/>
                <w:b/>
                <w:sz w:val="18"/>
                <w:vertAlign w:val="subscript"/>
              </w:rPr>
              <w:t>B</w:t>
            </w:r>
            <w:r>
              <w:rPr>
                <w:rFonts w:ascii="Times New Roman" w:hAnsi="Times New Roman" w:eastAsia="Times New Roman"/>
                <w:b/>
                <w:sz w:val="18"/>
              </w:rPr>
              <w:t>, λ)</w:t>
            </w:r>
          </w:p>
        </w:tc>
        <w:tc>
          <w:tcPr>
            <w:tcW w:type="dxa" w:w="1368"/>
            <w:tcBorders>
              <w:top w:val="single" w:sz="8" w:space="0" w:color="000000"/>
              <w:bottom w:val="single" w:sz="8" w:space="0" w:color="000000"/>
            </w:tcBorders>
          </w:tcPr>
          <w:p>
            <w:pPr>
              <w:jc w:val="center"/>
            </w:pPr>
            <w:r/>
            <w:r>
              <w:rPr>
                <w:rFonts w:ascii="Times New Roman" w:hAnsi="Times New Roman" w:eastAsia="Times New Roman"/>
                <w:b/>
                <w:sz w:val="18"/>
              </w:rPr>
              <w:t>Capacity-heavy: E[price]</w:t>
            </w:r>
          </w:p>
        </w:tc>
        <w:tc>
          <w:tcPr>
            <w:tcW w:type="dxa" w:w="2448"/>
            <w:tcBorders>
              <w:top w:val="single" w:sz="8" w:space="0" w:color="000000"/>
              <w:bottom w:val="single" w:sz="8" w:space="0" w:color="000000"/>
            </w:tcBorders>
          </w:tcPr>
          <w:p>
            <w:pPr>
              <w:jc w:val="center"/>
            </w:pPr>
            <w:r/>
            <w:r>
              <w:rPr>
                <w:rFonts w:ascii="Times New Roman" w:hAnsi="Times New Roman" w:eastAsia="Times New Roman"/>
                <w:b/>
                <w:sz w:val="18"/>
              </w:rPr>
              <w:t>Hold / expand / contract (A | B)</w:t>
            </w:r>
          </w:p>
        </w:tc>
        <w:tc>
          <w:tcPr>
            <w:tcW w:type="dxa" w:w="1368"/>
            <w:tcBorders>
              <w:top w:val="single" w:sz="8" w:space="0" w:color="000000"/>
              <w:bottom w:val="single" w:sz="8" w:space="0" w:color="000000"/>
            </w:tcBorders>
          </w:tcPr>
          <w:p>
            <w:pPr>
              <w:jc w:val="center"/>
            </w:pPr>
            <w:r/>
            <w:r>
              <w:rPr>
                <w:rFonts w:ascii="Times New Roman" w:hAnsi="Times New Roman" w:eastAsia="Times New Roman"/>
                <w:b/>
                <w:sz w:val="18"/>
              </w:rPr>
              <w:t>Capacity-scarce: E[price]</w:t>
            </w:r>
          </w:p>
        </w:tc>
        <w:tc>
          <w:tcPr>
            <w:tcW w:type="dxa" w:w="2448"/>
            <w:tcBorders>
              <w:top w:val="single" w:sz="8" w:space="0" w:color="000000"/>
              <w:bottom w:val="single" w:sz="8" w:space="0" w:color="000000"/>
            </w:tcBorders>
          </w:tcPr>
          <w:p>
            <w:pPr>
              <w:jc w:val="center"/>
            </w:pPr>
            <w:r/>
            <w:r>
              <w:rPr>
                <w:rFonts w:ascii="Times New Roman" w:hAnsi="Times New Roman" w:eastAsia="Times New Roman"/>
                <w:b/>
                <w:sz w:val="18"/>
              </w:rPr>
              <w:t>Hold / expand / contract (A | B)</w:t>
            </w:r>
          </w:p>
        </w:tc>
      </w:tr>
      <w:tr>
        <w:tc>
          <w:tcPr>
            <w:tcW w:type="dxa" w:w="1656"/>
          </w:tcPr>
          <w:p>
            <w:pPr>
              <w:jc w:val="left"/>
            </w:pPr>
            <w:r/>
            <w:r>
              <w:rPr>
                <w:rFonts w:ascii="Times New Roman" w:hAnsi="Times New Roman" w:eastAsia="Times New Roman"/>
                <w:sz w:val="18"/>
              </w:rPr>
              <w:t>(1,1,Med)</w:t>
            </w:r>
          </w:p>
        </w:tc>
        <w:tc>
          <w:tcPr>
            <w:tcW w:type="dxa" w:w="1368"/>
          </w:tcPr>
          <w:p>
            <w:pPr>
              <w:jc w:val="center"/>
            </w:pPr>
            <w:r/>
            <w:r>
              <w:rPr>
                <w:rFonts w:ascii="Times New Roman" w:hAnsi="Times New Roman" w:eastAsia="Times New Roman"/>
                <w:sz w:val="18"/>
              </w:rPr>
              <w:t>1.50</w:t>
            </w:r>
          </w:p>
        </w:tc>
        <w:tc>
          <w:tcPr>
            <w:tcW w:type="dxa" w:w="2448"/>
          </w:tcPr>
          <w:p>
            <w:pPr>
              <w:jc w:val="center"/>
            </w:pPr>
            <w:r/>
            <w:r>
              <w:rPr>
                <w:rFonts w:ascii="Times New Roman" w:hAnsi="Times New Roman" w:eastAsia="Times New Roman"/>
                <w:sz w:val="18"/>
              </w:rPr>
              <w:t>1.00/0.00/0.00 | 0.00/1.00/0.00</w:t>
            </w:r>
          </w:p>
        </w:tc>
        <w:tc>
          <w:tcPr>
            <w:tcW w:type="dxa" w:w="1368"/>
          </w:tcPr>
          <w:p>
            <w:pPr>
              <w:jc w:val="center"/>
            </w:pPr>
            <w:r/>
            <w:r>
              <w:rPr>
                <w:rFonts w:ascii="Times New Roman" w:hAnsi="Times New Roman" w:eastAsia="Times New Roman"/>
                <w:sz w:val="18"/>
              </w:rPr>
              <w:t>1.50</w:t>
            </w:r>
          </w:p>
        </w:tc>
        <w:tc>
          <w:tcPr>
            <w:tcW w:type="dxa" w:w="2448"/>
          </w:tcPr>
          <w:p>
            <w:pPr>
              <w:jc w:val="center"/>
            </w:pPr>
            <w:r/>
            <w:r>
              <w:rPr>
                <w:rFonts w:ascii="Times New Roman" w:hAnsi="Times New Roman" w:eastAsia="Times New Roman"/>
                <w:sz w:val="18"/>
              </w:rPr>
              <w:t>1.00/0.00/0.00 | 0.82/0.18/0.00</w:t>
            </w:r>
          </w:p>
        </w:tc>
      </w:tr>
      <w:tr>
        <w:tc>
          <w:tcPr>
            <w:tcW w:type="dxa" w:w="1656"/>
          </w:tcPr>
          <w:p>
            <w:pPr>
              <w:jc w:val="left"/>
            </w:pPr>
            <w:r/>
            <w:r>
              <w:rPr>
                <w:rFonts w:ascii="Times New Roman" w:hAnsi="Times New Roman" w:eastAsia="Times New Roman"/>
                <w:sz w:val="18"/>
              </w:rPr>
              <w:t>(1,1,High)</w:t>
            </w:r>
          </w:p>
        </w:tc>
        <w:tc>
          <w:tcPr>
            <w:tcW w:type="dxa" w:w="1368"/>
          </w:tcPr>
          <w:p>
            <w:pPr>
              <w:jc w:val="center"/>
            </w:pPr>
            <w:r/>
            <w:r>
              <w:rPr>
                <w:rFonts w:ascii="Times New Roman" w:hAnsi="Times New Roman" w:eastAsia="Times New Roman"/>
                <w:sz w:val="18"/>
              </w:rPr>
              <w:t>1.50</w:t>
            </w:r>
          </w:p>
        </w:tc>
        <w:tc>
          <w:tcPr>
            <w:tcW w:type="dxa" w:w="2448"/>
          </w:tcPr>
          <w:p>
            <w:pPr>
              <w:jc w:val="center"/>
            </w:pPr>
            <w:r/>
            <w:r>
              <w:rPr>
                <w:rFonts w:ascii="Times New Roman" w:hAnsi="Times New Roman" w:eastAsia="Times New Roman"/>
                <w:sz w:val="18"/>
              </w:rPr>
              <w:t>0.00/1.00/0.00 | 0.73/0.27/0.00</w:t>
            </w:r>
          </w:p>
        </w:tc>
        <w:tc>
          <w:tcPr>
            <w:tcW w:type="dxa" w:w="1368"/>
          </w:tcPr>
          <w:p>
            <w:pPr>
              <w:jc w:val="center"/>
            </w:pPr>
            <w:r/>
            <w:r>
              <w:rPr>
                <w:rFonts w:ascii="Times New Roman" w:hAnsi="Times New Roman" w:eastAsia="Times New Roman"/>
                <w:sz w:val="18"/>
              </w:rPr>
              <w:t>1.50</w:t>
            </w:r>
          </w:p>
        </w:tc>
        <w:tc>
          <w:tcPr>
            <w:tcW w:type="dxa" w:w="2448"/>
          </w:tcPr>
          <w:p>
            <w:pPr>
              <w:jc w:val="center"/>
            </w:pPr>
            <w:r/>
            <w:r>
              <w:rPr>
                <w:rFonts w:ascii="Times New Roman" w:hAnsi="Times New Roman" w:eastAsia="Times New Roman"/>
                <w:sz w:val="18"/>
              </w:rPr>
              <w:t>1.00/0.00/0.00 | 0.00/1.00/0.00</w:t>
            </w:r>
          </w:p>
        </w:tc>
      </w:tr>
      <w:tr>
        <w:tc>
          <w:tcPr>
            <w:tcW w:type="dxa" w:w="1656"/>
          </w:tcPr>
          <w:p>
            <w:pPr>
              <w:jc w:val="left"/>
            </w:pPr>
            <w:r/>
            <w:r>
              <w:rPr>
                <w:rFonts w:ascii="Times New Roman" w:hAnsi="Times New Roman" w:eastAsia="Times New Roman"/>
                <w:sz w:val="18"/>
              </w:rPr>
              <w:t>(2,1,High)</w:t>
            </w:r>
          </w:p>
        </w:tc>
        <w:tc>
          <w:tcPr>
            <w:tcW w:type="dxa" w:w="1368"/>
          </w:tcPr>
          <w:p>
            <w:pPr>
              <w:jc w:val="center"/>
            </w:pPr>
            <w:r/>
            <w:r>
              <w:rPr>
                <w:rFonts w:ascii="Times New Roman" w:hAnsi="Times New Roman" w:eastAsia="Times New Roman"/>
                <w:sz w:val="18"/>
              </w:rPr>
              <w:t>1.50</w:t>
            </w:r>
          </w:p>
        </w:tc>
        <w:tc>
          <w:tcPr>
            <w:tcW w:type="dxa" w:w="2448"/>
          </w:tcPr>
          <w:p>
            <w:pPr>
              <w:jc w:val="center"/>
            </w:pPr>
            <w:r/>
            <w:r>
              <w:rPr>
                <w:rFonts w:ascii="Times New Roman" w:hAnsi="Times New Roman" w:eastAsia="Times New Roman"/>
                <w:sz w:val="18"/>
              </w:rPr>
              <w:t>1.00/0.00/0.00 | 0.73/0.27/0.00</w:t>
            </w:r>
          </w:p>
        </w:tc>
        <w:tc>
          <w:tcPr>
            <w:tcW w:type="dxa" w:w="1368"/>
          </w:tcPr>
          <w:p>
            <w:pPr>
              <w:jc w:val="center"/>
            </w:pPr>
            <w:r/>
            <w:r>
              <w:rPr>
                <w:rFonts w:ascii="Times New Roman" w:hAnsi="Times New Roman" w:eastAsia="Times New Roman"/>
                <w:sz w:val="18"/>
              </w:rPr>
              <w:t>1.50</w:t>
            </w:r>
          </w:p>
        </w:tc>
        <w:tc>
          <w:tcPr>
            <w:tcW w:type="dxa" w:w="2448"/>
          </w:tcPr>
          <w:p>
            <w:pPr>
              <w:jc w:val="center"/>
            </w:pPr>
            <w:r/>
            <w:r>
              <w:rPr>
                <w:rFonts w:ascii="Times New Roman" w:hAnsi="Times New Roman" w:eastAsia="Times New Roman"/>
                <w:sz w:val="18"/>
              </w:rPr>
              <w:t>1.00/0.00/0.00 | 0.02/0.98/0.00</w:t>
            </w:r>
          </w:p>
        </w:tc>
      </w:tr>
      <w:tr>
        <w:tc>
          <w:tcPr>
            <w:tcW w:type="dxa" w:w="1656"/>
          </w:tcPr>
          <w:p>
            <w:pPr>
              <w:jc w:val="left"/>
            </w:pPr>
            <w:r/>
            <w:r>
              <w:rPr>
                <w:rFonts w:ascii="Times New Roman" w:hAnsi="Times New Roman" w:eastAsia="Times New Roman"/>
                <w:sz w:val="18"/>
              </w:rPr>
              <w:t>(2,2,Med)</w:t>
            </w:r>
          </w:p>
        </w:tc>
        <w:tc>
          <w:tcPr>
            <w:tcW w:type="dxa" w:w="1368"/>
          </w:tcPr>
          <w:p>
            <w:pPr>
              <w:jc w:val="center"/>
            </w:pPr>
            <w:r/>
            <w:r>
              <w:rPr>
                <w:rFonts w:ascii="Times New Roman" w:hAnsi="Times New Roman" w:eastAsia="Times New Roman"/>
                <w:sz w:val="18"/>
              </w:rPr>
              <w:t>0.79</w:t>
            </w:r>
          </w:p>
        </w:tc>
        <w:tc>
          <w:tcPr>
            <w:tcW w:type="dxa" w:w="2448"/>
          </w:tcPr>
          <w:p>
            <w:pPr>
              <w:jc w:val="center"/>
            </w:pPr>
            <w:r/>
            <w:r>
              <w:rPr>
                <w:rFonts w:ascii="Times New Roman" w:hAnsi="Times New Roman" w:eastAsia="Times New Roman"/>
                <w:sz w:val="18"/>
              </w:rPr>
              <w:t>1.00/0.00/0.00 | 1.00/0.00/0.00</w:t>
            </w:r>
          </w:p>
        </w:tc>
        <w:tc>
          <w:tcPr>
            <w:tcW w:type="dxa" w:w="1368"/>
          </w:tcPr>
          <w:p>
            <w:pPr>
              <w:jc w:val="center"/>
            </w:pPr>
            <w:r/>
            <w:r>
              <w:rPr>
                <w:rFonts w:ascii="Times New Roman" w:hAnsi="Times New Roman" w:eastAsia="Times New Roman"/>
                <w:sz w:val="18"/>
              </w:rPr>
              <w:t>0.79</w:t>
            </w:r>
          </w:p>
        </w:tc>
        <w:tc>
          <w:tcPr>
            <w:tcW w:type="dxa" w:w="2448"/>
          </w:tcPr>
          <w:p>
            <w:pPr>
              <w:jc w:val="center"/>
            </w:pPr>
            <w:r/>
            <w:r>
              <w:rPr>
                <w:rFonts w:ascii="Times New Roman" w:hAnsi="Times New Roman" w:eastAsia="Times New Roman"/>
                <w:sz w:val="18"/>
              </w:rPr>
              <w:t>0.84/0.00/0.16 | 1.00/0.00/0.00</w:t>
            </w:r>
          </w:p>
        </w:tc>
      </w:tr>
      <w:tr>
        <w:tc>
          <w:tcPr>
            <w:tcW w:type="dxa" w:w="1656"/>
          </w:tcPr>
          <w:p>
            <w:pPr>
              <w:jc w:val="left"/>
            </w:pPr>
            <w:r/>
            <w:r>
              <w:rPr>
                <w:rFonts w:ascii="Times New Roman" w:hAnsi="Times New Roman" w:eastAsia="Times New Roman"/>
                <w:sz w:val="18"/>
              </w:rPr>
              <w:t>(2,2,High)</w:t>
            </w:r>
          </w:p>
        </w:tc>
        <w:tc>
          <w:tcPr>
            <w:tcW w:type="dxa" w:w="1368"/>
          </w:tcPr>
          <w:p>
            <w:pPr>
              <w:jc w:val="center"/>
            </w:pPr>
            <w:r/>
            <w:r>
              <w:rPr>
                <w:rFonts w:ascii="Times New Roman" w:hAnsi="Times New Roman" w:eastAsia="Times New Roman"/>
                <w:sz w:val="18"/>
              </w:rPr>
              <w:t>1.50</w:t>
            </w:r>
          </w:p>
        </w:tc>
        <w:tc>
          <w:tcPr>
            <w:tcW w:type="dxa" w:w="2448"/>
          </w:tcPr>
          <w:p>
            <w:pPr>
              <w:jc w:val="center"/>
            </w:pPr>
            <w:r/>
            <w:r>
              <w:rPr>
                <w:rFonts w:ascii="Times New Roman" w:hAnsi="Times New Roman" w:eastAsia="Times New Roman"/>
                <w:sz w:val="18"/>
              </w:rPr>
              <w:t>1.00/0.00/0.00 | 1.00/0.00/0.00</w:t>
            </w:r>
          </w:p>
        </w:tc>
        <w:tc>
          <w:tcPr>
            <w:tcW w:type="dxa" w:w="1368"/>
          </w:tcPr>
          <w:p>
            <w:pPr>
              <w:jc w:val="center"/>
            </w:pPr>
            <w:r/>
            <w:r>
              <w:rPr>
                <w:rFonts w:ascii="Times New Roman" w:hAnsi="Times New Roman" w:eastAsia="Times New Roman"/>
                <w:sz w:val="18"/>
              </w:rPr>
              <w:t>1.50</w:t>
            </w:r>
          </w:p>
        </w:tc>
        <w:tc>
          <w:tcPr>
            <w:tcW w:type="dxa" w:w="2448"/>
          </w:tcPr>
          <w:p>
            <w:pPr>
              <w:jc w:val="center"/>
            </w:pPr>
            <w:r/>
            <w:r>
              <w:rPr>
                <w:rFonts w:ascii="Times New Roman" w:hAnsi="Times New Roman" w:eastAsia="Times New Roman"/>
                <w:sz w:val="18"/>
              </w:rPr>
              <w:t>1.00/0.00/0.00 | 0.83/0.17/0.00</w:t>
            </w:r>
          </w:p>
        </w:tc>
      </w:tr>
      <w:tr>
        <w:tc>
          <w:tcPr>
            <w:tcW w:type="dxa" w:w="1656"/>
            <w:tcBorders>
              <w:bottom w:val="single" w:sz="8" w:space="0" w:color="000000"/>
            </w:tcBorders>
          </w:tcPr>
          <w:p>
            <w:pPr>
              <w:jc w:val="left"/>
            </w:pPr>
            <w:r/>
            <w:r>
              <w:rPr>
                <w:rFonts w:ascii="Times New Roman" w:hAnsi="Times New Roman" w:eastAsia="Times New Roman"/>
                <w:sz w:val="18"/>
              </w:rPr>
              <w:t>(3,3,Med)</w:t>
            </w:r>
          </w:p>
        </w:tc>
        <w:tc>
          <w:tcPr>
            <w:tcW w:type="dxa" w:w="1368"/>
            <w:tcBorders>
              <w:bottom w:val="single" w:sz="8" w:space="0" w:color="000000"/>
            </w:tcBorders>
          </w:tcPr>
          <w:p>
            <w:pPr>
              <w:jc w:val="center"/>
            </w:pPr>
            <w:r/>
            <w:r>
              <w:rPr>
                <w:rFonts w:ascii="Times New Roman" w:hAnsi="Times New Roman" w:eastAsia="Times New Roman"/>
                <w:sz w:val="18"/>
              </w:rPr>
              <w:t>0.79</w:t>
            </w:r>
          </w:p>
        </w:tc>
        <w:tc>
          <w:tcPr>
            <w:tcW w:type="dxa" w:w="2448"/>
            <w:tcBorders>
              <w:bottom w:val="single" w:sz="8" w:space="0" w:color="000000"/>
            </w:tcBorders>
          </w:tcPr>
          <w:p>
            <w:pPr>
              <w:jc w:val="center"/>
            </w:pPr>
            <w:r/>
            <w:r>
              <w:rPr>
                <w:rFonts w:ascii="Times New Roman" w:hAnsi="Times New Roman" w:eastAsia="Times New Roman"/>
                <w:sz w:val="18"/>
              </w:rPr>
              <w:t>0.05/0.00/0.95 | 0.05/0.00/0.95</w:t>
            </w:r>
          </w:p>
        </w:tc>
        <w:tc>
          <w:tcPr>
            <w:tcW w:type="dxa" w:w="1368"/>
            <w:tcBorders>
              <w:bottom w:val="single" w:sz="8" w:space="0" w:color="000000"/>
            </w:tcBorders>
          </w:tcPr>
          <w:p>
            <w:pPr>
              <w:jc w:val="center"/>
            </w:pPr>
            <w:r/>
            <w:r>
              <w:rPr>
                <w:rFonts w:ascii="Times New Roman" w:hAnsi="Times New Roman" w:eastAsia="Times New Roman"/>
                <w:sz w:val="18"/>
              </w:rPr>
              <w:t>0.79</w:t>
            </w:r>
          </w:p>
        </w:tc>
        <w:tc>
          <w:tcPr>
            <w:tcW w:type="dxa" w:w="2448"/>
            <w:tcBorders>
              <w:bottom w:val="single" w:sz="8" w:space="0" w:color="000000"/>
            </w:tcBorders>
          </w:tcPr>
          <w:p>
            <w:pPr>
              <w:jc w:val="center"/>
            </w:pPr>
            <w:r/>
            <w:r>
              <w:rPr>
                <w:rFonts w:ascii="Times New Roman" w:hAnsi="Times New Roman" w:eastAsia="Times New Roman"/>
                <w:sz w:val="18"/>
              </w:rPr>
              <w:t>0.01/0.00/0.99 | 1.00/0.00/0.00</w:t>
            </w:r>
          </w:p>
        </w:tc>
      </w:tr>
    </w:tbl>
    <w:p>
      <w:pPr>
        <w:spacing w:after="240"/>
      </w:pPr>
      <w:r>
        <w:rPr>
          <w:rFonts w:ascii="Times New Roman" w:hAnsi="Times New Roman" w:eastAsia="Times New Roman"/>
          <w:sz w:val="20"/>
        </w:rPr>
        <w:t>Note. Expected price is identical for the two firms in these states. Probabilities are those of the logit equilibrium strategies.</w:t>
      </w:r>
    </w:p>
    <w:p>
      <w:pPr>
        <w:spacing w:line="480" w:lineRule="auto" w:after="0"/>
        <w:ind w:firstLine="720"/>
        <w:jc w:val="left"/>
      </w:pPr>
      <w:r>
        <w:rPr>
          <w:rFonts w:ascii="Times New Roman" w:hAnsi="Times New Roman" w:eastAsia="Times New Roman"/>
        </w:rPr>
        <w:t>Three features of Table 2 deserve mention. First, expansion occurs when capacity is short relative to demand: in the capacity-heavy equilibrium at state (1,1) with high demand, A expands with certainty and B with probability 0.27; in the medium-demand state only B expands. Second, there is no capacity race in the sense of both firms expanding simultaneously when one expansion would suffice: the joint probability of two simultaneous expansions is at most 0.27 in any state shown and is essentially zero in the stationary distribution. Third, when capacity is redundant, as at (3,3) with medium demand, nodes are retired: both firms do so with probability 0.95 in the capacity-heavy equilibrium, and in the capacity-scarce one the smaller firm retires a node with probability 0.99 while the larger firm holds. That is the shakeout one would expect, although it need not be symmetric.</w:t>
      </w:r>
    </w:p>
    <w:p>
      <w:pPr>
        <w:keepNext/>
        <w:spacing w:line="480" w:lineRule="auto"/>
      </w:pPr>
      <w:r>
        <w:rPr>
          <w:rFonts w:ascii="Times New Roman" w:hAnsi="Times New Roman" w:eastAsia="Times New Roman"/>
          <w:b/>
          <w:i/>
        </w:rPr>
        <w:t>5.3 Comparison with the benchmarks</w:t>
      </w:r>
    </w:p>
    <w:p>
      <w:pPr>
        <w:keepNext/>
        <w:spacing w:after="80"/>
      </w:pPr>
      <w:r>
        <w:rPr>
          <w:rFonts w:ascii="Times New Roman" w:hAnsi="Times New Roman" w:eastAsia="Times New Roman"/>
          <w:b/>
          <w:sz w:val="22"/>
        </w:rPr>
        <w:t>Table 3.</w:t>
      </w:r>
      <w:r>
        <w:rPr>
          <w:rFonts w:ascii="Times New Roman" w:hAnsi="Times New Roman" w:eastAsia="Times New Roman"/>
          <w:sz w:val="22"/>
        </w:rPr>
        <w:t xml:space="preserve"> Stationary averages under the ergodic distribution of each equilibrium (base scenario).</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880"/>
            <w:tcBorders>
              <w:top w:val="single" w:sz="8" w:space="0" w:color="000000"/>
              <w:bottom w:val="single" w:sz="8" w:space="0" w:color="000000"/>
            </w:tcBorders>
          </w:tcPr>
          <w:p>
            <w:pPr>
              <w:jc w:val="left"/>
            </w:pPr>
            <w:r/>
          </w:p>
        </w:tc>
        <w:tc>
          <w:tcPr>
            <w:tcW w:type="dxa" w:w="1584"/>
            <w:tcBorders>
              <w:top w:val="single" w:sz="8" w:space="0" w:color="000000"/>
              <w:bottom w:val="single" w:sz="8" w:space="0" w:color="000000"/>
            </w:tcBorders>
          </w:tcPr>
          <w:p>
            <w:pPr>
              <w:jc w:val="center"/>
            </w:pPr>
            <w:r/>
            <w:r>
              <w:rPr>
                <w:rFonts w:ascii="Times New Roman" w:hAnsi="Times New Roman" w:eastAsia="Times New Roman"/>
                <w:b/>
                <w:sz w:val="18"/>
              </w:rPr>
              <w:t>Bertrand MPE, capacity-heavy</w:t>
            </w:r>
          </w:p>
        </w:tc>
        <w:tc>
          <w:tcPr>
            <w:tcW w:type="dxa" w:w="1584"/>
            <w:tcBorders>
              <w:top w:val="single" w:sz="8" w:space="0" w:color="000000"/>
              <w:bottom w:val="single" w:sz="8" w:space="0" w:color="000000"/>
            </w:tcBorders>
          </w:tcPr>
          <w:p>
            <w:pPr>
              <w:jc w:val="center"/>
            </w:pPr>
            <w:r/>
            <w:r>
              <w:rPr>
                <w:rFonts w:ascii="Times New Roman" w:hAnsi="Times New Roman" w:eastAsia="Times New Roman"/>
                <w:b/>
                <w:sz w:val="18"/>
              </w:rPr>
              <w:t>Bertrand MPE, capacity-scarce</w:t>
            </w:r>
          </w:p>
        </w:tc>
        <w:tc>
          <w:tcPr>
            <w:tcW w:type="dxa" w:w="1584"/>
            <w:tcBorders>
              <w:top w:val="single" w:sz="8" w:space="0" w:color="000000"/>
              <w:bottom w:val="single" w:sz="8" w:space="0" w:color="000000"/>
            </w:tcBorders>
          </w:tcPr>
          <w:p>
            <w:pPr>
              <w:jc w:val="center"/>
            </w:pPr>
            <w:r/>
            <w:r>
              <w:rPr>
                <w:rFonts w:ascii="Times New Roman" w:hAnsi="Times New Roman" w:eastAsia="Times New Roman"/>
                <w:b/>
                <w:sz w:val="18"/>
              </w:rPr>
              <w:t>Joint-profit benchmark</w:t>
            </w:r>
          </w:p>
        </w:tc>
        <w:tc>
          <w:tcPr>
            <w:tcW w:type="dxa" w:w="1584"/>
            <w:tcBorders>
              <w:top w:val="single" w:sz="8" w:space="0" w:color="000000"/>
              <w:bottom w:val="single" w:sz="8" w:space="0" w:color="000000"/>
            </w:tcBorders>
          </w:tcPr>
          <w:p>
            <w:pPr>
              <w:jc w:val="center"/>
            </w:pPr>
            <w:r/>
            <w:r>
              <w:rPr>
                <w:rFonts w:ascii="Times New Roman" w:hAnsi="Times New Roman" w:eastAsia="Times New Roman"/>
                <w:b/>
                <w:sz w:val="18"/>
              </w:rPr>
              <w:t>Market-share contest</w:t>
            </w:r>
          </w:p>
        </w:tc>
      </w:tr>
      <w:tr>
        <w:tc>
          <w:tcPr>
            <w:tcW w:type="dxa" w:w="2880"/>
          </w:tcPr>
          <w:p>
            <w:pPr>
              <w:jc w:val="left"/>
            </w:pPr>
            <w:r/>
            <w:r>
              <w:rPr>
                <w:rFonts w:ascii="Times New Roman" w:hAnsi="Times New Roman" w:eastAsia="Times New Roman"/>
                <w:sz w:val="18"/>
              </w:rPr>
              <w:t>Average transaction price</w:t>
            </w:r>
          </w:p>
        </w:tc>
        <w:tc>
          <w:tcPr>
            <w:tcW w:type="dxa" w:w="1584"/>
          </w:tcPr>
          <w:p>
            <w:pPr>
              <w:jc w:val="center"/>
            </w:pPr>
            <w:r/>
            <w:r>
              <w:rPr>
                <w:rFonts w:ascii="Times New Roman" w:hAnsi="Times New Roman" w:eastAsia="Times New Roman"/>
                <w:sz w:val="18"/>
              </w:rPr>
              <w:t>1.13</w:t>
            </w:r>
          </w:p>
        </w:tc>
        <w:tc>
          <w:tcPr>
            <w:tcW w:type="dxa" w:w="1584"/>
          </w:tcPr>
          <w:p>
            <w:pPr>
              <w:jc w:val="center"/>
            </w:pPr>
            <w:r/>
            <w:r>
              <w:rPr>
                <w:rFonts w:ascii="Times New Roman" w:hAnsi="Times New Roman" w:eastAsia="Times New Roman"/>
                <w:sz w:val="18"/>
              </w:rPr>
              <w:t>1.25</w:t>
            </w:r>
          </w:p>
        </w:tc>
        <w:tc>
          <w:tcPr>
            <w:tcW w:type="dxa" w:w="1584"/>
          </w:tcPr>
          <w:p>
            <w:pPr>
              <w:jc w:val="center"/>
            </w:pPr>
            <w:r/>
            <w:r>
              <w:rPr>
                <w:rFonts w:ascii="Times New Roman" w:hAnsi="Times New Roman" w:eastAsia="Times New Roman"/>
                <w:sz w:val="18"/>
              </w:rPr>
              <w:t>1.50</w:t>
            </w:r>
          </w:p>
        </w:tc>
        <w:tc>
          <w:tcPr>
            <w:tcW w:type="dxa" w:w="1584"/>
          </w:tcPr>
          <w:p>
            <w:pPr>
              <w:jc w:val="center"/>
            </w:pPr>
            <w:r/>
            <w:r>
              <w:rPr>
                <w:rFonts w:ascii="Times New Roman" w:hAnsi="Times New Roman" w:eastAsia="Times New Roman"/>
                <w:sz w:val="18"/>
              </w:rPr>
              <w:t>1.50</w:t>
            </w:r>
          </w:p>
        </w:tc>
      </w:tr>
      <w:tr>
        <w:tc>
          <w:tcPr>
            <w:tcW w:type="dxa" w:w="2880"/>
          </w:tcPr>
          <w:p>
            <w:pPr>
              <w:jc w:val="left"/>
            </w:pPr>
            <w:r/>
            <w:r>
              <w:rPr>
                <w:rFonts w:ascii="Times New Roman" w:hAnsi="Times New Roman" w:eastAsia="Times New Roman"/>
                <w:sz w:val="18"/>
              </w:rPr>
              <w:t>Industry profit per period</w:t>
            </w:r>
          </w:p>
        </w:tc>
        <w:tc>
          <w:tcPr>
            <w:tcW w:type="dxa" w:w="1584"/>
          </w:tcPr>
          <w:p>
            <w:pPr>
              <w:jc w:val="center"/>
            </w:pPr>
            <w:r/>
            <w:r>
              <w:rPr>
                <w:rFonts w:ascii="Times New Roman" w:hAnsi="Times New Roman" w:eastAsia="Times New Roman"/>
                <w:sz w:val="18"/>
              </w:rPr>
              <w:t>12.91</w:t>
            </w:r>
          </w:p>
        </w:tc>
        <w:tc>
          <w:tcPr>
            <w:tcW w:type="dxa" w:w="1584"/>
          </w:tcPr>
          <w:p>
            <w:pPr>
              <w:jc w:val="center"/>
            </w:pPr>
            <w:r/>
            <w:r>
              <w:rPr>
                <w:rFonts w:ascii="Times New Roman" w:hAnsi="Times New Roman" w:eastAsia="Times New Roman"/>
                <w:sz w:val="18"/>
              </w:rPr>
              <w:t>17.15</w:t>
            </w:r>
          </w:p>
        </w:tc>
        <w:tc>
          <w:tcPr>
            <w:tcW w:type="dxa" w:w="1584"/>
          </w:tcPr>
          <w:p>
            <w:pPr>
              <w:jc w:val="center"/>
            </w:pPr>
            <w:r/>
            <w:r>
              <w:rPr>
                <w:rFonts w:ascii="Times New Roman" w:hAnsi="Times New Roman" w:eastAsia="Times New Roman"/>
                <w:sz w:val="18"/>
              </w:rPr>
              <w:t>23.79</w:t>
            </w:r>
          </w:p>
        </w:tc>
        <w:tc>
          <w:tcPr>
            <w:tcW w:type="dxa" w:w="1584"/>
          </w:tcPr>
          <w:p>
            <w:pPr>
              <w:jc w:val="center"/>
            </w:pPr>
            <w:r/>
            <w:r>
              <w:rPr>
                <w:rFonts w:ascii="Times New Roman" w:hAnsi="Times New Roman" w:eastAsia="Times New Roman"/>
                <w:sz w:val="18"/>
              </w:rPr>
              <w:t>20.38</w:t>
            </w:r>
          </w:p>
        </w:tc>
      </w:tr>
      <w:tr>
        <w:tc>
          <w:tcPr>
            <w:tcW w:type="dxa" w:w="2880"/>
          </w:tcPr>
          <w:p>
            <w:pPr>
              <w:jc w:val="left"/>
            </w:pPr>
            <w:r/>
            <w:r>
              <w:rPr>
                <w:rFonts w:ascii="Times New Roman" w:hAnsi="Times New Roman" w:eastAsia="Times New Roman"/>
                <w:sz w:val="18"/>
              </w:rPr>
              <w:t>Consumer surplus per period</w:t>
            </w:r>
          </w:p>
        </w:tc>
        <w:tc>
          <w:tcPr>
            <w:tcW w:type="dxa" w:w="1584"/>
          </w:tcPr>
          <w:p>
            <w:pPr>
              <w:jc w:val="center"/>
            </w:pPr>
            <w:r/>
            <w:r>
              <w:rPr>
                <w:rFonts w:ascii="Times New Roman" w:hAnsi="Times New Roman" w:eastAsia="Times New Roman"/>
                <w:sz w:val="18"/>
              </w:rPr>
              <w:t>9.48</w:t>
            </w:r>
          </w:p>
        </w:tc>
        <w:tc>
          <w:tcPr>
            <w:tcW w:type="dxa" w:w="1584"/>
          </w:tcPr>
          <w:p>
            <w:pPr>
              <w:jc w:val="center"/>
            </w:pPr>
            <w:r/>
            <w:r>
              <w:rPr>
                <w:rFonts w:ascii="Times New Roman" w:hAnsi="Times New Roman" w:eastAsia="Times New Roman"/>
                <w:sz w:val="18"/>
              </w:rPr>
              <w:t>6.25</w:t>
            </w:r>
          </w:p>
        </w:tc>
        <w:tc>
          <w:tcPr>
            <w:tcW w:type="dxa" w:w="1584"/>
          </w:tcPr>
          <w:p>
            <w:pPr>
              <w:jc w:val="center"/>
            </w:pPr>
            <w:r/>
            <w:r>
              <w:rPr>
                <w:rFonts w:ascii="Times New Roman" w:hAnsi="Times New Roman" w:eastAsia="Times New Roman"/>
                <w:sz w:val="18"/>
              </w:rPr>
              <w:t>0.00</w:t>
            </w:r>
          </w:p>
        </w:tc>
        <w:tc>
          <w:tcPr>
            <w:tcW w:type="dxa" w:w="1584"/>
          </w:tcPr>
          <w:p>
            <w:pPr>
              <w:jc w:val="center"/>
            </w:pPr>
            <w:r/>
            <w:r>
              <w:rPr>
                <w:rFonts w:ascii="Times New Roman" w:hAnsi="Times New Roman" w:eastAsia="Times New Roman"/>
                <w:sz w:val="18"/>
              </w:rPr>
              <w:t>0.00</w:t>
            </w:r>
          </w:p>
        </w:tc>
      </w:tr>
      <w:tr>
        <w:tc>
          <w:tcPr>
            <w:tcW w:type="dxa" w:w="2880"/>
          </w:tcPr>
          <w:p>
            <w:pPr>
              <w:jc w:val="left"/>
            </w:pPr>
            <w:r/>
            <w:r>
              <w:rPr>
                <w:rFonts w:ascii="Times New Roman" w:hAnsi="Times New Roman" w:eastAsia="Times New Roman"/>
                <w:sz w:val="18"/>
              </w:rPr>
              <w:t>Total surplus per period</w:t>
            </w:r>
          </w:p>
        </w:tc>
        <w:tc>
          <w:tcPr>
            <w:tcW w:type="dxa" w:w="1584"/>
          </w:tcPr>
          <w:p>
            <w:pPr>
              <w:jc w:val="center"/>
            </w:pPr>
            <w:r/>
            <w:r>
              <w:rPr>
                <w:rFonts w:ascii="Times New Roman" w:hAnsi="Times New Roman" w:eastAsia="Times New Roman"/>
                <w:sz w:val="18"/>
              </w:rPr>
              <w:t>22.38</w:t>
            </w:r>
          </w:p>
        </w:tc>
        <w:tc>
          <w:tcPr>
            <w:tcW w:type="dxa" w:w="1584"/>
          </w:tcPr>
          <w:p>
            <w:pPr>
              <w:jc w:val="center"/>
            </w:pPr>
            <w:r/>
            <w:r>
              <w:rPr>
                <w:rFonts w:ascii="Times New Roman" w:hAnsi="Times New Roman" w:eastAsia="Times New Roman"/>
                <w:sz w:val="18"/>
              </w:rPr>
              <w:t>23.40</w:t>
            </w:r>
          </w:p>
        </w:tc>
        <w:tc>
          <w:tcPr>
            <w:tcW w:type="dxa" w:w="1584"/>
          </w:tcPr>
          <w:p>
            <w:pPr>
              <w:jc w:val="center"/>
            </w:pPr>
            <w:r/>
            <w:r>
              <w:rPr>
                <w:rFonts w:ascii="Times New Roman" w:hAnsi="Times New Roman" w:eastAsia="Times New Roman"/>
                <w:sz w:val="18"/>
              </w:rPr>
              <w:t>23.79</w:t>
            </w:r>
          </w:p>
        </w:tc>
        <w:tc>
          <w:tcPr>
            <w:tcW w:type="dxa" w:w="1584"/>
          </w:tcPr>
          <w:p>
            <w:pPr>
              <w:jc w:val="center"/>
            </w:pPr>
            <w:r/>
            <w:r>
              <w:rPr>
                <w:rFonts w:ascii="Times New Roman" w:hAnsi="Times New Roman" w:eastAsia="Times New Roman"/>
                <w:sz w:val="18"/>
              </w:rPr>
              <w:t>20.38</w:t>
            </w:r>
          </w:p>
        </w:tc>
      </w:tr>
      <w:tr>
        <w:tc>
          <w:tcPr>
            <w:tcW w:type="dxa" w:w="2880"/>
          </w:tcPr>
          <w:p>
            <w:pPr>
              <w:jc w:val="left"/>
            </w:pPr>
            <w:r/>
            <w:r>
              <w:rPr>
                <w:rFonts w:ascii="Times New Roman" w:hAnsi="Times New Roman" w:eastAsia="Times New Roman"/>
                <w:sz w:val="18"/>
              </w:rPr>
              <w:t>Mean installed capacity</w:t>
            </w:r>
          </w:p>
        </w:tc>
        <w:tc>
          <w:tcPr>
            <w:tcW w:type="dxa" w:w="1584"/>
          </w:tcPr>
          <w:p>
            <w:pPr>
              <w:jc w:val="center"/>
            </w:pPr>
            <w:r/>
            <w:r>
              <w:rPr>
                <w:rFonts w:ascii="Times New Roman" w:hAnsi="Times New Roman" w:eastAsia="Times New Roman"/>
                <w:sz w:val="18"/>
              </w:rPr>
              <w:t>59.8</w:t>
            </w:r>
          </w:p>
        </w:tc>
        <w:tc>
          <w:tcPr>
            <w:tcW w:type="dxa" w:w="1584"/>
          </w:tcPr>
          <w:p>
            <w:pPr>
              <w:jc w:val="center"/>
            </w:pPr>
            <w:r/>
            <w:r>
              <w:rPr>
                <w:rFonts w:ascii="Times New Roman" w:hAnsi="Times New Roman" w:eastAsia="Times New Roman"/>
                <w:sz w:val="18"/>
              </w:rPr>
              <w:t>45.0</w:t>
            </w:r>
          </w:p>
        </w:tc>
        <w:tc>
          <w:tcPr>
            <w:tcW w:type="dxa" w:w="1584"/>
          </w:tcPr>
          <w:p>
            <w:pPr>
              <w:jc w:val="center"/>
            </w:pPr>
            <w:r/>
            <w:r>
              <w:rPr>
                <w:rFonts w:ascii="Times New Roman" w:hAnsi="Times New Roman" w:eastAsia="Times New Roman"/>
                <w:sz w:val="18"/>
              </w:rPr>
              <w:t>45.0</w:t>
            </w:r>
          </w:p>
        </w:tc>
        <w:tc>
          <w:tcPr>
            <w:tcW w:type="dxa" w:w="1584"/>
          </w:tcPr>
          <w:p>
            <w:pPr>
              <w:jc w:val="center"/>
            </w:pPr>
            <w:r/>
            <w:r>
              <w:rPr>
                <w:rFonts w:ascii="Times New Roman" w:hAnsi="Times New Roman" w:eastAsia="Times New Roman"/>
                <w:sz w:val="18"/>
              </w:rPr>
              <w:t>75.2</w:t>
            </w:r>
          </w:p>
        </w:tc>
      </w:tr>
      <w:tr>
        <w:tc>
          <w:tcPr>
            <w:tcW w:type="dxa" w:w="2880"/>
          </w:tcPr>
          <w:p>
            <w:pPr>
              <w:jc w:val="left"/>
            </w:pPr>
            <w:r/>
            <w:r>
              <w:rPr>
                <w:rFonts w:ascii="Times New Roman" w:hAnsi="Times New Roman" w:eastAsia="Times New Roman"/>
                <w:sz w:val="18"/>
              </w:rPr>
              <w:t>Mean excess capacity</w:t>
            </w:r>
          </w:p>
        </w:tc>
        <w:tc>
          <w:tcPr>
            <w:tcW w:type="dxa" w:w="1584"/>
          </w:tcPr>
          <w:p>
            <w:pPr>
              <w:jc w:val="center"/>
            </w:pPr>
            <w:r/>
            <w:r>
              <w:rPr>
                <w:rFonts w:ascii="Times New Roman" w:hAnsi="Times New Roman" w:eastAsia="Times New Roman"/>
                <w:sz w:val="18"/>
              </w:rPr>
              <w:t>34.4</w:t>
            </w:r>
          </w:p>
        </w:tc>
        <w:tc>
          <w:tcPr>
            <w:tcW w:type="dxa" w:w="1584"/>
          </w:tcPr>
          <w:p>
            <w:pPr>
              <w:jc w:val="center"/>
            </w:pPr>
            <w:r/>
            <w:r>
              <w:rPr>
                <w:rFonts w:ascii="Times New Roman" w:hAnsi="Times New Roman" w:eastAsia="Times New Roman"/>
                <w:sz w:val="18"/>
              </w:rPr>
              <w:t>19.7</w:t>
            </w:r>
          </w:p>
        </w:tc>
        <w:tc>
          <w:tcPr>
            <w:tcW w:type="dxa" w:w="1584"/>
          </w:tcPr>
          <w:p>
            <w:pPr>
              <w:jc w:val="center"/>
            </w:pPr>
            <w:r/>
            <w:r>
              <w:rPr>
                <w:rFonts w:ascii="Times New Roman" w:hAnsi="Times New Roman" w:eastAsia="Times New Roman"/>
                <w:sz w:val="18"/>
              </w:rPr>
              <w:t>19.7</w:t>
            </w:r>
          </w:p>
        </w:tc>
        <w:tc>
          <w:tcPr>
            <w:tcW w:type="dxa" w:w="1584"/>
          </w:tcPr>
          <w:p>
            <w:pPr>
              <w:jc w:val="center"/>
            </w:pPr>
            <w:r/>
            <w:r>
              <w:rPr>
                <w:rFonts w:ascii="Times New Roman" w:hAnsi="Times New Roman" w:eastAsia="Times New Roman"/>
                <w:sz w:val="18"/>
              </w:rPr>
              <w:t>49.9</w:t>
            </w:r>
          </w:p>
        </w:tc>
      </w:tr>
      <w:tr>
        <w:tc>
          <w:tcPr>
            <w:tcW w:type="dxa" w:w="2880"/>
            <w:tcBorders>
              <w:bottom w:val="single" w:sz="8" w:space="0" w:color="000000"/>
            </w:tcBorders>
          </w:tcPr>
          <w:p>
            <w:pPr>
              <w:jc w:val="left"/>
            </w:pPr>
            <w:r/>
            <w:r>
              <w:rPr>
                <w:rFonts w:ascii="Times New Roman" w:hAnsi="Times New Roman" w:eastAsia="Times New Roman"/>
                <w:sz w:val="18"/>
              </w:rPr>
              <w:t>Mean nodes (A / B)</w:t>
            </w:r>
          </w:p>
        </w:tc>
        <w:tc>
          <w:tcPr>
            <w:tcW w:type="dxa" w:w="1584"/>
            <w:tcBorders>
              <w:bottom w:val="single" w:sz="8" w:space="0" w:color="000000"/>
            </w:tcBorders>
          </w:tcPr>
          <w:p>
            <w:pPr>
              <w:jc w:val="center"/>
            </w:pPr>
            <w:r/>
            <w:r>
              <w:rPr>
                <w:rFonts w:ascii="Times New Roman" w:hAnsi="Times New Roman" w:eastAsia="Times New Roman"/>
                <w:sz w:val="18"/>
              </w:rPr>
              <w:t>2.0 / 2.0</w:t>
            </w:r>
          </w:p>
        </w:tc>
        <w:tc>
          <w:tcPr>
            <w:tcW w:type="dxa" w:w="1584"/>
            <w:tcBorders>
              <w:bottom w:val="single" w:sz="8" w:space="0" w:color="000000"/>
            </w:tcBorders>
          </w:tcPr>
          <w:p>
            <w:pPr>
              <w:jc w:val="center"/>
            </w:pPr>
            <w:r/>
            <w:r>
              <w:rPr>
                <w:rFonts w:ascii="Times New Roman" w:hAnsi="Times New Roman" w:eastAsia="Times New Roman"/>
                <w:sz w:val="18"/>
              </w:rPr>
              <w:t>2.0 / 1.0</w:t>
            </w:r>
          </w:p>
        </w:tc>
        <w:tc>
          <w:tcPr>
            <w:tcW w:type="dxa" w:w="1584"/>
            <w:tcBorders>
              <w:bottom w:val="single" w:sz="8" w:space="0" w:color="000000"/>
            </w:tcBorders>
          </w:tcPr>
          <w:p>
            <w:pPr>
              <w:jc w:val="center"/>
            </w:pPr>
            <w:r/>
            <w:r>
              <w:rPr>
                <w:rFonts w:ascii="Times New Roman" w:hAnsi="Times New Roman" w:eastAsia="Times New Roman"/>
                <w:sz w:val="18"/>
              </w:rPr>
              <w:t>1.5 / 1.5</w:t>
            </w:r>
          </w:p>
        </w:tc>
        <w:tc>
          <w:tcPr>
            <w:tcW w:type="dxa" w:w="1584"/>
            <w:tcBorders>
              <w:bottom w:val="single" w:sz="8" w:space="0" w:color="000000"/>
            </w:tcBorders>
          </w:tcPr>
          <w:p>
            <w:pPr>
              <w:jc w:val="center"/>
            </w:pPr>
            <w:r/>
            <w:r>
              <w:rPr>
                <w:rFonts w:ascii="Times New Roman" w:hAnsi="Times New Roman" w:eastAsia="Times New Roman"/>
                <w:sz w:val="18"/>
              </w:rPr>
              <w:t>2.0 / 3.0</w:t>
            </w:r>
          </w:p>
        </w:tc>
      </w:tr>
    </w:tbl>
    <w:p>
      <w:pPr>
        <w:spacing w:after="240"/>
      </w:pPr>
      <w:r>
        <w:rPr>
          <w:rFonts w:ascii="Times New Roman" w:hAnsi="Times New Roman" w:eastAsia="Times New Roman"/>
          <w:sz w:val="20"/>
        </w:rPr>
        <w:t xml:space="preserve">Note. Consumer surplus is (p̄ − </w:t>
      </w:r>
      <w:r>
        <w:rPr>
          <w:rFonts w:ascii="Times New Roman" w:hAnsi="Times New Roman" w:eastAsia="Times New Roman"/>
          <w:i/>
          <w:sz w:val="20"/>
        </w:rPr>
        <w:t>p</w:t>
      </w:r>
      <w:r>
        <w:rPr>
          <w:rFonts w:ascii="Times New Roman" w:hAnsi="Times New Roman" w:eastAsia="Times New Roman"/>
          <w:sz w:val="20"/>
        </w:rPr>
        <w:t>)</w:t>
      </w:r>
      <w:r>
        <w:rPr>
          <w:rFonts w:ascii="Times New Roman" w:hAnsi="Times New Roman" w:eastAsia="Times New Roman"/>
          <w:i/>
          <w:sz w:val="20"/>
        </w:rPr>
        <w:t>q</w:t>
      </w:r>
      <w:r>
        <w:rPr>
          <w:rFonts w:ascii="Times New Roman" w:hAnsi="Times New Roman" w:eastAsia="Times New Roman"/>
          <w:sz w:val="20"/>
        </w:rPr>
        <w:t xml:space="preserve"> summed over firms. Excess capacity is E[max(κ(</w:t>
      </w:r>
      <w:r>
        <w:rPr>
          <w:rFonts w:ascii="Times New Roman" w:hAnsi="Times New Roman" w:eastAsia="Times New Roman"/>
          <w:i/>
          <w:sz w:val="20"/>
        </w:rPr>
        <w:t>m</w:t>
      </w:r>
      <w:r>
        <w:rPr>
          <w:rFonts w:ascii="Times New Roman" w:hAnsi="Times New Roman" w:eastAsia="Times New Roman"/>
          <w:sz w:val="20"/>
          <w:vertAlign w:val="subscript"/>
        </w:rPr>
        <w:t>A</w:t>
      </w:r>
      <w:r>
        <w:rPr>
          <w:rFonts w:ascii="Times New Roman" w:hAnsi="Times New Roman" w:eastAsia="Times New Roman"/>
          <w:sz w:val="20"/>
        </w:rPr>
        <w:t xml:space="preserve"> + </w:t>
      </w:r>
      <w:r>
        <w:rPr>
          <w:rFonts w:ascii="Times New Roman" w:hAnsi="Times New Roman" w:eastAsia="Times New Roman"/>
          <w:i/>
          <w:sz w:val="20"/>
        </w:rPr>
        <w:t>m</w:t>
      </w:r>
      <w:r>
        <w:rPr>
          <w:rFonts w:ascii="Times New Roman" w:hAnsi="Times New Roman" w:eastAsia="Times New Roman"/>
          <w:sz w:val="20"/>
          <w:vertAlign w:val="subscript"/>
        </w:rPr>
        <w:t>B</w:t>
      </w:r>
      <w:r>
        <w:rPr>
          <w:rFonts w:ascii="Times New Roman" w:hAnsi="Times New Roman" w:eastAsia="Times New Roman"/>
          <w:sz w:val="20"/>
        </w:rPr>
        <w:t>) − λ, 0)]. The joint-profit and contest rows are computed from the uniform starting point only.</w:t>
      </w:r>
    </w:p>
    <w:p>
      <w:pPr>
        <w:spacing w:line="480" w:lineRule="auto" w:after="0"/>
        <w:ind w:firstLine="720"/>
        <w:jc w:val="left"/>
      </w:pPr>
      <w:r>
        <w:rPr>
          <w:rFonts w:ascii="Times New Roman" w:hAnsi="Times New Roman" w:eastAsia="Times New Roman"/>
        </w:rPr>
        <w:t>Three comparisons stand out. Price competition transfers surplus to consumers: consumers receive 9.48 in the capacity-heavy equilibrium and 6.25 in the capacity-scarce one, against nothing under either benchmark, because both of those charge the reservation price. Industry profit in the two Bertrand equilibria is 54% and 72% of the joint-profit level. Installed capacity under Bertrand pricing is between that of the joint-profit benchmark (45.0) and that of the contest (75.2). The contest overbuilds by a wide margin because capacity is the only way to win share, whereas under price competition an extra node mostly intensifies the price war.</w:t>
      </w:r>
    </w:p>
    <w:p>
      <w:pPr>
        <w:spacing w:line="480" w:lineRule="auto" w:after="0"/>
        <w:ind w:firstLine="720"/>
        <w:jc w:val="left"/>
      </w:pPr>
      <w:r>
        <w:rPr>
          <w:rFonts w:ascii="Times New Roman" w:hAnsi="Times New Roman" w:eastAsia="Times New Roman"/>
        </w:rPr>
        <w:t>The two Bertrand equilibria rank differently. Consumers prefer the capacity-heavy equilibrium (consumer surplus 9.48 versus 6.25). Total surplus, which here is profit plus consumer surplus, is higher in the capacity-scarce equilibrium (23.40 versus 22.38), because served demand is the same in the two and the capacity-heavy equilibrium carries about one more node, at a holding cost of 2 per period, plus the associated adjustment costs. The efficiency loss from the extra capacity is about 4.3% of total surplus. A regulator or platform designer who cares about consumers and one who cares about total surplus would therefore select different equilibria, a point we return to in Section 9.</w:t>
      </w:r>
    </w:p>
    <w:p>
      <w:pPr>
        <w:keepNext/>
        <w:spacing w:line="480" w:lineRule="auto"/>
      </w:pPr>
      <w:r>
        <w:rPr>
          <w:rFonts w:ascii="Times New Roman" w:hAnsi="Times New Roman" w:eastAsia="Times New Roman"/>
          <w:b/>
        </w:rPr>
        <w:t>6. Sensitivity and Equilibrium Selection</w:t>
      </w:r>
    </w:p>
    <w:p>
      <w:pPr>
        <w:spacing w:line="480" w:lineRule="auto" w:after="0"/>
        <w:ind w:firstLine="720"/>
        <w:jc w:val="left"/>
      </w:pPr>
      <w:r>
        <w:rPr>
          <w:rFonts w:ascii="Times New Roman" w:hAnsi="Times New Roman" w:eastAsia="Times New Roman"/>
        </w:rPr>
        <w:t>We vary the scale of the payoff shocks, marginal cost, adjustment costs, the discount factor, the service-level penalty, the demand process, and the price grid, one at a time around the base scenario, for 20 scenarios in all. Each scenario is solved from the uniform starting point and from three random starting points, and we report the range of outcomes across the equilibria found. In the base scenario we also ran twelve additional random starts; five converged to the capacity-heavy outcome and seven to the capacity-scarce one, and no other outcome appeared. Table 4 and Figure 2 summarize the results.</w:t>
      </w:r>
    </w:p>
    <w:p>
      <w:pPr>
        <w:keepNext/>
        <w:spacing w:after="80"/>
      </w:pPr>
      <w:r>
        <w:rPr>
          <w:rFonts w:ascii="Times New Roman" w:hAnsi="Times New Roman" w:eastAsia="Times New Roman"/>
          <w:b/>
          <w:sz w:val="22"/>
        </w:rPr>
        <w:t>Table 4.</w:t>
      </w:r>
      <w:r>
        <w:rPr>
          <w:rFonts w:ascii="Times New Roman" w:hAnsi="Times New Roman" w:eastAsia="Times New Roman"/>
          <w:sz w:val="22"/>
        </w:rPr>
        <w:t xml:space="preserve"> Equilibrium outcomes across 20 scenarios. Ranges are over the equilibria found.</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664"/>
            <w:tcBorders>
              <w:top w:val="single" w:sz="8" w:space="0" w:color="000000"/>
              <w:bottom w:val="single" w:sz="8" w:space="0" w:color="000000"/>
            </w:tcBorders>
          </w:tcPr>
          <w:p>
            <w:pPr>
              <w:jc w:val="left"/>
            </w:pPr>
            <w:r/>
            <w:r>
              <w:rPr>
                <w:rFonts w:ascii="Times New Roman" w:hAnsi="Times New Roman" w:eastAsia="Times New Roman"/>
                <w:b/>
                <w:sz w:val="16"/>
              </w:rPr>
              <w:t>Scenario</w:t>
            </w:r>
          </w:p>
        </w:tc>
        <w:tc>
          <w:tcPr>
            <w:tcW w:type="dxa" w:w="1008"/>
            <w:tcBorders>
              <w:top w:val="single" w:sz="8" w:space="0" w:color="000000"/>
              <w:bottom w:val="single" w:sz="8" w:space="0" w:color="000000"/>
            </w:tcBorders>
          </w:tcPr>
          <w:p>
            <w:pPr>
              <w:jc w:val="center"/>
            </w:pPr>
            <w:r/>
            <w:r>
              <w:rPr>
                <w:rFonts w:ascii="Times New Roman" w:hAnsi="Times New Roman" w:eastAsia="Times New Roman"/>
                <w:b/>
                <w:sz w:val="16"/>
              </w:rPr>
              <w:t>Distinct outcomes</w:t>
            </w:r>
          </w:p>
        </w:tc>
        <w:tc>
          <w:tcPr>
            <w:tcW w:type="dxa" w:w="1152"/>
            <w:tcBorders>
              <w:top w:val="single" w:sz="8" w:space="0" w:color="000000"/>
              <w:bottom w:val="single" w:sz="8" w:space="0" w:color="000000"/>
            </w:tcBorders>
          </w:tcPr>
          <w:p>
            <w:pPr>
              <w:jc w:val="center"/>
            </w:pPr>
            <w:r/>
            <w:r>
              <w:rPr>
                <w:rFonts w:ascii="Times New Roman" w:hAnsi="Times New Roman" w:eastAsia="Times New Roman"/>
                <w:b/>
                <w:sz w:val="16"/>
              </w:rPr>
              <w:t>Avg. price</w:t>
            </w:r>
          </w:p>
        </w:tc>
        <w:tc>
          <w:tcPr>
            <w:tcW w:type="dxa" w:w="1224"/>
            <w:tcBorders>
              <w:top w:val="single" w:sz="8" w:space="0" w:color="000000"/>
              <w:bottom w:val="single" w:sz="8" w:space="0" w:color="000000"/>
            </w:tcBorders>
          </w:tcPr>
          <w:p>
            <w:pPr>
              <w:jc w:val="center"/>
            </w:pPr>
            <w:r/>
            <w:r>
              <w:rPr>
                <w:rFonts w:ascii="Times New Roman" w:hAnsi="Times New Roman" w:eastAsia="Times New Roman"/>
                <w:b/>
                <w:sz w:val="16"/>
              </w:rPr>
              <w:t>Mean capacity</w:t>
            </w:r>
          </w:p>
        </w:tc>
        <w:tc>
          <w:tcPr>
            <w:tcW w:type="dxa" w:w="1368"/>
            <w:tcBorders>
              <w:top w:val="single" w:sz="8" w:space="0" w:color="000000"/>
              <w:bottom w:val="single" w:sz="8" w:space="0" w:color="000000"/>
            </w:tcBorders>
          </w:tcPr>
          <w:p>
            <w:pPr>
              <w:jc w:val="center"/>
            </w:pPr>
            <w:r/>
            <w:r>
              <w:rPr>
                <w:rFonts w:ascii="Times New Roman" w:hAnsi="Times New Roman" w:eastAsia="Times New Roman"/>
                <w:b/>
                <w:sz w:val="16"/>
              </w:rPr>
              <w:t>Cartel / contest capacity</w:t>
            </w:r>
          </w:p>
        </w:tc>
        <w:tc>
          <w:tcPr>
            <w:tcW w:type="dxa" w:w="1224"/>
            <w:tcBorders>
              <w:top w:val="single" w:sz="8" w:space="0" w:color="000000"/>
              <w:bottom w:val="single" w:sz="8" w:space="0" w:color="000000"/>
            </w:tcBorders>
          </w:tcPr>
          <w:p>
            <w:pPr>
              <w:jc w:val="center"/>
            </w:pPr>
            <w:r/>
            <w:r>
              <w:rPr>
                <w:rFonts w:ascii="Times New Roman" w:hAnsi="Times New Roman" w:eastAsia="Times New Roman"/>
                <w:b/>
                <w:sz w:val="16"/>
              </w:rPr>
              <w:t>Consumer surplus</w:t>
            </w:r>
          </w:p>
        </w:tc>
        <w:tc>
          <w:tcPr>
            <w:tcW w:type="dxa" w:w="1296"/>
            <w:tcBorders>
              <w:top w:val="single" w:sz="8" w:space="0" w:color="000000"/>
              <w:bottom w:val="single" w:sz="8" w:space="0" w:color="000000"/>
            </w:tcBorders>
          </w:tcPr>
          <w:p>
            <w:pPr>
              <w:jc w:val="center"/>
            </w:pPr>
            <w:r/>
            <w:r>
              <w:rPr>
                <w:rFonts w:ascii="Times New Roman" w:hAnsi="Times New Roman" w:eastAsia="Times New Roman"/>
                <w:b/>
                <w:sz w:val="16"/>
              </w:rPr>
              <w:t>Industry profit, % of cartel</w:t>
            </w:r>
          </w:p>
        </w:tc>
      </w:tr>
      <w:tr>
        <w:tc>
          <w:tcPr>
            <w:tcW w:type="dxa" w:w="2664"/>
          </w:tcPr>
          <w:p>
            <w:pPr>
              <w:jc w:val="left"/>
            </w:pPr>
            <w:r/>
            <w:r>
              <w:rPr>
                <w:rFonts w:ascii="Times New Roman" w:hAnsi="Times New Roman" w:eastAsia="Times New Roman"/>
                <w:sz w:val="16"/>
              </w:rPr>
              <w:t>base</w:t>
            </w:r>
          </w:p>
        </w:tc>
        <w:tc>
          <w:tcPr>
            <w:tcW w:type="dxa" w:w="1008"/>
          </w:tcPr>
          <w:p>
            <w:pPr>
              <w:jc w:val="center"/>
            </w:pPr>
            <w:r/>
            <w:r>
              <w:rPr>
                <w:rFonts w:ascii="Times New Roman" w:hAnsi="Times New Roman" w:eastAsia="Times New Roman"/>
                <w:sz w:val="16"/>
              </w:rPr>
              <w:t>2</w:t>
            </w:r>
          </w:p>
        </w:tc>
        <w:tc>
          <w:tcPr>
            <w:tcW w:type="dxa" w:w="1152"/>
          </w:tcPr>
          <w:p>
            <w:pPr>
              <w:jc w:val="center"/>
            </w:pPr>
            <w:r/>
            <w:r>
              <w:rPr>
                <w:rFonts w:ascii="Times New Roman" w:hAnsi="Times New Roman" w:eastAsia="Times New Roman"/>
                <w:sz w:val="16"/>
              </w:rPr>
              <w:t>1.13–1.25</w:t>
            </w:r>
          </w:p>
        </w:tc>
        <w:tc>
          <w:tcPr>
            <w:tcW w:type="dxa" w:w="1224"/>
          </w:tcPr>
          <w:p>
            <w:pPr>
              <w:jc w:val="center"/>
            </w:pPr>
            <w:r/>
            <w:r>
              <w:rPr>
                <w:rFonts w:ascii="Times New Roman" w:hAnsi="Times New Roman" w:eastAsia="Times New Roman"/>
                <w:sz w:val="16"/>
              </w:rPr>
              <w:t>45.0–59.8</w:t>
            </w:r>
          </w:p>
        </w:tc>
        <w:tc>
          <w:tcPr>
            <w:tcW w:type="dxa" w:w="1368"/>
          </w:tcPr>
          <w:p>
            <w:pPr>
              <w:jc w:val="center"/>
            </w:pPr>
            <w:r/>
            <w:r>
              <w:rPr>
                <w:rFonts w:ascii="Times New Roman" w:hAnsi="Times New Roman" w:eastAsia="Times New Roman"/>
                <w:sz w:val="16"/>
              </w:rPr>
              <w:t>45.0 / 75.2</w:t>
            </w:r>
          </w:p>
        </w:tc>
        <w:tc>
          <w:tcPr>
            <w:tcW w:type="dxa" w:w="1224"/>
          </w:tcPr>
          <w:p>
            <w:pPr>
              <w:jc w:val="center"/>
            </w:pPr>
            <w:r/>
            <w:r>
              <w:rPr>
                <w:rFonts w:ascii="Times New Roman" w:hAnsi="Times New Roman" w:eastAsia="Times New Roman"/>
                <w:sz w:val="16"/>
              </w:rPr>
              <w:t>6.25–9.48</w:t>
            </w:r>
          </w:p>
        </w:tc>
        <w:tc>
          <w:tcPr>
            <w:tcW w:type="dxa" w:w="1296"/>
          </w:tcPr>
          <w:p>
            <w:pPr>
              <w:jc w:val="center"/>
            </w:pPr>
            <w:r/>
            <w:r>
              <w:rPr>
                <w:rFonts w:ascii="Times New Roman" w:hAnsi="Times New Roman" w:eastAsia="Times New Roman"/>
                <w:sz w:val="16"/>
              </w:rPr>
              <w:t>54%–72%</w:t>
            </w:r>
          </w:p>
        </w:tc>
      </w:tr>
      <w:tr>
        <w:tc>
          <w:tcPr>
            <w:tcW w:type="dxa" w:w="2664"/>
          </w:tcPr>
          <w:p>
            <w:pPr>
              <w:jc w:val="left"/>
            </w:pPr>
            <w:r/>
            <w:r>
              <w:rPr>
                <w:rFonts w:ascii="Times New Roman" w:hAnsi="Times New Roman" w:eastAsia="Times New Roman"/>
                <w:sz w:val="16"/>
              </w:rPr>
              <w:t>β = 0.98</w:t>
            </w:r>
          </w:p>
        </w:tc>
        <w:tc>
          <w:tcPr>
            <w:tcW w:type="dxa" w:w="1008"/>
          </w:tcPr>
          <w:p>
            <w:pPr>
              <w:jc w:val="center"/>
            </w:pPr>
            <w:r/>
            <w:r>
              <w:rPr>
                <w:rFonts w:ascii="Times New Roman" w:hAnsi="Times New Roman" w:eastAsia="Times New Roman"/>
                <w:sz w:val="16"/>
              </w:rPr>
              <w:t>2</w:t>
            </w:r>
          </w:p>
        </w:tc>
        <w:tc>
          <w:tcPr>
            <w:tcW w:type="dxa" w:w="1152"/>
          </w:tcPr>
          <w:p>
            <w:pPr>
              <w:jc w:val="center"/>
            </w:pPr>
            <w:r/>
            <w:r>
              <w:rPr>
                <w:rFonts w:ascii="Times New Roman" w:hAnsi="Times New Roman" w:eastAsia="Times New Roman"/>
                <w:sz w:val="16"/>
              </w:rPr>
              <w:t>1.12–1.25</w:t>
            </w:r>
          </w:p>
        </w:tc>
        <w:tc>
          <w:tcPr>
            <w:tcW w:type="dxa" w:w="1224"/>
          </w:tcPr>
          <w:p>
            <w:pPr>
              <w:jc w:val="center"/>
            </w:pPr>
            <w:r/>
            <w:r>
              <w:rPr>
                <w:rFonts w:ascii="Times New Roman" w:hAnsi="Times New Roman" w:eastAsia="Times New Roman"/>
                <w:sz w:val="16"/>
              </w:rPr>
              <w:t>45.0–59.9</w:t>
            </w:r>
          </w:p>
        </w:tc>
        <w:tc>
          <w:tcPr>
            <w:tcW w:type="dxa" w:w="1368"/>
          </w:tcPr>
          <w:p>
            <w:pPr>
              <w:jc w:val="center"/>
            </w:pPr>
            <w:r/>
            <w:r>
              <w:rPr>
                <w:rFonts w:ascii="Times New Roman" w:hAnsi="Times New Roman" w:eastAsia="Times New Roman"/>
                <w:sz w:val="16"/>
              </w:rPr>
              <w:t>45.0 / 119.9</w:t>
            </w:r>
          </w:p>
        </w:tc>
        <w:tc>
          <w:tcPr>
            <w:tcW w:type="dxa" w:w="1224"/>
          </w:tcPr>
          <w:p>
            <w:pPr>
              <w:jc w:val="center"/>
            </w:pPr>
            <w:r/>
            <w:r>
              <w:rPr>
                <w:rFonts w:ascii="Times New Roman" w:hAnsi="Times New Roman" w:eastAsia="Times New Roman"/>
                <w:sz w:val="16"/>
              </w:rPr>
              <w:t>6.25–9.51</w:t>
            </w:r>
          </w:p>
        </w:tc>
        <w:tc>
          <w:tcPr>
            <w:tcW w:type="dxa" w:w="1296"/>
          </w:tcPr>
          <w:p>
            <w:pPr>
              <w:jc w:val="center"/>
            </w:pPr>
            <w:r/>
            <w:r>
              <w:rPr>
                <w:rFonts w:ascii="Times New Roman" w:hAnsi="Times New Roman" w:eastAsia="Times New Roman"/>
                <w:sz w:val="16"/>
              </w:rPr>
              <w:t>54%–72%</w:t>
            </w:r>
          </w:p>
        </w:tc>
      </w:tr>
      <w:tr>
        <w:tc>
          <w:tcPr>
            <w:tcW w:type="dxa" w:w="2664"/>
          </w:tcPr>
          <w:p>
            <w:pPr>
              <w:jc w:val="left"/>
            </w:pPr>
            <w:r/>
            <w:r>
              <w:rPr>
                <w:rFonts w:ascii="Times New Roman" w:hAnsi="Times New Roman" w:eastAsia="Times New Roman"/>
                <w:sz w:val="16"/>
              </w:rPr>
              <w:t>β = 0.9</w:t>
            </w:r>
          </w:p>
        </w:tc>
        <w:tc>
          <w:tcPr>
            <w:tcW w:type="dxa" w:w="1008"/>
          </w:tcPr>
          <w:p>
            <w:pPr>
              <w:jc w:val="center"/>
            </w:pPr>
            <w:r/>
            <w:r>
              <w:rPr>
                <w:rFonts w:ascii="Times New Roman" w:hAnsi="Times New Roman" w:eastAsia="Times New Roman"/>
                <w:sz w:val="16"/>
              </w:rPr>
              <w:t>2</w:t>
            </w:r>
          </w:p>
        </w:tc>
        <w:tc>
          <w:tcPr>
            <w:tcW w:type="dxa" w:w="1152"/>
          </w:tcPr>
          <w:p>
            <w:pPr>
              <w:jc w:val="center"/>
            </w:pPr>
            <w:r/>
            <w:r>
              <w:rPr>
                <w:rFonts w:ascii="Times New Roman" w:hAnsi="Times New Roman" w:eastAsia="Times New Roman"/>
                <w:sz w:val="16"/>
              </w:rPr>
              <w:t>1.15–1.25</w:t>
            </w:r>
          </w:p>
        </w:tc>
        <w:tc>
          <w:tcPr>
            <w:tcW w:type="dxa" w:w="1224"/>
          </w:tcPr>
          <w:p>
            <w:pPr>
              <w:jc w:val="center"/>
            </w:pPr>
            <w:r/>
            <w:r>
              <w:rPr>
                <w:rFonts w:ascii="Times New Roman" w:hAnsi="Times New Roman" w:eastAsia="Times New Roman"/>
                <w:sz w:val="16"/>
              </w:rPr>
              <w:t>45.0–57.2</w:t>
            </w:r>
          </w:p>
        </w:tc>
        <w:tc>
          <w:tcPr>
            <w:tcW w:type="dxa" w:w="1368"/>
          </w:tcPr>
          <w:p>
            <w:pPr>
              <w:jc w:val="center"/>
            </w:pPr>
            <w:r/>
            <w:r>
              <w:rPr>
                <w:rFonts w:ascii="Times New Roman" w:hAnsi="Times New Roman" w:eastAsia="Times New Roman"/>
                <w:sz w:val="16"/>
              </w:rPr>
              <w:t>45.0 / 90.1</w:t>
            </w:r>
          </w:p>
        </w:tc>
        <w:tc>
          <w:tcPr>
            <w:tcW w:type="dxa" w:w="1224"/>
          </w:tcPr>
          <w:p>
            <w:pPr>
              <w:jc w:val="center"/>
            </w:pPr>
            <w:r/>
            <w:r>
              <w:rPr>
                <w:rFonts w:ascii="Times New Roman" w:hAnsi="Times New Roman" w:eastAsia="Times New Roman"/>
                <w:sz w:val="16"/>
              </w:rPr>
              <w:t>6.25–8.91</w:t>
            </w:r>
          </w:p>
        </w:tc>
        <w:tc>
          <w:tcPr>
            <w:tcW w:type="dxa" w:w="1296"/>
          </w:tcPr>
          <w:p>
            <w:pPr>
              <w:jc w:val="center"/>
            </w:pPr>
            <w:r/>
            <w:r>
              <w:rPr>
                <w:rFonts w:ascii="Times New Roman" w:hAnsi="Times New Roman" w:eastAsia="Times New Roman"/>
                <w:sz w:val="16"/>
              </w:rPr>
              <w:t>57%–72%</w:t>
            </w:r>
          </w:p>
        </w:tc>
      </w:tr>
      <w:tr>
        <w:tc>
          <w:tcPr>
            <w:tcW w:type="dxa" w:w="2664"/>
          </w:tcPr>
          <w:p>
            <w:pPr>
              <w:jc w:val="left"/>
            </w:pPr>
            <w:r/>
            <w:r>
              <w:rPr>
                <w:rFonts w:ascii="Times New Roman" w:hAnsi="Times New Roman" w:eastAsia="Times New Roman"/>
                <w:sz w:val="16"/>
              </w:rPr>
              <w:t>demand: growth-skewed</w:t>
            </w:r>
          </w:p>
        </w:tc>
        <w:tc>
          <w:tcPr>
            <w:tcW w:type="dxa" w:w="1008"/>
          </w:tcPr>
          <w:p>
            <w:pPr>
              <w:jc w:val="center"/>
            </w:pPr>
            <w:r/>
            <w:r>
              <w:rPr>
                <w:rFonts w:ascii="Times New Roman" w:hAnsi="Times New Roman" w:eastAsia="Times New Roman"/>
                <w:sz w:val="16"/>
              </w:rPr>
              <w:t>2</w:t>
            </w:r>
          </w:p>
        </w:tc>
        <w:tc>
          <w:tcPr>
            <w:tcW w:type="dxa" w:w="1152"/>
          </w:tcPr>
          <w:p>
            <w:pPr>
              <w:jc w:val="center"/>
            </w:pPr>
            <w:r/>
            <w:r>
              <w:rPr>
                <w:rFonts w:ascii="Times New Roman" w:hAnsi="Times New Roman" w:eastAsia="Times New Roman"/>
                <w:sz w:val="16"/>
              </w:rPr>
              <w:t>1.31–1.38</w:t>
            </w:r>
          </w:p>
        </w:tc>
        <w:tc>
          <w:tcPr>
            <w:tcW w:type="dxa" w:w="1224"/>
          </w:tcPr>
          <w:p>
            <w:pPr>
              <w:jc w:val="center"/>
            </w:pPr>
            <w:r/>
            <w:r>
              <w:rPr>
                <w:rFonts w:ascii="Times New Roman" w:hAnsi="Times New Roman" w:eastAsia="Times New Roman"/>
                <w:sz w:val="16"/>
              </w:rPr>
              <w:t>45.0–60.0</w:t>
            </w:r>
          </w:p>
        </w:tc>
        <w:tc>
          <w:tcPr>
            <w:tcW w:type="dxa" w:w="1368"/>
          </w:tcPr>
          <w:p>
            <w:pPr>
              <w:jc w:val="center"/>
            </w:pPr>
            <w:r/>
            <w:r>
              <w:rPr>
                <w:rFonts w:ascii="Times New Roman" w:hAnsi="Times New Roman" w:eastAsia="Times New Roman"/>
                <w:sz w:val="16"/>
              </w:rPr>
              <w:t>45.0 / 120.0</w:t>
            </w:r>
          </w:p>
        </w:tc>
        <w:tc>
          <w:tcPr>
            <w:tcW w:type="dxa" w:w="1224"/>
          </w:tcPr>
          <w:p>
            <w:pPr>
              <w:jc w:val="center"/>
            </w:pPr>
            <w:r/>
            <w:r>
              <w:rPr>
                <w:rFonts w:ascii="Times New Roman" w:hAnsi="Times New Roman" w:eastAsia="Times New Roman"/>
                <w:sz w:val="16"/>
              </w:rPr>
              <w:t>3.99–6.42</w:t>
            </w:r>
          </w:p>
        </w:tc>
        <w:tc>
          <w:tcPr>
            <w:tcW w:type="dxa" w:w="1296"/>
          </w:tcPr>
          <w:p>
            <w:pPr>
              <w:jc w:val="center"/>
            </w:pPr>
            <w:r/>
            <w:r>
              <w:rPr>
                <w:rFonts w:ascii="Times New Roman" w:hAnsi="Times New Roman" w:eastAsia="Times New Roman"/>
                <w:sz w:val="16"/>
              </w:rPr>
              <w:t>78%–87%</w:t>
            </w:r>
          </w:p>
        </w:tc>
      </w:tr>
      <w:tr>
        <w:tc>
          <w:tcPr>
            <w:tcW w:type="dxa" w:w="2664"/>
          </w:tcPr>
          <w:p>
            <w:pPr>
              <w:jc w:val="left"/>
            </w:pPr>
            <w:r/>
            <w:r>
              <w:rPr>
                <w:rFonts w:ascii="Times New Roman" w:hAnsi="Times New Roman" w:eastAsia="Times New Roman"/>
                <w:sz w:val="16"/>
              </w:rPr>
              <w:t>demand: iid</w:t>
            </w:r>
          </w:p>
        </w:tc>
        <w:tc>
          <w:tcPr>
            <w:tcW w:type="dxa" w:w="1008"/>
          </w:tcPr>
          <w:p>
            <w:pPr>
              <w:jc w:val="center"/>
            </w:pPr>
            <w:r/>
            <w:r>
              <w:rPr>
                <w:rFonts w:ascii="Times New Roman" w:hAnsi="Times New Roman" w:eastAsia="Times New Roman"/>
                <w:sz w:val="16"/>
              </w:rPr>
              <w:t>2</w:t>
            </w:r>
          </w:p>
        </w:tc>
        <w:tc>
          <w:tcPr>
            <w:tcW w:type="dxa" w:w="1152"/>
          </w:tcPr>
          <w:p>
            <w:pPr>
              <w:jc w:val="center"/>
            </w:pPr>
            <w:r/>
            <w:r>
              <w:rPr>
                <w:rFonts w:ascii="Times New Roman" w:hAnsi="Times New Roman" w:eastAsia="Times New Roman"/>
                <w:sz w:val="16"/>
              </w:rPr>
              <w:t>1.18–1.29</w:t>
            </w:r>
          </w:p>
        </w:tc>
        <w:tc>
          <w:tcPr>
            <w:tcW w:type="dxa" w:w="1224"/>
          </w:tcPr>
          <w:p>
            <w:pPr>
              <w:jc w:val="center"/>
            </w:pPr>
            <w:r/>
            <w:r>
              <w:rPr>
                <w:rFonts w:ascii="Times New Roman" w:hAnsi="Times New Roman" w:eastAsia="Times New Roman"/>
                <w:sz w:val="16"/>
              </w:rPr>
              <w:t>45.0–60.0</w:t>
            </w:r>
          </w:p>
        </w:tc>
        <w:tc>
          <w:tcPr>
            <w:tcW w:type="dxa" w:w="1368"/>
          </w:tcPr>
          <w:p>
            <w:pPr>
              <w:jc w:val="center"/>
            </w:pPr>
            <w:r/>
            <w:r>
              <w:rPr>
                <w:rFonts w:ascii="Times New Roman" w:hAnsi="Times New Roman" w:eastAsia="Times New Roman"/>
                <w:sz w:val="16"/>
              </w:rPr>
              <w:t>45.0 / 114.0</w:t>
            </w:r>
          </w:p>
        </w:tc>
        <w:tc>
          <w:tcPr>
            <w:tcW w:type="dxa" w:w="1224"/>
          </w:tcPr>
          <w:p>
            <w:pPr>
              <w:jc w:val="center"/>
            </w:pPr>
            <w:r/>
            <w:r>
              <w:rPr>
                <w:rFonts w:ascii="Times New Roman" w:hAnsi="Times New Roman" w:eastAsia="Times New Roman"/>
                <w:sz w:val="16"/>
              </w:rPr>
              <w:t>5.72–8.62</w:t>
            </w:r>
          </w:p>
        </w:tc>
        <w:tc>
          <w:tcPr>
            <w:tcW w:type="dxa" w:w="1296"/>
          </w:tcPr>
          <w:p>
            <w:pPr>
              <w:jc w:val="center"/>
            </w:pPr>
            <w:r/>
            <w:r>
              <w:rPr>
                <w:rFonts w:ascii="Times New Roman" w:hAnsi="Times New Roman" w:eastAsia="Times New Roman"/>
                <w:sz w:val="16"/>
              </w:rPr>
              <w:t>61%–76%</w:t>
            </w:r>
          </w:p>
        </w:tc>
      </w:tr>
      <w:tr>
        <w:tc>
          <w:tcPr>
            <w:tcW w:type="dxa" w:w="2664"/>
          </w:tcPr>
          <w:p>
            <w:pPr>
              <w:jc w:val="left"/>
            </w:pPr>
            <w:r/>
            <w:r>
              <w:rPr>
                <w:rFonts w:ascii="Times New Roman" w:hAnsi="Times New Roman" w:eastAsia="Times New Roman"/>
                <w:sz w:val="16"/>
              </w:rPr>
              <w:t>demand: persistent</w:t>
            </w:r>
          </w:p>
        </w:tc>
        <w:tc>
          <w:tcPr>
            <w:tcW w:type="dxa" w:w="1008"/>
          </w:tcPr>
          <w:p>
            <w:pPr>
              <w:jc w:val="center"/>
            </w:pPr>
            <w:r/>
            <w:r>
              <w:rPr>
                <w:rFonts w:ascii="Times New Roman" w:hAnsi="Times New Roman" w:eastAsia="Times New Roman"/>
                <w:sz w:val="16"/>
              </w:rPr>
              <w:t>1</w:t>
            </w:r>
          </w:p>
        </w:tc>
        <w:tc>
          <w:tcPr>
            <w:tcW w:type="dxa" w:w="1152"/>
          </w:tcPr>
          <w:p>
            <w:pPr>
              <w:jc w:val="center"/>
            </w:pPr>
            <w:r/>
            <w:r>
              <w:rPr>
                <w:rFonts w:ascii="Times New Roman" w:hAnsi="Times New Roman" w:eastAsia="Times New Roman"/>
                <w:sz w:val="16"/>
              </w:rPr>
              <w:t>1.39</w:t>
            </w:r>
          </w:p>
        </w:tc>
        <w:tc>
          <w:tcPr>
            <w:tcW w:type="dxa" w:w="1224"/>
          </w:tcPr>
          <w:p>
            <w:pPr>
              <w:jc w:val="center"/>
            </w:pPr>
            <w:r/>
            <w:r>
              <w:rPr>
                <w:rFonts w:ascii="Times New Roman" w:hAnsi="Times New Roman" w:eastAsia="Times New Roman"/>
                <w:sz w:val="16"/>
              </w:rPr>
              <w:t>39.2</w:t>
            </w:r>
          </w:p>
        </w:tc>
        <w:tc>
          <w:tcPr>
            <w:tcW w:type="dxa" w:w="1368"/>
          </w:tcPr>
          <w:p>
            <w:pPr>
              <w:jc w:val="center"/>
            </w:pPr>
            <w:r/>
            <w:r>
              <w:rPr>
                <w:rFonts w:ascii="Times New Roman" w:hAnsi="Times New Roman" w:eastAsia="Times New Roman"/>
                <w:sz w:val="16"/>
              </w:rPr>
              <w:t>34.4 / 88.9</w:t>
            </w:r>
          </w:p>
        </w:tc>
        <w:tc>
          <w:tcPr>
            <w:tcW w:type="dxa" w:w="1224"/>
          </w:tcPr>
          <w:p>
            <w:pPr>
              <w:jc w:val="center"/>
            </w:pPr>
            <w:r/>
            <w:r>
              <w:rPr>
                <w:rFonts w:ascii="Times New Roman" w:hAnsi="Times New Roman" w:eastAsia="Times New Roman"/>
                <w:sz w:val="16"/>
              </w:rPr>
              <w:t>2.84</w:t>
            </w:r>
          </w:p>
        </w:tc>
        <w:tc>
          <w:tcPr>
            <w:tcW w:type="dxa" w:w="1296"/>
          </w:tcPr>
          <w:p>
            <w:pPr>
              <w:jc w:val="center"/>
            </w:pPr>
            <w:r/>
            <w:r>
              <w:rPr>
                <w:rFonts w:ascii="Times New Roman" w:hAnsi="Times New Roman" w:eastAsia="Times New Roman"/>
                <w:sz w:val="16"/>
              </w:rPr>
              <w:t>86%</w:t>
            </w:r>
          </w:p>
        </w:tc>
      </w:tr>
      <w:tr>
        <w:tc>
          <w:tcPr>
            <w:tcW w:type="dxa" w:w="2664"/>
          </w:tcPr>
          <w:p>
            <w:pPr>
              <w:jc w:val="left"/>
            </w:pPr>
            <w:r/>
            <w:r>
              <w:rPr>
                <w:rFonts w:ascii="Times New Roman" w:hAnsi="Times New Roman" w:eastAsia="Times New Roman"/>
                <w:i/>
                <w:sz w:val="16"/>
              </w:rPr>
              <w:t>FC</w:t>
            </w:r>
            <w:r>
              <w:rPr>
                <w:rFonts w:ascii="Times New Roman" w:hAnsi="Times New Roman" w:eastAsia="Times New Roman"/>
                <w:sz w:val="16"/>
              </w:rPr>
              <w:t xml:space="preserve"> equal (13.5, 13.5)</w:t>
            </w:r>
          </w:p>
        </w:tc>
        <w:tc>
          <w:tcPr>
            <w:tcW w:type="dxa" w:w="1008"/>
          </w:tcPr>
          <w:p>
            <w:pPr>
              <w:jc w:val="center"/>
            </w:pPr>
            <w:r/>
            <w:r>
              <w:rPr>
                <w:rFonts w:ascii="Times New Roman" w:hAnsi="Times New Roman" w:eastAsia="Times New Roman"/>
                <w:sz w:val="16"/>
              </w:rPr>
              <w:t>2</w:t>
            </w:r>
          </w:p>
        </w:tc>
        <w:tc>
          <w:tcPr>
            <w:tcW w:type="dxa" w:w="1152"/>
          </w:tcPr>
          <w:p>
            <w:pPr>
              <w:jc w:val="center"/>
            </w:pPr>
            <w:r/>
            <w:r>
              <w:rPr>
                <w:rFonts w:ascii="Times New Roman" w:hAnsi="Times New Roman" w:eastAsia="Times New Roman"/>
                <w:sz w:val="16"/>
              </w:rPr>
              <w:t>1.13–1.25</w:t>
            </w:r>
          </w:p>
        </w:tc>
        <w:tc>
          <w:tcPr>
            <w:tcW w:type="dxa" w:w="1224"/>
          </w:tcPr>
          <w:p>
            <w:pPr>
              <w:jc w:val="center"/>
            </w:pPr>
            <w:r/>
            <w:r>
              <w:rPr>
                <w:rFonts w:ascii="Times New Roman" w:hAnsi="Times New Roman" w:eastAsia="Times New Roman"/>
                <w:sz w:val="16"/>
              </w:rPr>
              <w:t>45.0–59.9</w:t>
            </w:r>
          </w:p>
        </w:tc>
        <w:tc>
          <w:tcPr>
            <w:tcW w:type="dxa" w:w="1368"/>
          </w:tcPr>
          <w:p>
            <w:pPr>
              <w:jc w:val="center"/>
            </w:pPr>
            <w:r/>
            <w:r>
              <w:rPr>
                <w:rFonts w:ascii="Times New Roman" w:hAnsi="Times New Roman" w:eastAsia="Times New Roman"/>
                <w:sz w:val="16"/>
              </w:rPr>
              <w:t>45.0 / 91.7</w:t>
            </w:r>
          </w:p>
        </w:tc>
        <w:tc>
          <w:tcPr>
            <w:tcW w:type="dxa" w:w="1224"/>
          </w:tcPr>
          <w:p>
            <w:pPr>
              <w:jc w:val="center"/>
            </w:pPr>
            <w:r/>
            <w:r>
              <w:rPr>
                <w:rFonts w:ascii="Times New Roman" w:hAnsi="Times New Roman" w:eastAsia="Times New Roman"/>
                <w:sz w:val="16"/>
              </w:rPr>
              <w:t>6.25–9.50</w:t>
            </w:r>
          </w:p>
        </w:tc>
        <w:tc>
          <w:tcPr>
            <w:tcW w:type="dxa" w:w="1296"/>
          </w:tcPr>
          <w:p>
            <w:pPr>
              <w:jc w:val="center"/>
            </w:pPr>
            <w:r/>
            <w:r>
              <w:rPr>
                <w:rFonts w:ascii="Times New Roman" w:hAnsi="Times New Roman" w:eastAsia="Times New Roman"/>
                <w:sz w:val="16"/>
              </w:rPr>
              <w:t>54%–72%</w:t>
            </w:r>
          </w:p>
        </w:tc>
      </w:tr>
      <w:tr>
        <w:tc>
          <w:tcPr>
            <w:tcW w:type="dxa" w:w="2664"/>
          </w:tcPr>
          <w:p>
            <w:pPr>
              <w:jc w:val="left"/>
            </w:pPr>
            <w:r/>
            <w:r>
              <w:rPr>
                <w:rFonts w:ascii="Times New Roman" w:hAnsi="Times New Roman" w:eastAsia="Times New Roman"/>
                <w:i/>
                <w:sz w:val="16"/>
              </w:rPr>
              <w:t>FC</w:t>
            </w:r>
            <w:r>
              <w:rPr>
                <w:rFonts w:ascii="Times New Roman" w:hAnsi="Times New Roman" w:eastAsia="Times New Roman"/>
                <w:sz w:val="16"/>
              </w:rPr>
              <w:t xml:space="preserve"> × 0.5</w:t>
            </w:r>
          </w:p>
        </w:tc>
        <w:tc>
          <w:tcPr>
            <w:tcW w:type="dxa" w:w="1008"/>
          </w:tcPr>
          <w:p>
            <w:pPr>
              <w:jc w:val="center"/>
            </w:pPr>
            <w:r/>
            <w:r>
              <w:rPr>
                <w:rFonts w:ascii="Times New Roman" w:hAnsi="Times New Roman" w:eastAsia="Times New Roman"/>
                <w:sz w:val="16"/>
              </w:rPr>
              <w:t>3</w:t>
            </w:r>
          </w:p>
        </w:tc>
        <w:tc>
          <w:tcPr>
            <w:tcW w:type="dxa" w:w="1152"/>
          </w:tcPr>
          <w:p>
            <w:pPr>
              <w:jc w:val="center"/>
            </w:pPr>
            <w:r/>
            <w:r>
              <w:rPr>
                <w:rFonts w:ascii="Times New Roman" w:hAnsi="Times New Roman" w:eastAsia="Times New Roman"/>
                <w:sz w:val="16"/>
              </w:rPr>
              <w:t>1.17–1.25</w:t>
            </w:r>
          </w:p>
        </w:tc>
        <w:tc>
          <w:tcPr>
            <w:tcW w:type="dxa" w:w="1224"/>
          </w:tcPr>
          <w:p>
            <w:pPr>
              <w:jc w:val="center"/>
            </w:pPr>
            <w:r/>
            <w:r>
              <w:rPr>
                <w:rFonts w:ascii="Times New Roman" w:hAnsi="Times New Roman" w:eastAsia="Times New Roman"/>
                <w:sz w:val="16"/>
              </w:rPr>
              <w:t>45.5–53.9</w:t>
            </w:r>
          </w:p>
        </w:tc>
        <w:tc>
          <w:tcPr>
            <w:tcW w:type="dxa" w:w="1368"/>
          </w:tcPr>
          <w:p>
            <w:pPr>
              <w:jc w:val="center"/>
            </w:pPr>
            <w:r/>
            <w:r>
              <w:rPr>
                <w:rFonts w:ascii="Times New Roman" w:hAnsi="Times New Roman" w:eastAsia="Times New Roman"/>
                <w:sz w:val="16"/>
              </w:rPr>
              <w:t>45.0 / 96.5</w:t>
            </w:r>
          </w:p>
        </w:tc>
        <w:tc>
          <w:tcPr>
            <w:tcW w:type="dxa" w:w="1224"/>
          </w:tcPr>
          <w:p>
            <w:pPr>
              <w:jc w:val="center"/>
            </w:pPr>
            <w:r/>
            <w:r>
              <w:rPr>
                <w:rFonts w:ascii="Times New Roman" w:hAnsi="Times New Roman" w:eastAsia="Times New Roman"/>
                <w:sz w:val="16"/>
              </w:rPr>
              <w:t>6.39–8.25</w:t>
            </w:r>
          </w:p>
        </w:tc>
        <w:tc>
          <w:tcPr>
            <w:tcW w:type="dxa" w:w="1296"/>
          </w:tcPr>
          <w:p>
            <w:pPr>
              <w:jc w:val="center"/>
            </w:pPr>
            <w:r/>
            <w:r>
              <w:rPr>
                <w:rFonts w:ascii="Times New Roman" w:hAnsi="Times New Roman" w:eastAsia="Times New Roman"/>
                <w:sz w:val="16"/>
              </w:rPr>
              <w:t>60%–71%</w:t>
            </w:r>
          </w:p>
        </w:tc>
      </w:tr>
      <w:tr>
        <w:tc>
          <w:tcPr>
            <w:tcW w:type="dxa" w:w="2664"/>
          </w:tcPr>
          <w:p>
            <w:pPr>
              <w:jc w:val="left"/>
            </w:pPr>
            <w:r/>
            <w:r>
              <w:rPr>
                <w:rFonts w:ascii="Times New Roman" w:hAnsi="Times New Roman" w:eastAsia="Times New Roman"/>
                <w:i/>
                <w:sz w:val="16"/>
              </w:rPr>
              <w:t>FC</w:t>
            </w:r>
            <w:r>
              <w:rPr>
                <w:rFonts w:ascii="Times New Roman" w:hAnsi="Times New Roman" w:eastAsia="Times New Roman"/>
                <w:sz w:val="16"/>
              </w:rPr>
              <w:t xml:space="preserve"> × 2</w:t>
            </w:r>
          </w:p>
        </w:tc>
        <w:tc>
          <w:tcPr>
            <w:tcW w:type="dxa" w:w="1008"/>
          </w:tcPr>
          <w:p>
            <w:pPr>
              <w:jc w:val="center"/>
            </w:pPr>
            <w:r/>
            <w:r>
              <w:rPr>
                <w:rFonts w:ascii="Times New Roman" w:hAnsi="Times New Roman" w:eastAsia="Times New Roman"/>
                <w:sz w:val="16"/>
              </w:rPr>
              <w:t>2*</w:t>
            </w:r>
          </w:p>
        </w:tc>
        <w:tc>
          <w:tcPr>
            <w:tcW w:type="dxa" w:w="1152"/>
          </w:tcPr>
          <w:p>
            <w:pPr>
              <w:jc w:val="center"/>
            </w:pPr>
            <w:r/>
            <w:r>
              <w:rPr>
                <w:rFonts w:ascii="Times New Roman" w:hAnsi="Times New Roman" w:eastAsia="Times New Roman"/>
                <w:sz w:val="16"/>
              </w:rPr>
              <w:t>1.17–1.25</w:t>
            </w:r>
          </w:p>
        </w:tc>
        <w:tc>
          <w:tcPr>
            <w:tcW w:type="dxa" w:w="1224"/>
          </w:tcPr>
          <w:p>
            <w:pPr>
              <w:jc w:val="center"/>
            </w:pPr>
            <w:r/>
            <w:r>
              <w:rPr>
                <w:rFonts w:ascii="Times New Roman" w:hAnsi="Times New Roman" w:eastAsia="Times New Roman"/>
                <w:sz w:val="16"/>
              </w:rPr>
              <w:t>45.0–54.4</w:t>
            </w:r>
          </w:p>
        </w:tc>
        <w:tc>
          <w:tcPr>
            <w:tcW w:type="dxa" w:w="1368"/>
          </w:tcPr>
          <w:p>
            <w:pPr>
              <w:jc w:val="center"/>
            </w:pPr>
            <w:r/>
            <w:r>
              <w:rPr>
                <w:rFonts w:ascii="Times New Roman" w:hAnsi="Times New Roman" w:eastAsia="Times New Roman"/>
                <w:sz w:val="16"/>
              </w:rPr>
              <w:t>45.0 / 91.2</w:t>
            </w:r>
          </w:p>
        </w:tc>
        <w:tc>
          <w:tcPr>
            <w:tcW w:type="dxa" w:w="1224"/>
          </w:tcPr>
          <w:p>
            <w:pPr>
              <w:jc w:val="center"/>
            </w:pPr>
            <w:r/>
            <w:r>
              <w:rPr>
                <w:rFonts w:ascii="Times New Roman" w:hAnsi="Times New Roman" w:eastAsia="Times New Roman"/>
                <w:sz w:val="16"/>
              </w:rPr>
              <w:t>6.25–8.29</w:t>
            </w:r>
          </w:p>
        </w:tc>
        <w:tc>
          <w:tcPr>
            <w:tcW w:type="dxa" w:w="1296"/>
          </w:tcPr>
          <w:p>
            <w:pPr>
              <w:jc w:val="center"/>
            </w:pPr>
            <w:r/>
            <w:r>
              <w:rPr>
                <w:rFonts w:ascii="Times New Roman" w:hAnsi="Times New Roman" w:eastAsia="Times New Roman"/>
                <w:sz w:val="16"/>
              </w:rPr>
              <w:t>61%–72%</w:t>
            </w:r>
          </w:p>
        </w:tc>
      </w:tr>
      <w:tr>
        <w:tc>
          <w:tcPr>
            <w:tcW w:type="dxa" w:w="2664"/>
          </w:tcPr>
          <w:p>
            <w:pPr>
              <w:jc w:val="left"/>
            </w:pPr>
            <w:r/>
            <w:r>
              <w:rPr>
                <w:rFonts w:ascii="Times New Roman" w:hAnsi="Times New Roman" w:eastAsia="Times New Roman"/>
                <w:sz w:val="16"/>
              </w:rPr>
              <w:t>price grid: 16 prices</w:t>
            </w:r>
          </w:p>
        </w:tc>
        <w:tc>
          <w:tcPr>
            <w:tcW w:type="dxa" w:w="1008"/>
          </w:tcPr>
          <w:p>
            <w:pPr>
              <w:jc w:val="center"/>
            </w:pPr>
            <w:r/>
            <w:r>
              <w:rPr>
                <w:rFonts w:ascii="Times New Roman" w:hAnsi="Times New Roman" w:eastAsia="Times New Roman"/>
                <w:sz w:val="16"/>
              </w:rPr>
              <w:t>1</w:t>
            </w:r>
          </w:p>
        </w:tc>
        <w:tc>
          <w:tcPr>
            <w:tcW w:type="dxa" w:w="1152"/>
          </w:tcPr>
          <w:p>
            <w:pPr>
              <w:jc w:val="center"/>
            </w:pPr>
            <w:r/>
            <w:r>
              <w:rPr>
                <w:rFonts w:ascii="Times New Roman" w:hAnsi="Times New Roman" w:eastAsia="Times New Roman"/>
                <w:sz w:val="16"/>
              </w:rPr>
              <w:t>1.20</w:t>
            </w:r>
          </w:p>
        </w:tc>
        <w:tc>
          <w:tcPr>
            <w:tcW w:type="dxa" w:w="1224"/>
          </w:tcPr>
          <w:p>
            <w:pPr>
              <w:jc w:val="center"/>
            </w:pPr>
            <w:r/>
            <w:r>
              <w:rPr>
                <w:rFonts w:ascii="Times New Roman" w:hAnsi="Times New Roman" w:eastAsia="Times New Roman"/>
                <w:sz w:val="16"/>
              </w:rPr>
              <w:t>45.0</w:t>
            </w:r>
          </w:p>
        </w:tc>
        <w:tc>
          <w:tcPr>
            <w:tcW w:type="dxa" w:w="1368"/>
          </w:tcPr>
          <w:p>
            <w:pPr>
              <w:jc w:val="center"/>
            </w:pPr>
            <w:r/>
            <w:r>
              <w:rPr>
                <w:rFonts w:ascii="Times New Roman" w:hAnsi="Times New Roman" w:eastAsia="Times New Roman"/>
                <w:sz w:val="16"/>
              </w:rPr>
              <w:t>45.0 / 75.2</w:t>
            </w:r>
          </w:p>
        </w:tc>
        <w:tc>
          <w:tcPr>
            <w:tcW w:type="dxa" w:w="1224"/>
          </w:tcPr>
          <w:p>
            <w:pPr>
              <w:jc w:val="center"/>
            </w:pPr>
            <w:r/>
            <w:r>
              <w:rPr>
                <w:rFonts w:ascii="Times New Roman" w:hAnsi="Times New Roman" w:eastAsia="Times New Roman"/>
                <w:sz w:val="16"/>
              </w:rPr>
              <w:t>7.53</w:t>
            </w:r>
          </w:p>
        </w:tc>
        <w:tc>
          <w:tcPr>
            <w:tcW w:type="dxa" w:w="1296"/>
          </w:tcPr>
          <w:p>
            <w:pPr>
              <w:jc w:val="center"/>
            </w:pPr>
            <w:r/>
            <w:r>
              <w:rPr>
                <w:rFonts w:ascii="Times New Roman" w:hAnsi="Times New Roman" w:eastAsia="Times New Roman"/>
                <w:sz w:val="16"/>
              </w:rPr>
              <w:t>66%</w:t>
            </w:r>
          </w:p>
        </w:tc>
      </w:tr>
      <w:tr>
        <w:tc>
          <w:tcPr>
            <w:tcW w:type="dxa" w:w="2664"/>
          </w:tcPr>
          <w:p>
            <w:pPr>
              <w:jc w:val="left"/>
            </w:pPr>
            <w:r/>
            <w:r>
              <w:rPr>
                <w:rFonts w:ascii="Times New Roman" w:hAnsi="Times New Roman" w:eastAsia="Times New Roman"/>
                <w:sz w:val="16"/>
              </w:rPr>
              <w:t>price grid: 8 prices</w:t>
            </w:r>
          </w:p>
        </w:tc>
        <w:tc>
          <w:tcPr>
            <w:tcW w:type="dxa" w:w="1008"/>
          </w:tcPr>
          <w:p>
            <w:pPr>
              <w:jc w:val="center"/>
            </w:pPr>
            <w:r/>
            <w:r>
              <w:rPr>
                <w:rFonts w:ascii="Times New Roman" w:hAnsi="Times New Roman" w:eastAsia="Times New Roman"/>
                <w:sz w:val="16"/>
              </w:rPr>
              <w:t>1</w:t>
            </w:r>
          </w:p>
        </w:tc>
        <w:tc>
          <w:tcPr>
            <w:tcW w:type="dxa" w:w="1152"/>
          </w:tcPr>
          <w:p>
            <w:pPr>
              <w:jc w:val="center"/>
            </w:pPr>
            <w:r/>
            <w:r>
              <w:rPr>
                <w:rFonts w:ascii="Times New Roman" w:hAnsi="Times New Roman" w:eastAsia="Times New Roman"/>
                <w:sz w:val="16"/>
              </w:rPr>
              <w:t>1.22</w:t>
            </w:r>
          </w:p>
        </w:tc>
        <w:tc>
          <w:tcPr>
            <w:tcW w:type="dxa" w:w="1224"/>
          </w:tcPr>
          <w:p>
            <w:pPr>
              <w:jc w:val="center"/>
            </w:pPr>
            <w:r/>
            <w:r>
              <w:rPr>
                <w:rFonts w:ascii="Times New Roman" w:hAnsi="Times New Roman" w:eastAsia="Times New Roman"/>
                <w:sz w:val="16"/>
              </w:rPr>
              <w:t>45.0</w:t>
            </w:r>
          </w:p>
        </w:tc>
        <w:tc>
          <w:tcPr>
            <w:tcW w:type="dxa" w:w="1368"/>
          </w:tcPr>
          <w:p>
            <w:pPr>
              <w:jc w:val="center"/>
            </w:pPr>
            <w:r/>
            <w:r>
              <w:rPr>
                <w:rFonts w:ascii="Times New Roman" w:hAnsi="Times New Roman" w:eastAsia="Times New Roman"/>
                <w:sz w:val="16"/>
              </w:rPr>
              <w:t>45.0 / 75.2</w:t>
            </w:r>
          </w:p>
        </w:tc>
        <w:tc>
          <w:tcPr>
            <w:tcW w:type="dxa" w:w="1224"/>
          </w:tcPr>
          <w:p>
            <w:pPr>
              <w:jc w:val="center"/>
            </w:pPr>
            <w:r/>
            <w:r>
              <w:rPr>
                <w:rFonts w:ascii="Times New Roman" w:hAnsi="Times New Roman" w:eastAsia="Times New Roman"/>
                <w:sz w:val="16"/>
              </w:rPr>
              <w:t>7.14</w:t>
            </w:r>
          </w:p>
        </w:tc>
        <w:tc>
          <w:tcPr>
            <w:tcW w:type="dxa" w:w="1296"/>
          </w:tcPr>
          <w:p>
            <w:pPr>
              <w:jc w:val="center"/>
            </w:pPr>
            <w:r/>
            <w:r>
              <w:rPr>
                <w:rFonts w:ascii="Times New Roman" w:hAnsi="Times New Roman" w:eastAsia="Times New Roman"/>
                <w:sz w:val="16"/>
              </w:rPr>
              <w:t>68%</w:t>
            </w:r>
          </w:p>
        </w:tc>
      </w:tr>
      <w:tr>
        <w:tc>
          <w:tcPr>
            <w:tcW w:type="dxa" w:w="2664"/>
          </w:tcPr>
          <w:p>
            <w:pPr>
              <w:jc w:val="left"/>
            </w:pPr>
            <w:r/>
            <w:r>
              <w:rPr>
                <w:rFonts w:ascii="Times New Roman" w:hAnsi="Times New Roman" w:eastAsia="Times New Roman"/>
                <w:i/>
                <w:sz w:val="16"/>
              </w:rPr>
              <w:t>c</w:t>
            </w:r>
            <w:r>
              <w:rPr>
                <w:rFonts w:ascii="Times New Roman" w:hAnsi="Times New Roman" w:eastAsia="Times New Roman"/>
                <w:sz w:val="16"/>
              </w:rPr>
              <w:t xml:space="preserve"> = 0.1</w:t>
            </w:r>
          </w:p>
        </w:tc>
        <w:tc>
          <w:tcPr>
            <w:tcW w:type="dxa" w:w="1008"/>
          </w:tcPr>
          <w:p>
            <w:pPr>
              <w:jc w:val="center"/>
            </w:pPr>
            <w:r/>
            <w:r>
              <w:rPr>
                <w:rFonts w:ascii="Times New Roman" w:hAnsi="Times New Roman" w:eastAsia="Times New Roman"/>
                <w:sz w:val="16"/>
              </w:rPr>
              <w:t>1</w:t>
            </w:r>
          </w:p>
        </w:tc>
        <w:tc>
          <w:tcPr>
            <w:tcW w:type="dxa" w:w="1152"/>
          </w:tcPr>
          <w:p>
            <w:pPr>
              <w:jc w:val="center"/>
            </w:pPr>
            <w:r/>
            <w:r>
              <w:rPr>
                <w:rFonts w:ascii="Times New Roman" w:hAnsi="Times New Roman" w:eastAsia="Times New Roman"/>
                <w:sz w:val="16"/>
              </w:rPr>
              <w:t>1.20</w:t>
            </w:r>
          </w:p>
        </w:tc>
        <w:tc>
          <w:tcPr>
            <w:tcW w:type="dxa" w:w="1224"/>
          </w:tcPr>
          <w:p>
            <w:pPr>
              <w:jc w:val="center"/>
            </w:pPr>
            <w:r/>
            <w:r>
              <w:rPr>
                <w:rFonts w:ascii="Times New Roman" w:hAnsi="Times New Roman" w:eastAsia="Times New Roman"/>
                <w:sz w:val="16"/>
              </w:rPr>
              <w:t>45.0</w:t>
            </w:r>
          </w:p>
        </w:tc>
        <w:tc>
          <w:tcPr>
            <w:tcW w:type="dxa" w:w="1368"/>
          </w:tcPr>
          <w:p>
            <w:pPr>
              <w:jc w:val="center"/>
            </w:pPr>
            <w:r/>
            <w:r>
              <w:rPr>
                <w:rFonts w:ascii="Times New Roman" w:hAnsi="Times New Roman" w:eastAsia="Times New Roman"/>
                <w:sz w:val="16"/>
              </w:rPr>
              <w:t>45.0 / 120.0</w:t>
            </w:r>
          </w:p>
        </w:tc>
        <w:tc>
          <w:tcPr>
            <w:tcW w:type="dxa" w:w="1224"/>
          </w:tcPr>
          <w:p>
            <w:pPr>
              <w:jc w:val="center"/>
            </w:pPr>
            <w:r/>
            <w:r>
              <w:rPr>
                <w:rFonts w:ascii="Times New Roman" w:hAnsi="Times New Roman" w:eastAsia="Times New Roman"/>
                <w:sz w:val="16"/>
              </w:rPr>
              <w:t>7.57–7.59</w:t>
            </w:r>
          </w:p>
        </w:tc>
        <w:tc>
          <w:tcPr>
            <w:tcW w:type="dxa" w:w="1296"/>
          </w:tcPr>
          <w:p>
            <w:pPr>
              <w:jc w:val="center"/>
            </w:pPr>
            <w:r/>
            <w:r>
              <w:rPr>
                <w:rFonts w:ascii="Times New Roman" w:hAnsi="Times New Roman" w:eastAsia="Times New Roman"/>
                <w:sz w:val="16"/>
              </w:rPr>
              <w:t>72%</w:t>
            </w:r>
          </w:p>
        </w:tc>
      </w:tr>
      <w:tr>
        <w:tc>
          <w:tcPr>
            <w:tcW w:type="dxa" w:w="2664"/>
          </w:tcPr>
          <w:p>
            <w:pPr>
              <w:jc w:val="left"/>
            </w:pPr>
            <w:r/>
            <w:r>
              <w:rPr>
                <w:rFonts w:ascii="Times New Roman" w:hAnsi="Times New Roman" w:eastAsia="Times New Roman"/>
                <w:i/>
                <w:sz w:val="16"/>
              </w:rPr>
              <w:t>c</w:t>
            </w:r>
            <w:r>
              <w:rPr>
                <w:rFonts w:ascii="Times New Roman" w:hAnsi="Times New Roman" w:eastAsia="Times New Roman"/>
                <w:sz w:val="16"/>
              </w:rPr>
              <w:t xml:space="preserve"> = 0.2</w:t>
            </w:r>
          </w:p>
        </w:tc>
        <w:tc>
          <w:tcPr>
            <w:tcW w:type="dxa" w:w="1008"/>
          </w:tcPr>
          <w:p>
            <w:pPr>
              <w:jc w:val="center"/>
            </w:pPr>
            <w:r/>
            <w:r>
              <w:rPr>
                <w:rFonts w:ascii="Times New Roman" w:hAnsi="Times New Roman" w:eastAsia="Times New Roman"/>
                <w:sz w:val="16"/>
              </w:rPr>
              <w:t>2</w:t>
            </w:r>
          </w:p>
        </w:tc>
        <w:tc>
          <w:tcPr>
            <w:tcW w:type="dxa" w:w="1152"/>
          </w:tcPr>
          <w:p>
            <w:pPr>
              <w:jc w:val="center"/>
            </w:pPr>
            <w:r/>
            <w:r>
              <w:rPr>
                <w:rFonts w:ascii="Times New Roman" w:hAnsi="Times New Roman" w:eastAsia="Times New Roman"/>
                <w:sz w:val="16"/>
              </w:rPr>
              <w:t>1.08–1.22</w:t>
            </w:r>
          </w:p>
        </w:tc>
        <w:tc>
          <w:tcPr>
            <w:tcW w:type="dxa" w:w="1224"/>
          </w:tcPr>
          <w:p>
            <w:pPr>
              <w:jc w:val="center"/>
            </w:pPr>
            <w:r/>
            <w:r>
              <w:rPr>
                <w:rFonts w:ascii="Times New Roman" w:hAnsi="Times New Roman" w:eastAsia="Times New Roman"/>
                <w:sz w:val="16"/>
              </w:rPr>
              <w:t>45.0–59.9</w:t>
            </w:r>
          </w:p>
        </w:tc>
        <w:tc>
          <w:tcPr>
            <w:tcW w:type="dxa" w:w="1368"/>
          </w:tcPr>
          <w:p>
            <w:pPr>
              <w:jc w:val="center"/>
            </w:pPr>
            <w:r/>
            <w:r>
              <w:rPr>
                <w:rFonts w:ascii="Times New Roman" w:hAnsi="Times New Roman" w:eastAsia="Times New Roman"/>
                <w:sz w:val="16"/>
              </w:rPr>
              <w:t>45.0 / 94.3</w:t>
            </w:r>
          </w:p>
        </w:tc>
        <w:tc>
          <w:tcPr>
            <w:tcW w:type="dxa" w:w="1224"/>
          </w:tcPr>
          <w:p>
            <w:pPr>
              <w:jc w:val="center"/>
            </w:pPr>
            <w:r/>
            <w:r>
              <w:rPr>
                <w:rFonts w:ascii="Times New Roman" w:hAnsi="Times New Roman" w:eastAsia="Times New Roman"/>
                <w:sz w:val="16"/>
              </w:rPr>
              <w:t>7.03–10.65</w:t>
            </w:r>
          </w:p>
        </w:tc>
        <w:tc>
          <w:tcPr>
            <w:tcW w:type="dxa" w:w="1296"/>
          </w:tcPr>
          <w:p>
            <w:pPr>
              <w:jc w:val="center"/>
            </w:pPr>
            <w:r/>
            <w:r>
              <w:rPr>
                <w:rFonts w:ascii="Times New Roman" w:hAnsi="Times New Roman" w:eastAsia="Times New Roman"/>
                <w:sz w:val="16"/>
              </w:rPr>
              <w:t>54%–72%</w:t>
            </w:r>
          </w:p>
        </w:tc>
      </w:tr>
      <w:tr>
        <w:tc>
          <w:tcPr>
            <w:tcW w:type="dxa" w:w="2664"/>
          </w:tcPr>
          <w:p>
            <w:pPr>
              <w:jc w:val="left"/>
            </w:pPr>
            <w:r/>
            <w:r>
              <w:rPr>
                <w:rFonts w:ascii="Times New Roman" w:hAnsi="Times New Roman" w:eastAsia="Times New Roman"/>
                <w:i/>
                <w:sz w:val="16"/>
              </w:rPr>
              <w:t>c</w:t>
            </w:r>
            <w:r>
              <w:rPr>
                <w:rFonts w:ascii="Times New Roman" w:hAnsi="Times New Roman" w:eastAsia="Times New Roman"/>
                <w:sz w:val="16"/>
              </w:rPr>
              <w:t xml:space="preserve"> = 0.4</w:t>
            </w:r>
          </w:p>
        </w:tc>
        <w:tc>
          <w:tcPr>
            <w:tcW w:type="dxa" w:w="1008"/>
          </w:tcPr>
          <w:p>
            <w:pPr>
              <w:jc w:val="center"/>
            </w:pPr>
            <w:r/>
            <w:r>
              <w:rPr>
                <w:rFonts w:ascii="Times New Roman" w:hAnsi="Times New Roman" w:eastAsia="Times New Roman"/>
                <w:sz w:val="16"/>
              </w:rPr>
              <w:t>1</w:t>
            </w:r>
          </w:p>
        </w:tc>
        <w:tc>
          <w:tcPr>
            <w:tcW w:type="dxa" w:w="1152"/>
          </w:tcPr>
          <w:p>
            <w:pPr>
              <w:jc w:val="center"/>
            </w:pPr>
            <w:r/>
            <w:r>
              <w:rPr>
                <w:rFonts w:ascii="Times New Roman" w:hAnsi="Times New Roman" w:eastAsia="Times New Roman"/>
                <w:sz w:val="16"/>
              </w:rPr>
              <w:t>1.30</w:t>
            </w:r>
          </w:p>
        </w:tc>
        <w:tc>
          <w:tcPr>
            <w:tcW w:type="dxa" w:w="1224"/>
          </w:tcPr>
          <w:p>
            <w:pPr>
              <w:jc w:val="center"/>
            </w:pPr>
            <w:r/>
            <w:r>
              <w:rPr>
                <w:rFonts w:ascii="Times New Roman" w:hAnsi="Times New Roman" w:eastAsia="Times New Roman"/>
                <w:sz w:val="16"/>
              </w:rPr>
              <w:t>45.0</w:t>
            </w:r>
          </w:p>
        </w:tc>
        <w:tc>
          <w:tcPr>
            <w:tcW w:type="dxa" w:w="1368"/>
          </w:tcPr>
          <w:p>
            <w:pPr>
              <w:jc w:val="center"/>
            </w:pPr>
            <w:r/>
            <w:r>
              <w:rPr>
                <w:rFonts w:ascii="Times New Roman" w:hAnsi="Times New Roman" w:eastAsia="Times New Roman"/>
                <w:sz w:val="16"/>
              </w:rPr>
              <w:t>45.0 / 90.0</w:t>
            </w:r>
          </w:p>
        </w:tc>
        <w:tc>
          <w:tcPr>
            <w:tcW w:type="dxa" w:w="1224"/>
          </w:tcPr>
          <w:p>
            <w:pPr>
              <w:jc w:val="center"/>
            </w:pPr>
            <w:r/>
            <w:r>
              <w:rPr>
                <w:rFonts w:ascii="Times New Roman" w:hAnsi="Times New Roman" w:eastAsia="Times New Roman"/>
                <w:sz w:val="16"/>
              </w:rPr>
              <w:t>5.08</w:t>
            </w:r>
          </w:p>
        </w:tc>
        <w:tc>
          <w:tcPr>
            <w:tcW w:type="dxa" w:w="1296"/>
          </w:tcPr>
          <w:p>
            <w:pPr>
              <w:jc w:val="center"/>
            </w:pPr>
            <w:r/>
            <w:r>
              <w:rPr>
                <w:rFonts w:ascii="Times New Roman" w:hAnsi="Times New Roman" w:eastAsia="Times New Roman"/>
                <w:sz w:val="16"/>
              </w:rPr>
              <w:t>74%</w:t>
            </w:r>
          </w:p>
        </w:tc>
      </w:tr>
      <w:tr>
        <w:tc>
          <w:tcPr>
            <w:tcW w:type="dxa" w:w="2664"/>
          </w:tcPr>
          <w:p>
            <w:pPr>
              <w:jc w:val="left"/>
            </w:pPr>
            <w:r/>
            <w:r>
              <w:rPr>
                <w:rFonts w:ascii="Times New Roman" w:hAnsi="Times New Roman" w:eastAsia="Times New Roman"/>
                <w:sz w:val="16"/>
              </w:rPr>
              <w:t>price grid: 8 prices, floor/ceiling = 0.31</w:t>
            </w:r>
          </w:p>
        </w:tc>
        <w:tc>
          <w:tcPr>
            <w:tcW w:type="dxa" w:w="1008"/>
          </w:tcPr>
          <w:p>
            <w:pPr>
              <w:jc w:val="center"/>
            </w:pPr>
            <w:r/>
            <w:r>
              <w:rPr>
                <w:rFonts w:ascii="Times New Roman" w:hAnsi="Times New Roman" w:eastAsia="Times New Roman"/>
                <w:sz w:val="16"/>
              </w:rPr>
              <w:t>1</w:t>
            </w:r>
          </w:p>
        </w:tc>
        <w:tc>
          <w:tcPr>
            <w:tcW w:type="dxa" w:w="1152"/>
          </w:tcPr>
          <w:p>
            <w:pPr>
              <w:jc w:val="center"/>
            </w:pPr>
            <w:r/>
            <w:r>
              <w:rPr>
                <w:rFonts w:ascii="Times New Roman" w:hAnsi="Times New Roman" w:eastAsia="Times New Roman"/>
                <w:sz w:val="16"/>
              </w:rPr>
              <w:t>1.22</w:t>
            </w:r>
          </w:p>
        </w:tc>
        <w:tc>
          <w:tcPr>
            <w:tcW w:type="dxa" w:w="1224"/>
          </w:tcPr>
          <w:p>
            <w:pPr>
              <w:jc w:val="center"/>
            </w:pPr>
            <w:r/>
            <w:r>
              <w:rPr>
                <w:rFonts w:ascii="Times New Roman" w:hAnsi="Times New Roman" w:eastAsia="Times New Roman"/>
                <w:sz w:val="16"/>
              </w:rPr>
              <w:t>45.0</w:t>
            </w:r>
          </w:p>
        </w:tc>
        <w:tc>
          <w:tcPr>
            <w:tcW w:type="dxa" w:w="1368"/>
          </w:tcPr>
          <w:p>
            <w:pPr>
              <w:jc w:val="center"/>
            </w:pPr>
            <w:r/>
            <w:r>
              <w:rPr>
                <w:rFonts w:ascii="Times New Roman" w:hAnsi="Times New Roman" w:eastAsia="Times New Roman"/>
                <w:sz w:val="16"/>
              </w:rPr>
              <w:t>45.0 / 75.2</w:t>
            </w:r>
          </w:p>
        </w:tc>
        <w:tc>
          <w:tcPr>
            <w:tcW w:type="dxa" w:w="1224"/>
          </w:tcPr>
          <w:p>
            <w:pPr>
              <w:jc w:val="center"/>
            </w:pPr>
            <w:r/>
            <w:r>
              <w:rPr>
                <w:rFonts w:ascii="Times New Roman" w:hAnsi="Times New Roman" w:eastAsia="Times New Roman"/>
                <w:sz w:val="16"/>
              </w:rPr>
              <w:t>7.16</w:t>
            </w:r>
          </w:p>
        </w:tc>
        <w:tc>
          <w:tcPr>
            <w:tcW w:type="dxa" w:w="1296"/>
          </w:tcPr>
          <w:p>
            <w:pPr>
              <w:jc w:val="center"/>
            </w:pPr>
            <w:r/>
            <w:r>
              <w:rPr>
                <w:rFonts w:ascii="Times New Roman" w:hAnsi="Times New Roman" w:eastAsia="Times New Roman"/>
                <w:sz w:val="16"/>
              </w:rPr>
              <w:t>68%</w:t>
            </w:r>
          </w:p>
        </w:tc>
      </w:tr>
      <w:tr>
        <w:tc>
          <w:tcPr>
            <w:tcW w:type="dxa" w:w="2664"/>
          </w:tcPr>
          <w:p>
            <w:pPr>
              <w:jc w:val="left"/>
            </w:pPr>
            <w:r/>
            <w:r>
              <w:rPr>
                <w:rFonts w:ascii="Times New Roman" w:hAnsi="Times New Roman" w:eastAsia="Times New Roman"/>
                <w:sz w:val="16"/>
              </w:rPr>
              <w:t>ρ = 0.5</w:t>
            </w:r>
          </w:p>
        </w:tc>
        <w:tc>
          <w:tcPr>
            <w:tcW w:type="dxa" w:w="1008"/>
          </w:tcPr>
          <w:p>
            <w:pPr>
              <w:jc w:val="center"/>
            </w:pPr>
            <w:r/>
            <w:r>
              <w:rPr>
                <w:rFonts w:ascii="Times New Roman" w:hAnsi="Times New Roman" w:eastAsia="Times New Roman"/>
                <w:sz w:val="16"/>
              </w:rPr>
              <w:t>2*</w:t>
            </w:r>
          </w:p>
        </w:tc>
        <w:tc>
          <w:tcPr>
            <w:tcW w:type="dxa" w:w="1152"/>
          </w:tcPr>
          <w:p>
            <w:pPr>
              <w:jc w:val="center"/>
            </w:pPr>
            <w:r/>
            <w:r>
              <w:rPr>
                <w:rFonts w:ascii="Times New Roman" w:hAnsi="Times New Roman" w:eastAsia="Times New Roman"/>
                <w:sz w:val="16"/>
              </w:rPr>
              <w:t>1.14–1.25</w:t>
            </w:r>
          </w:p>
        </w:tc>
        <w:tc>
          <w:tcPr>
            <w:tcW w:type="dxa" w:w="1224"/>
          </w:tcPr>
          <w:p>
            <w:pPr>
              <w:jc w:val="center"/>
            </w:pPr>
            <w:r/>
            <w:r>
              <w:rPr>
                <w:rFonts w:ascii="Times New Roman" w:hAnsi="Times New Roman" w:eastAsia="Times New Roman"/>
                <w:sz w:val="16"/>
              </w:rPr>
              <w:t>45.0–60.0</w:t>
            </w:r>
          </w:p>
        </w:tc>
        <w:tc>
          <w:tcPr>
            <w:tcW w:type="dxa" w:w="1368"/>
          </w:tcPr>
          <w:p>
            <w:pPr>
              <w:jc w:val="center"/>
            </w:pPr>
            <w:r/>
            <w:r>
              <w:rPr>
                <w:rFonts w:ascii="Times New Roman" w:hAnsi="Times New Roman" w:eastAsia="Times New Roman"/>
                <w:sz w:val="16"/>
              </w:rPr>
              <w:t>45.0 / 88.8</w:t>
            </w:r>
          </w:p>
        </w:tc>
        <w:tc>
          <w:tcPr>
            <w:tcW w:type="dxa" w:w="1224"/>
          </w:tcPr>
          <w:p>
            <w:pPr>
              <w:jc w:val="center"/>
            </w:pPr>
            <w:r/>
            <w:r>
              <w:rPr>
                <w:rFonts w:ascii="Times New Roman" w:hAnsi="Times New Roman" w:eastAsia="Times New Roman"/>
                <w:sz w:val="16"/>
              </w:rPr>
              <w:t>6.42–9.20</w:t>
            </w:r>
          </w:p>
        </w:tc>
        <w:tc>
          <w:tcPr>
            <w:tcW w:type="dxa" w:w="1296"/>
          </w:tcPr>
          <w:p>
            <w:pPr>
              <w:jc w:val="center"/>
            </w:pPr>
            <w:r/>
            <w:r>
              <w:rPr>
                <w:rFonts w:ascii="Times New Roman" w:hAnsi="Times New Roman" w:eastAsia="Times New Roman"/>
                <w:sz w:val="16"/>
              </w:rPr>
              <w:t>56%–71%</w:t>
            </w:r>
          </w:p>
        </w:tc>
      </w:tr>
      <w:tr>
        <w:tc>
          <w:tcPr>
            <w:tcW w:type="dxa" w:w="2664"/>
          </w:tcPr>
          <w:p>
            <w:pPr>
              <w:jc w:val="left"/>
            </w:pPr>
            <w:r/>
            <w:r>
              <w:rPr>
                <w:rFonts w:ascii="Times New Roman" w:hAnsi="Times New Roman" w:eastAsia="Times New Roman"/>
                <w:sz w:val="16"/>
              </w:rPr>
              <w:t>ρ = 2</w:t>
            </w:r>
          </w:p>
        </w:tc>
        <w:tc>
          <w:tcPr>
            <w:tcW w:type="dxa" w:w="1008"/>
          </w:tcPr>
          <w:p>
            <w:pPr>
              <w:jc w:val="center"/>
            </w:pPr>
            <w:r/>
            <w:r>
              <w:rPr>
                <w:rFonts w:ascii="Times New Roman" w:hAnsi="Times New Roman" w:eastAsia="Times New Roman"/>
                <w:sz w:val="16"/>
              </w:rPr>
              <w:t>2</w:t>
            </w:r>
          </w:p>
        </w:tc>
        <w:tc>
          <w:tcPr>
            <w:tcW w:type="dxa" w:w="1152"/>
          </w:tcPr>
          <w:p>
            <w:pPr>
              <w:jc w:val="center"/>
            </w:pPr>
            <w:r/>
            <w:r>
              <w:rPr>
                <w:rFonts w:ascii="Times New Roman" w:hAnsi="Times New Roman" w:eastAsia="Times New Roman"/>
                <w:sz w:val="16"/>
              </w:rPr>
              <w:t>1.21–1.23</w:t>
            </w:r>
          </w:p>
        </w:tc>
        <w:tc>
          <w:tcPr>
            <w:tcW w:type="dxa" w:w="1224"/>
          </w:tcPr>
          <w:p>
            <w:pPr>
              <w:jc w:val="center"/>
            </w:pPr>
            <w:r/>
            <w:r>
              <w:rPr>
                <w:rFonts w:ascii="Times New Roman" w:hAnsi="Times New Roman" w:eastAsia="Times New Roman"/>
                <w:sz w:val="16"/>
              </w:rPr>
              <w:t>47.3–49.6</w:t>
            </w:r>
          </w:p>
        </w:tc>
        <w:tc>
          <w:tcPr>
            <w:tcW w:type="dxa" w:w="1368"/>
          </w:tcPr>
          <w:p>
            <w:pPr>
              <w:jc w:val="center"/>
            </w:pPr>
            <w:r/>
            <w:r>
              <w:rPr>
                <w:rFonts w:ascii="Times New Roman" w:hAnsi="Times New Roman" w:eastAsia="Times New Roman"/>
                <w:sz w:val="16"/>
              </w:rPr>
              <w:t>45.0 / 96.5</w:t>
            </w:r>
          </w:p>
        </w:tc>
        <w:tc>
          <w:tcPr>
            <w:tcW w:type="dxa" w:w="1224"/>
          </w:tcPr>
          <w:p>
            <w:pPr>
              <w:jc w:val="center"/>
            </w:pPr>
            <w:r/>
            <w:r>
              <w:rPr>
                <w:rFonts w:ascii="Times New Roman" w:hAnsi="Times New Roman" w:eastAsia="Times New Roman"/>
                <w:sz w:val="16"/>
              </w:rPr>
              <w:t>6.74–7.47</w:t>
            </w:r>
          </w:p>
        </w:tc>
        <w:tc>
          <w:tcPr>
            <w:tcW w:type="dxa" w:w="1296"/>
          </w:tcPr>
          <w:p>
            <w:pPr>
              <w:jc w:val="center"/>
            </w:pPr>
            <w:r/>
            <w:r>
              <w:rPr>
                <w:rFonts w:ascii="Times New Roman" w:hAnsi="Times New Roman" w:eastAsia="Times New Roman"/>
                <w:sz w:val="16"/>
              </w:rPr>
              <w:t>64%–68%</w:t>
            </w:r>
          </w:p>
        </w:tc>
      </w:tr>
      <w:tr>
        <w:tc>
          <w:tcPr>
            <w:tcW w:type="dxa" w:w="2664"/>
          </w:tcPr>
          <w:p>
            <w:pPr>
              <w:jc w:val="left"/>
            </w:pPr>
            <w:r/>
            <w:r>
              <w:rPr>
                <w:rFonts w:ascii="Times New Roman" w:hAnsi="Times New Roman" w:eastAsia="Times New Roman"/>
                <w:sz w:val="16"/>
              </w:rPr>
              <w:t>ρ = 4</w:t>
            </w:r>
          </w:p>
        </w:tc>
        <w:tc>
          <w:tcPr>
            <w:tcW w:type="dxa" w:w="1008"/>
          </w:tcPr>
          <w:p>
            <w:pPr>
              <w:jc w:val="center"/>
            </w:pPr>
            <w:r/>
            <w:r>
              <w:rPr>
                <w:rFonts w:ascii="Times New Roman" w:hAnsi="Times New Roman" w:eastAsia="Times New Roman"/>
                <w:sz w:val="16"/>
              </w:rPr>
              <w:t>1</w:t>
            </w:r>
          </w:p>
        </w:tc>
        <w:tc>
          <w:tcPr>
            <w:tcW w:type="dxa" w:w="1152"/>
          </w:tcPr>
          <w:p>
            <w:pPr>
              <w:jc w:val="center"/>
            </w:pPr>
            <w:r/>
            <w:r>
              <w:rPr>
                <w:rFonts w:ascii="Times New Roman" w:hAnsi="Times New Roman" w:eastAsia="Times New Roman"/>
                <w:sz w:val="16"/>
              </w:rPr>
              <w:t>1.10</w:t>
            </w:r>
          </w:p>
        </w:tc>
        <w:tc>
          <w:tcPr>
            <w:tcW w:type="dxa" w:w="1224"/>
          </w:tcPr>
          <w:p>
            <w:pPr>
              <w:jc w:val="center"/>
            </w:pPr>
            <w:r/>
            <w:r>
              <w:rPr>
                <w:rFonts w:ascii="Times New Roman" w:hAnsi="Times New Roman" w:eastAsia="Times New Roman"/>
                <w:sz w:val="16"/>
              </w:rPr>
              <w:t>55.6</w:t>
            </w:r>
          </w:p>
        </w:tc>
        <w:tc>
          <w:tcPr>
            <w:tcW w:type="dxa" w:w="1368"/>
          </w:tcPr>
          <w:p>
            <w:pPr>
              <w:jc w:val="center"/>
            </w:pPr>
            <w:r/>
            <w:r>
              <w:rPr>
                <w:rFonts w:ascii="Times New Roman" w:hAnsi="Times New Roman" w:eastAsia="Times New Roman"/>
                <w:sz w:val="16"/>
              </w:rPr>
              <w:t>45.0 / 100.4</w:t>
            </w:r>
          </w:p>
        </w:tc>
        <w:tc>
          <w:tcPr>
            <w:tcW w:type="dxa" w:w="1224"/>
          </w:tcPr>
          <w:p>
            <w:pPr>
              <w:jc w:val="center"/>
            </w:pPr>
            <w:r/>
            <w:r>
              <w:rPr>
                <w:rFonts w:ascii="Times New Roman" w:hAnsi="Times New Roman" w:eastAsia="Times New Roman"/>
                <w:sz w:val="16"/>
              </w:rPr>
              <w:t>10.00</w:t>
            </w:r>
          </w:p>
        </w:tc>
        <w:tc>
          <w:tcPr>
            <w:tcW w:type="dxa" w:w="1296"/>
          </w:tcPr>
          <w:p>
            <w:pPr>
              <w:jc w:val="center"/>
            </w:pPr>
            <w:r/>
            <w:r>
              <w:rPr>
                <w:rFonts w:ascii="Times New Roman" w:hAnsi="Times New Roman" w:eastAsia="Times New Roman"/>
                <w:sz w:val="16"/>
              </w:rPr>
              <w:t>44%</w:t>
            </w:r>
          </w:p>
        </w:tc>
      </w:tr>
      <w:tr>
        <w:tc>
          <w:tcPr>
            <w:tcW w:type="dxa" w:w="2664"/>
          </w:tcPr>
          <w:p>
            <w:pPr>
              <w:jc w:val="left"/>
            </w:pPr>
            <w:r/>
            <w:r>
              <w:rPr>
                <w:rFonts w:ascii="Times New Roman" w:hAnsi="Times New Roman" w:eastAsia="Times New Roman"/>
                <w:sz w:val="16"/>
              </w:rPr>
              <w:t>ψ = 0.6</w:t>
            </w:r>
          </w:p>
        </w:tc>
        <w:tc>
          <w:tcPr>
            <w:tcW w:type="dxa" w:w="1008"/>
          </w:tcPr>
          <w:p>
            <w:pPr>
              <w:jc w:val="center"/>
            </w:pPr>
            <w:r/>
            <w:r>
              <w:rPr>
                <w:rFonts w:ascii="Times New Roman" w:hAnsi="Times New Roman" w:eastAsia="Times New Roman"/>
                <w:sz w:val="16"/>
              </w:rPr>
              <w:t>1</w:t>
            </w:r>
          </w:p>
        </w:tc>
        <w:tc>
          <w:tcPr>
            <w:tcW w:type="dxa" w:w="1152"/>
          </w:tcPr>
          <w:p>
            <w:pPr>
              <w:jc w:val="center"/>
            </w:pPr>
            <w:r/>
            <w:r>
              <w:rPr>
                <w:rFonts w:ascii="Times New Roman" w:hAnsi="Times New Roman" w:eastAsia="Times New Roman"/>
                <w:sz w:val="16"/>
              </w:rPr>
              <w:t>1.13</w:t>
            </w:r>
          </w:p>
        </w:tc>
        <w:tc>
          <w:tcPr>
            <w:tcW w:type="dxa" w:w="1224"/>
          </w:tcPr>
          <w:p>
            <w:pPr>
              <w:jc w:val="center"/>
            </w:pPr>
            <w:r/>
            <w:r>
              <w:rPr>
                <w:rFonts w:ascii="Times New Roman" w:hAnsi="Times New Roman" w:eastAsia="Times New Roman"/>
                <w:sz w:val="16"/>
              </w:rPr>
              <w:t>60.0</w:t>
            </w:r>
          </w:p>
        </w:tc>
        <w:tc>
          <w:tcPr>
            <w:tcW w:type="dxa" w:w="1368"/>
          </w:tcPr>
          <w:p>
            <w:pPr>
              <w:jc w:val="center"/>
            </w:pPr>
            <w:r/>
            <w:r>
              <w:rPr>
                <w:rFonts w:ascii="Times New Roman" w:hAnsi="Times New Roman" w:eastAsia="Times New Roman"/>
                <w:sz w:val="16"/>
              </w:rPr>
              <w:t>45.0 / 75.2</w:t>
            </w:r>
          </w:p>
        </w:tc>
        <w:tc>
          <w:tcPr>
            <w:tcW w:type="dxa" w:w="1224"/>
          </w:tcPr>
          <w:p>
            <w:pPr>
              <w:jc w:val="center"/>
            </w:pPr>
            <w:r/>
            <w:r>
              <w:rPr>
                <w:rFonts w:ascii="Times New Roman" w:hAnsi="Times New Roman" w:eastAsia="Times New Roman"/>
                <w:sz w:val="16"/>
              </w:rPr>
              <w:t>9.46</w:t>
            </w:r>
          </w:p>
        </w:tc>
        <w:tc>
          <w:tcPr>
            <w:tcW w:type="dxa" w:w="1296"/>
          </w:tcPr>
          <w:p>
            <w:pPr>
              <w:jc w:val="center"/>
            </w:pPr>
            <w:r/>
            <w:r>
              <w:rPr>
                <w:rFonts w:ascii="Times New Roman" w:hAnsi="Times New Roman" w:eastAsia="Times New Roman"/>
                <w:sz w:val="16"/>
              </w:rPr>
              <w:t>56%</w:t>
            </w:r>
          </w:p>
        </w:tc>
      </w:tr>
      <w:tr>
        <w:tc>
          <w:tcPr>
            <w:tcW w:type="dxa" w:w="2664"/>
            <w:tcBorders>
              <w:bottom w:val="single" w:sz="8" w:space="0" w:color="000000"/>
            </w:tcBorders>
          </w:tcPr>
          <w:p>
            <w:pPr>
              <w:jc w:val="left"/>
            </w:pPr>
            <w:r/>
            <w:r>
              <w:rPr>
                <w:rFonts w:ascii="Times New Roman" w:hAnsi="Times New Roman" w:eastAsia="Times New Roman"/>
                <w:sz w:val="16"/>
              </w:rPr>
              <w:t>ψ = 0</w:t>
            </w:r>
          </w:p>
        </w:tc>
        <w:tc>
          <w:tcPr>
            <w:tcW w:type="dxa" w:w="1008"/>
            <w:tcBorders>
              <w:bottom w:val="single" w:sz="8" w:space="0" w:color="000000"/>
            </w:tcBorders>
          </w:tcPr>
          <w:p>
            <w:pPr>
              <w:jc w:val="center"/>
            </w:pPr>
            <w:r/>
            <w:r>
              <w:rPr>
                <w:rFonts w:ascii="Times New Roman" w:hAnsi="Times New Roman" w:eastAsia="Times New Roman"/>
                <w:sz w:val="16"/>
              </w:rPr>
              <w:t>1</w:t>
            </w:r>
          </w:p>
        </w:tc>
        <w:tc>
          <w:tcPr>
            <w:tcW w:type="dxa" w:w="1152"/>
            <w:tcBorders>
              <w:bottom w:val="single" w:sz="8" w:space="0" w:color="000000"/>
            </w:tcBorders>
          </w:tcPr>
          <w:p>
            <w:pPr>
              <w:jc w:val="center"/>
            </w:pPr>
            <w:r/>
            <w:r>
              <w:rPr>
                <w:rFonts w:ascii="Times New Roman" w:hAnsi="Times New Roman" w:eastAsia="Times New Roman"/>
                <w:sz w:val="16"/>
              </w:rPr>
              <w:t>1.26</w:t>
            </w:r>
          </w:p>
        </w:tc>
        <w:tc>
          <w:tcPr>
            <w:tcW w:type="dxa" w:w="1224"/>
            <w:tcBorders>
              <w:bottom w:val="single" w:sz="8" w:space="0" w:color="000000"/>
            </w:tcBorders>
          </w:tcPr>
          <w:p>
            <w:pPr>
              <w:jc w:val="center"/>
            </w:pPr>
            <w:r/>
            <w:r>
              <w:rPr>
                <w:rFonts w:ascii="Times New Roman" w:hAnsi="Times New Roman" w:eastAsia="Times New Roman"/>
                <w:sz w:val="16"/>
              </w:rPr>
              <w:t>45.0</w:t>
            </w:r>
          </w:p>
        </w:tc>
        <w:tc>
          <w:tcPr>
            <w:tcW w:type="dxa" w:w="1368"/>
            <w:tcBorders>
              <w:bottom w:val="single" w:sz="8" w:space="0" w:color="000000"/>
            </w:tcBorders>
          </w:tcPr>
          <w:p>
            <w:pPr>
              <w:jc w:val="center"/>
            </w:pPr>
            <w:r/>
            <w:r>
              <w:rPr>
                <w:rFonts w:ascii="Times New Roman" w:hAnsi="Times New Roman" w:eastAsia="Times New Roman"/>
                <w:sz w:val="16"/>
              </w:rPr>
              <w:t>45.0 / 75.2</w:t>
            </w:r>
          </w:p>
        </w:tc>
        <w:tc>
          <w:tcPr>
            <w:tcW w:type="dxa" w:w="1224"/>
            <w:tcBorders>
              <w:bottom w:val="single" w:sz="8" w:space="0" w:color="000000"/>
            </w:tcBorders>
          </w:tcPr>
          <w:p>
            <w:pPr>
              <w:jc w:val="center"/>
            </w:pPr>
            <w:r/>
            <w:r>
              <w:rPr>
                <w:rFonts w:ascii="Times New Roman" w:hAnsi="Times New Roman" w:eastAsia="Times New Roman"/>
                <w:sz w:val="16"/>
              </w:rPr>
              <w:t>6.21</w:t>
            </w:r>
          </w:p>
        </w:tc>
        <w:tc>
          <w:tcPr>
            <w:tcW w:type="dxa" w:w="1296"/>
            <w:tcBorders>
              <w:bottom w:val="single" w:sz="8" w:space="0" w:color="000000"/>
            </w:tcBorders>
          </w:tcPr>
          <w:p>
            <w:pPr>
              <w:jc w:val="center"/>
            </w:pPr>
            <w:r/>
            <w:r>
              <w:rPr>
                <w:rFonts w:ascii="Times New Roman" w:hAnsi="Times New Roman" w:eastAsia="Times New Roman"/>
                <w:sz w:val="16"/>
              </w:rPr>
              <w:t>75%</w:t>
            </w:r>
          </w:p>
        </w:tc>
      </w:tr>
    </w:tbl>
    <w:p>
      <w:pPr>
        <w:spacing w:after="240"/>
      </w:pPr>
      <w:r>
        <w:rPr>
          <w:rFonts w:ascii="Times New Roman" w:hAnsi="Times New Roman" w:eastAsia="Times New Roman"/>
          <w:sz w:val="20"/>
        </w:rPr>
        <w:t>Note. Distinct outcomes are counted by rounding mean capacity and average price. An asterisk marks scenarios in which at least one run did not meet the convergence tolerance (fc x2: 1 of 4 runs; rho=0.5: 2 of 4 runs). Demand scenarios change the stationary mean of λ (base 25.3; persistent 26.5; i.i.d. 26.7; growth-skewed 33.2), so their levels are not directly comparable with the base scenario.</w:t>
      </w:r>
    </w:p>
    <w:p>
      <w:pPr>
        <w:jc w:val="center"/>
      </w:pPr>
      <w:r>
        <w:drawing>
          <wp:inline xmlns:a="http://schemas.openxmlformats.org/drawingml/2006/main" xmlns:pic="http://schemas.openxmlformats.org/drawingml/2006/picture">
            <wp:extent cx="5120640" cy="3825143"/>
            <wp:docPr id="2" name="Picture 2"/>
            <wp:cNvGraphicFramePr>
              <a:graphicFrameLocks noChangeAspect="1"/>
            </wp:cNvGraphicFramePr>
            <a:graphic>
              <a:graphicData uri="http://schemas.openxmlformats.org/drawingml/2006/picture">
                <pic:pic>
                  <pic:nvPicPr>
                    <pic:cNvPr id="0" name="sensitivity_capacity.png"/>
                    <pic:cNvPicPr/>
                  </pic:nvPicPr>
                  <pic:blipFill>
                    <a:blip r:embed="rId11"/>
                    <a:stretch>
                      <a:fillRect/>
                    </a:stretch>
                  </pic:blipFill>
                  <pic:spPr>
                    <a:xfrm>
                      <a:off x="0" y="0"/>
                      <a:ext cx="5120640" cy="3825143"/>
                    </a:xfrm>
                    <a:prstGeom prst="rect"/>
                  </pic:spPr>
                </pic:pic>
              </a:graphicData>
            </a:graphic>
          </wp:inline>
        </w:drawing>
      </w:r>
    </w:p>
    <w:p>
      <w:pPr>
        <w:keepNext/>
        <w:spacing w:after="80"/>
      </w:pPr>
      <w:r>
        <w:rPr>
          <w:rFonts w:ascii="Times New Roman" w:hAnsi="Times New Roman" w:eastAsia="Times New Roman"/>
          <w:b/>
          <w:sz w:val="22"/>
        </w:rPr>
        <w:t>Figure 2.</w:t>
      </w:r>
      <w:r>
        <w:rPr>
          <w:rFonts w:ascii="Times New Roman" w:hAnsi="Times New Roman" w:eastAsia="Times New Roman"/>
          <w:sz w:val="22"/>
        </w:rPr>
        <w:t xml:space="preserve"> Mean installed capacity in the Bertrand equilibria found (circles, joined when more than one), the joint-profit benchmark (diamonds), and the market-share contest (squares). Where a circle is hidden behind a diamond, the Bertrand outcome equals the joint-profit capacity.</w:t>
      </w:r>
    </w:p>
    <w:p>
      <w:pPr>
        <w:spacing w:line="480" w:lineRule="auto" w:after="0"/>
        <w:ind w:firstLine="720"/>
        <w:jc w:val="left"/>
      </w:pPr>
      <w:r>
        <w:rPr>
          <w:rFonts w:ascii="Times New Roman" w:hAnsi="Times New Roman" w:eastAsia="Times New Roman"/>
        </w:rPr>
        <w:t>Four findings are robust, and two are not. The robust ones come first.</w:t>
      </w:r>
    </w:p>
    <w:p>
      <w:pPr>
        <w:spacing w:line="480" w:lineRule="auto" w:after="0"/>
        <w:ind w:firstLine="720"/>
        <w:jc w:val="left"/>
      </w:pPr>
      <w:r>
        <w:rPr>
          <w:rFonts w:ascii="Times New Roman" w:hAnsi="Times New Roman" w:eastAsia="Times New Roman"/>
          <w:i/>
        </w:rPr>
        <w:t>Ordering.</w:t>
      </w:r>
      <w:r>
        <w:rPr>
          <w:rFonts w:ascii="Times New Roman" w:hAnsi="Times New Roman" w:eastAsia="Times New Roman"/>
        </w:rPr>
        <w:t xml:space="preserve"> In all 20 scenarios, equilibrium capacity under Bertrand competition is at least as large as the joint-profit benchmark and no larger than the contest. The contest holds between 15 and 75 request-units more capacity than the Bertrand equilibria, depending on the scenario, and in several scenarios it comes close to the maximum the state space allows (120). Price competition does not eliminate excess capacity, but it weakens the capacity race that a share rule induces.</w:t>
      </w:r>
    </w:p>
    <w:p>
      <w:pPr>
        <w:spacing w:line="480" w:lineRule="auto" w:after="0"/>
        <w:ind w:firstLine="720"/>
        <w:jc w:val="left"/>
      </w:pPr>
      <w:r>
        <w:rPr>
          <w:rFonts w:ascii="Times New Roman" w:hAnsi="Times New Roman" w:eastAsia="Times New Roman"/>
          <w:i/>
        </w:rPr>
        <w:t>Scarcity pricing.</w:t>
      </w:r>
      <w:r>
        <w:rPr>
          <w:rFonts w:ascii="Times New Roman" w:hAnsi="Times New Roman" w:eastAsia="Times New Roman"/>
        </w:rPr>
        <w:t xml:space="preserve"> The condition of Proposition 2 holds in every state we checked in every scenario. The reservation price is strictly dominant and is the modal price in all of them. The result is exact and does not depend on the numerical parameters.</w:t>
      </w:r>
    </w:p>
    <w:p>
      <w:pPr>
        <w:spacing w:line="480" w:lineRule="auto" w:after="0"/>
        <w:ind w:firstLine="720"/>
        <w:jc w:val="left"/>
      </w:pPr>
      <w:r>
        <w:rPr>
          <w:rFonts w:ascii="Times New Roman" w:hAnsi="Times New Roman" w:eastAsia="Times New Roman"/>
          <w:i/>
        </w:rPr>
        <w:t>Multiplicity.</w:t>
      </w:r>
      <w:r>
        <w:rPr>
          <w:rFonts w:ascii="Times New Roman" w:hAnsi="Times New Roman" w:eastAsia="Times New Roman"/>
        </w:rPr>
        <w:t xml:space="preserve"> 11 of the 20 scenarios have two or more distinct equilibrium outcomes. In every one of them the outcomes differ in capacity, and in each the high-capacity outcome is better for consumers and worse for total surplus. Multiplicity is therefore a feature of the model, not an artifact of one parameter choice.</w:t>
      </w:r>
    </w:p>
    <w:p>
      <w:pPr>
        <w:spacing w:line="480" w:lineRule="auto" w:after="0"/>
        <w:ind w:firstLine="720"/>
        <w:jc w:val="left"/>
      </w:pPr>
      <w:r>
        <w:rPr>
          <w:rFonts w:ascii="Times New Roman" w:hAnsi="Times New Roman" w:eastAsia="Times New Roman"/>
          <w:i/>
        </w:rPr>
        <w:t>Profit dissipation.</w:t>
      </w:r>
      <w:r>
        <w:rPr>
          <w:rFonts w:ascii="Times New Roman" w:hAnsi="Times New Roman" w:eastAsia="Times New Roman"/>
        </w:rPr>
        <w:t xml:space="preserve"> Industry profit under Bertrand competition is between 44% and 87% of the joint-profit level across scenarios, so competition always costs the firms a substantial share of what coordination would earn.</w:t>
      </w:r>
    </w:p>
    <w:p>
      <w:pPr>
        <w:spacing w:line="480" w:lineRule="auto" w:after="0"/>
        <w:ind w:firstLine="720"/>
        <w:jc w:val="left"/>
      </w:pPr>
      <w:r>
        <w:rPr>
          <w:rFonts w:ascii="Times New Roman" w:hAnsi="Times New Roman" w:eastAsia="Times New Roman"/>
        </w:rPr>
        <w:t xml:space="preserve">The two results that are </w:t>
      </w:r>
      <w:r>
        <w:rPr>
          <w:rFonts w:ascii="Times New Roman" w:hAnsi="Times New Roman" w:eastAsia="Times New Roman"/>
          <w:i/>
        </w:rPr>
        <w:t>not</w:t>
      </w:r>
      <w:r>
        <w:rPr>
          <w:rFonts w:ascii="Times New Roman" w:hAnsi="Times New Roman" w:eastAsia="Times New Roman"/>
        </w:rPr>
        <w:t xml:space="preserve"> robust matter just as much. First, the capacity-heavy equilibrium is fragile. It disappears, and only the capacity-scarce outcome remains, when the price grid is refined to eight or sixteen points, when marginal cost is very low (0.1) or high (0.4), and when the service-level penalty is zero. (With a higher penalty, ψ = 0.6, the reverse happens: only the capacity-heavy outcome was found, so ψ affects which equilibrium is reached.) The grid result is what Proposition 3 leads one to expect: in states where both firms have ample capacity, the margin that makes a second node worthwhile is a product of coarse price steps, and a finer grid removes much of it. We have no analogous argument for the marginal-cost and penalty cases. We therefore regard the capacity-heavy equilibrium as an artifact of discretization in part, and we place more weight on the finding that Bertrand capacity lies at or above the joint-profit level than on any specific amount above it. Second, we had expected the expected price to fall weakly as the rival adds capacity. This holds exactly in 14 of 20 scenarios, but it fails by small amounts in the other 6 (finer grids, large payoff shocks, and a high service-level penalty). We therefore state it as an empirical regularity in the base case, not as a proposition.</w:t>
      </w:r>
    </w:p>
    <w:p>
      <w:pPr>
        <w:spacing w:line="480" w:lineRule="auto" w:after="0"/>
        <w:ind w:firstLine="720"/>
        <w:jc w:val="left"/>
      </w:pPr>
      <w:r>
        <w:rPr>
          <w:rFonts w:ascii="Times New Roman" w:hAnsi="Times New Roman" w:eastAsia="Times New Roman"/>
        </w:rPr>
        <w:t>Finally, convergence was a practical issue. Of 80 solver runs, 3 did not meet the tolerance of 10</w:t>
      </w:r>
      <w:r>
        <w:rPr>
          <w:rFonts w:ascii="Times New Roman" w:hAnsi="Times New Roman" w:eastAsia="Times New Roman"/>
          <w:vertAlign w:val="superscript"/>
        </w:rPr>
        <w:t>−4</w:t>
      </w:r>
      <w:r>
        <w:rPr>
          <w:rFonts w:ascii="Times New Roman" w:hAnsi="Times New Roman" w:eastAsia="Times New Roman"/>
        </w:rPr>
        <w:t xml:space="preserve"> within the iteration limit (FC × 2: 1, ρ = 0.5: 2). Their results are included in Table 4, but they should be treated with caution.</w:t>
      </w:r>
    </w:p>
    <w:p>
      <w:pPr>
        <w:keepNext/>
        <w:spacing w:line="480" w:lineRule="auto"/>
      </w:pPr>
      <w:r>
        <w:rPr>
          <w:rFonts w:ascii="Times New Roman" w:hAnsi="Times New Roman" w:eastAsia="Times New Roman"/>
          <w:b/>
        </w:rPr>
        <w:t>7. Dynamic Price Competition</w:t>
      </w:r>
    </w:p>
    <w:p>
      <w:pPr>
        <w:keepNext/>
        <w:spacing w:line="480" w:lineRule="auto"/>
      </w:pPr>
      <w:r>
        <w:rPr>
          <w:rFonts w:ascii="Times New Roman" w:hAnsi="Times New Roman" w:eastAsia="Times New Roman"/>
          <w:b/>
          <w:i/>
        </w:rPr>
        <w:t>7.1 Alternating commitments</w:t>
      </w:r>
    </w:p>
    <w:p>
      <w:pPr>
        <w:spacing w:line="480" w:lineRule="auto" w:after="0"/>
        <w:ind w:firstLine="720"/>
        <w:jc w:val="left"/>
      </w:pPr>
      <w:r>
        <w:rPr>
          <w:rFonts w:ascii="Times New Roman" w:hAnsi="Times New Roman" w:eastAsia="Times New Roman"/>
        </w:rPr>
        <w:t>In the baseline model both firms choose prices simultaneously every period, so a price is gone as soon as the period ends. Real platforms reprice less often than they could, and a price posted today stays in force while rivals respond. Maskin and Tirole (1988) capture this with alternating moves: firms take turns, and the price a firm sets remains fixed for its rival’s next move. Prices then become state variables, and equilibrium behavior can depend on the history of prices through the state, which is what allows undercutting cycles and prices above the static Bertrand level.</w:t>
      </w:r>
    </w:p>
    <w:p>
      <w:pPr>
        <w:spacing w:line="480" w:lineRule="auto" w:after="0"/>
        <w:ind w:firstLine="720"/>
        <w:jc w:val="left"/>
      </w:pPr>
      <w:r>
        <w:rPr>
          <w:rFonts w:ascii="Times New Roman" w:hAnsi="Times New Roman" w:eastAsia="Times New Roman"/>
        </w:rPr>
        <w:t xml:space="preserve">We adopt this protocol while keeping the rest of the model unchanged. In each period exactly one firm, the mover </w:t>
      </w:r>
      <w:r>
        <w:rPr>
          <w:rFonts w:ascii="Times New Roman" w:hAnsi="Times New Roman" w:eastAsia="Times New Roman"/>
          <w:i/>
        </w:rPr>
        <w:t>q</w:t>
      </w:r>
      <w:r>
        <w:rPr>
          <w:rFonts w:ascii="Times New Roman" w:hAnsi="Times New Roman" w:eastAsia="Times New Roman"/>
        </w:rPr>
        <w:t>, is active and the roles alternate. The mover chooses a price and a capacity action (</w:t>
      </w:r>
      <w:r>
        <w:rPr>
          <w:rFonts w:ascii="Times New Roman" w:hAnsi="Times New Roman" w:eastAsia="Times New Roman"/>
          <w:i/>
        </w:rPr>
        <w:t>p</w:t>
      </w:r>
      <w:r>
        <w:rPr>
          <w:rFonts w:ascii="Times New Roman" w:hAnsi="Times New Roman" w:eastAsia="Times New Roman"/>
        </w:rPr>
        <w:t xml:space="preserve">, </w:t>
      </w:r>
      <w:r>
        <w:rPr>
          <w:rFonts w:ascii="Times New Roman" w:hAnsi="Times New Roman" w:eastAsia="Times New Roman"/>
          <w:i/>
        </w:rPr>
        <w:t>k</w:t>
      </w:r>
      <w:r>
        <w:rPr>
          <w:rFonts w:ascii="Times New Roman" w:hAnsi="Times New Roman" w:eastAsia="Times New Roman"/>
        </w:rPr>
        <w:t>); its price then stays in force until its next move two periods later. Both firms earn the flow profit (4) every period from the prices currently in force. The state seen by the mover is (</w:t>
      </w:r>
      <w:r>
        <w:rPr>
          <w:rFonts w:ascii="Times New Roman" w:hAnsi="Times New Roman" w:eastAsia="Times New Roman"/>
          <w:i/>
        </w:rPr>
        <w:t>m</w:t>
      </w:r>
      <w:r>
        <w:rPr>
          <w:rFonts w:ascii="Times New Roman" w:hAnsi="Times New Roman" w:eastAsia="Times New Roman"/>
          <w:vertAlign w:val="subscript"/>
        </w:rPr>
        <w:t>A</w:t>
      </w:r>
      <w:r>
        <w:rPr>
          <w:rFonts w:ascii="Times New Roman" w:hAnsi="Times New Roman" w:eastAsia="Times New Roman"/>
        </w:rPr>
        <w:t xml:space="preserve">, </w:t>
      </w:r>
      <w:r>
        <w:rPr>
          <w:rFonts w:ascii="Times New Roman" w:hAnsi="Times New Roman" w:eastAsia="Times New Roman"/>
          <w:i/>
        </w:rPr>
        <w:t>m</w:t>
      </w:r>
      <w:r>
        <w:rPr>
          <w:rFonts w:ascii="Times New Roman" w:hAnsi="Times New Roman" w:eastAsia="Times New Roman"/>
          <w:vertAlign w:val="subscript"/>
        </w:rPr>
        <w:t>B</w:t>
      </w:r>
      <w:r>
        <w:rPr>
          <w:rFonts w:ascii="Times New Roman" w:hAnsi="Times New Roman" w:eastAsia="Times New Roman"/>
        </w:rPr>
        <w:t xml:space="preserve">, λ, </w:t>
      </w:r>
      <w:r>
        <w:rPr>
          <w:rFonts w:ascii="Times New Roman" w:hAnsi="Times New Roman" w:eastAsia="Times New Roman"/>
          <w:i/>
        </w:rPr>
        <w:t>p</w:t>
      </w:r>
      <w:r>
        <w:rPr>
          <w:rFonts w:ascii="Times New Roman" w:hAnsi="Times New Roman" w:eastAsia="Times New Roman"/>
          <w:vertAlign w:val="subscript"/>
        </w:rPr>
        <w:t>r</w:t>
      </w:r>
      <w:r>
        <w:rPr>
          <w:rFonts w:ascii="Times New Roman" w:hAnsi="Times New Roman" w:eastAsia="Times New Roman"/>
        </w:rPr>
        <w:t xml:space="preserve">), where </w:t>
      </w:r>
      <w:r>
        <w:rPr>
          <w:rFonts w:ascii="Times New Roman" w:hAnsi="Times New Roman" w:eastAsia="Times New Roman"/>
          <w:i/>
        </w:rPr>
        <w:t>p</w:t>
      </w:r>
      <w:r>
        <w:rPr>
          <w:rFonts w:ascii="Times New Roman" w:hAnsi="Times New Roman" w:eastAsia="Times New Roman"/>
          <w:vertAlign w:val="subscript"/>
        </w:rPr>
        <w:t>r</w:t>
      </w:r>
      <w:r>
        <w:rPr>
          <w:rFonts w:ascii="Times New Roman" w:hAnsi="Times New Roman" w:eastAsia="Times New Roman"/>
        </w:rPr>
        <w:t xml:space="preserve"> is the rival’s committed price. The mover’s own old price is payoff-irrelevant, because it is re-chosen. With the same extreme-value shocks, the mover’s choice-specific value is</w:t>
      </w:r>
    </w:p>
    <w:p>
      <w:pPr>
        <w:tabs>
          <w:tab w:pos="4680" w:val="center"/>
          <w:tab w:pos="9360" w:val="right"/>
        </w:tabs>
        <w:spacing w:line="360" w:lineRule="auto" w:after="120"/>
      </w:pPr>
      <w:r>
        <w:tab/>
      </w:r>
      <w:r>
        <w:rPr>
          <w:rFonts w:ascii="Times New Roman" w:hAnsi="Times New Roman" w:eastAsia="Times New Roman"/>
          <w:i/>
        </w:rPr>
        <w:t>v</w:t>
      </w:r>
      <w:r>
        <w:rPr>
          <w:rFonts w:ascii="Times New Roman" w:hAnsi="Times New Roman" w:eastAsia="Times New Roman"/>
          <w:i/>
          <w:vertAlign w:val="subscript"/>
        </w:rPr>
        <w:t>q</w:t>
      </w:r>
      <w:r>
        <w:rPr>
          <w:rFonts w:ascii="Times New Roman" w:hAnsi="Times New Roman" w:eastAsia="Times New Roman"/>
          <w:i/>
        </w:rPr>
        <w:t>(</w:t>
      </w:r>
      <w:r>
        <w:rPr>
          <w:rFonts w:ascii="Times New Roman" w:hAnsi="Times New Roman" w:eastAsia="Times New Roman"/>
          <w:i/>
        </w:rPr>
        <w:t>p</w:t>
      </w:r>
      <w:r>
        <w:rPr>
          <w:rFonts w:ascii="Times New Roman" w:hAnsi="Times New Roman" w:eastAsia="Times New Roman"/>
          <w:i/>
        </w:rPr>
        <w:t xml:space="preserve">, </w:t>
      </w:r>
      <w:r>
        <w:rPr>
          <w:rFonts w:ascii="Times New Roman" w:hAnsi="Times New Roman" w:eastAsia="Times New Roman"/>
          <w:i/>
        </w:rPr>
        <w:t>k</w:t>
      </w:r>
      <w:r>
        <w:rPr>
          <w:rFonts w:ascii="Times New Roman" w:hAnsi="Times New Roman" w:eastAsia="Times New Roman"/>
          <w:i/>
        </w:rPr>
        <w:t xml:space="preserve"> | </w:t>
      </w:r>
      <w:r>
        <w:rPr>
          <w:rFonts w:ascii="Times New Roman" w:hAnsi="Times New Roman" w:eastAsia="Times New Roman"/>
          <w:i/>
        </w:rPr>
        <w:t>S</w:t>
      </w:r>
      <w:r>
        <w:rPr>
          <w:rFonts w:ascii="Times New Roman" w:hAnsi="Times New Roman" w:eastAsia="Times New Roman"/>
          <w:i/>
        </w:rPr>
        <w:t xml:space="preserve">, </w:t>
      </w:r>
      <w:r>
        <w:rPr>
          <w:rFonts w:ascii="Times New Roman" w:hAnsi="Times New Roman" w:eastAsia="Times New Roman"/>
          <w:i/>
        </w:rPr>
        <w:t>p</w:t>
      </w:r>
      <w:r>
        <w:rPr>
          <w:rFonts w:ascii="Times New Roman" w:hAnsi="Times New Roman" w:eastAsia="Times New Roman"/>
          <w:i/>
          <w:vertAlign w:val="subscript"/>
        </w:rPr>
        <w:t>r</w:t>
      </w:r>
      <w:r>
        <w:rPr>
          <w:rFonts w:ascii="Times New Roman" w:hAnsi="Times New Roman" w:eastAsia="Times New Roman"/>
          <w:i/>
        </w:rPr>
        <w:t>) = Π</w:t>
      </w:r>
      <w:r>
        <w:rPr>
          <w:rFonts w:ascii="Times New Roman" w:hAnsi="Times New Roman" w:eastAsia="Times New Roman"/>
          <w:i/>
          <w:vertAlign w:val="subscript"/>
        </w:rPr>
        <w:t>q</w:t>
      </w:r>
      <w:r>
        <w:rPr>
          <w:rFonts w:ascii="Times New Roman" w:hAnsi="Times New Roman" w:eastAsia="Times New Roman"/>
          <w:i/>
        </w:rPr>
        <w:t>(</w:t>
      </w:r>
      <w:r>
        <w:rPr>
          <w:rFonts w:ascii="Times New Roman" w:hAnsi="Times New Roman" w:eastAsia="Times New Roman"/>
          <w:i/>
        </w:rPr>
        <w:t>m</w:t>
      </w:r>
      <w:r>
        <w:rPr>
          <w:rFonts w:ascii="Times New Roman" w:hAnsi="Times New Roman" w:eastAsia="Times New Roman"/>
          <w:i/>
        </w:rPr>
        <w:t xml:space="preserve">, </w:t>
      </w:r>
      <w:r>
        <w:rPr>
          <w:rFonts w:ascii="Times New Roman" w:hAnsi="Times New Roman" w:eastAsia="Times New Roman"/>
          <w:i/>
        </w:rPr>
        <w:t>p</w:t>
      </w:r>
      <w:r>
        <w:rPr>
          <w:rFonts w:ascii="Times New Roman" w:hAnsi="Times New Roman" w:eastAsia="Times New Roman"/>
          <w:i/>
        </w:rPr>
        <w:t xml:space="preserve">, </w:t>
      </w:r>
      <w:r>
        <w:rPr>
          <w:rFonts w:ascii="Times New Roman" w:hAnsi="Times New Roman" w:eastAsia="Times New Roman"/>
          <w:i/>
        </w:rPr>
        <w:t>p</w:t>
      </w:r>
      <w:r>
        <w:rPr>
          <w:rFonts w:ascii="Times New Roman" w:hAnsi="Times New Roman" w:eastAsia="Times New Roman"/>
          <w:i/>
          <w:vertAlign w:val="subscript"/>
        </w:rPr>
        <w:t>r</w:t>
      </w:r>
      <w:r>
        <w:rPr>
          <w:rFonts w:ascii="Times New Roman" w:hAnsi="Times New Roman" w:eastAsia="Times New Roman"/>
          <w:i/>
        </w:rPr>
        <w:t>) − AC</w:t>
      </w:r>
      <w:r>
        <w:rPr>
          <w:rFonts w:ascii="Times New Roman" w:hAnsi="Times New Roman" w:eastAsia="Times New Roman"/>
          <w:i/>
          <w:vertAlign w:val="subscript"/>
        </w:rPr>
        <w:t>q</w:t>
      </w:r>
      <w:r>
        <w:rPr>
          <w:rFonts w:ascii="Times New Roman" w:hAnsi="Times New Roman" w:eastAsia="Times New Roman"/>
          <w:i/>
        </w:rPr>
        <w:t>(</w:t>
      </w:r>
      <w:r>
        <w:rPr>
          <w:rFonts w:ascii="Times New Roman" w:hAnsi="Times New Roman" w:eastAsia="Times New Roman"/>
          <w:i/>
        </w:rPr>
        <w:t>k</w:t>
      </w:r>
      <w:r>
        <w:rPr>
          <w:rFonts w:ascii="Times New Roman" w:hAnsi="Times New Roman" w:eastAsia="Times New Roman"/>
          <w:i/>
        </w:rPr>
        <w:t>) + β Σ</w:t>
      </w:r>
      <w:r>
        <w:rPr>
          <w:rFonts w:ascii="Times New Roman" w:hAnsi="Times New Roman" w:eastAsia="Times New Roman"/>
          <w:i/>
          <w:vertAlign w:val="subscript"/>
        </w:rPr>
        <w:t>λ′</w:t>
      </w:r>
      <w:r>
        <w:rPr>
          <w:rFonts w:ascii="Times New Roman" w:hAnsi="Times New Roman" w:eastAsia="Times New Roman"/>
          <w:i/>
        </w:rPr>
        <w:t xml:space="preserve"> </w:t>
      </w:r>
      <w:r>
        <w:rPr>
          <w:rFonts w:ascii="Times New Roman" w:hAnsi="Times New Roman" w:eastAsia="Times New Roman"/>
          <w:i/>
        </w:rPr>
        <w:t>P</w:t>
      </w:r>
      <w:r>
        <w:rPr>
          <w:rFonts w:ascii="Times New Roman" w:hAnsi="Times New Roman" w:eastAsia="Times New Roman"/>
          <w:i/>
          <w:vertAlign w:val="subscript"/>
        </w:rPr>
        <w:t>λ</w:t>
      </w:r>
      <w:r>
        <w:rPr>
          <w:rFonts w:ascii="Times New Roman" w:hAnsi="Times New Roman" w:eastAsia="Times New Roman"/>
          <w:i/>
        </w:rPr>
        <w:t xml:space="preserve">(λ′ | λ) </w:t>
      </w:r>
      <w:r>
        <w:rPr>
          <w:rFonts w:ascii="Times New Roman" w:hAnsi="Times New Roman" w:eastAsia="Times New Roman"/>
          <w:i/>
        </w:rPr>
        <w:t>V</w:t>
      </w:r>
      <w:r>
        <w:rPr>
          <w:rFonts w:ascii="Times New Roman" w:hAnsi="Times New Roman" w:eastAsia="Times New Roman"/>
          <w:i/>
          <w:vertAlign w:val="subscript"/>
        </w:rPr>
        <w:t>q</w:t>
      </w:r>
      <w:r>
        <w:rPr>
          <w:rFonts w:ascii="Times New Roman" w:hAnsi="Times New Roman" w:eastAsia="Times New Roman"/>
          <w:i/>
          <w:vertAlign w:val="superscript"/>
        </w:rPr>
        <w:t>r</w:t>
      </w:r>
      <w:r>
        <w:rPr>
          <w:rFonts w:ascii="Times New Roman" w:hAnsi="Times New Roman" w:eastAsia="Times New Roman"/>
          <w:i/>
        </w:rPr>
        <w:t>(</w:t>
      </w:r>
      <w:r>
        <w:rPr>
          <w:rFonts w:ascii="Times New Roman" w:hAnsi="Times New Roman" w:eastAsia="Times New Roman"/>
          <w:i/>
        </w:rPr>
        <w:t>m</w:t>
      </w:r>
      <w:r>
        <w:rPr>
          <w:rFonts w:ascii="Times New Roman" w:hAnsi="Times New Roman" w:eastAsia="Times New Roman"/>
          <w:i/>
        </w:rPr>
        <w:t xml:space="preserve">′, λ′, </w:t>
      </w:r>
      <w:r>
        <w:rPr>
          <w:rFonts w:ascii="Times New Roman" w:hAnsi="Times New Roman" w:eastAsia="Times New Roman"/>
          <w:i/>
        </w:rPr>
        <w:t>p</w:t>
      </w:r>
      <w:r>
        <w:rPr>
          <w:rFonts w:ascii="Times New Roman" w:hAnsi="Times New Roman" w:eastAsia="Times New Roman"/>
          <w:i/>
        </w:rPr>
        <w:t>),</w:t>
      </w:r>
      <w:r>
        <w:rPr>
          <w:rFonts w:ascii="Times New Roman" w:hAnsi="Times New Roman"/>
        </w:rPr>
        <w:tab/>
        <w:t>(7)</w:t>
      </w:r>
    </w:p>
    <w:p>
      <w:pPr>
        <w:tabs>
          <w:tab w:pos="4680" w:val="center"/>
          <w:tab w:pos="9360" w:val="right"/>
        </w:tabs>
        <w:spacing w:line="360" w:lineRule="auto" w:after="120"/>
      </w:pPr>
      <w:r>
        <w:tab/>
      </w:r>
      <w:r>
        <w:rPr>
          <w:rFonts w:ascii="Times New Roman" w:hAnsi="Times New Roman" w:eastAsia="Times New Roman"/>
          <w:i/>
        </w:rPr>
        <w:t>V</w:t>
      </w:r>
      <w:r>
        <w:rPr>
          <w:rFonts w:ascii="Times New Roman" w:hAnsi="Times New Roman" w:eastAsia="Times New Roman"/>
          <w:i/>
          <w:vertAlign w:val="subscript"/>
        </w:rPr>
        <w:t>q</w:t>
      </w:r>
      <w:r>
        <w:rPr>
          <w:rFonts w:ascii="Times New Roman" w:hAnsi="Times New Roman" w:eastAsia="Times New Roman"/>
          <w:i/>
          <w:vertAlign w:val="superscript"/>
        </w:rPr>
        <w:t>q</w:t>
      </w:r>
      <w:r>
        <w:rPr>
          <w:rFonts w:ascii="Times New Roman" w:hAnsi="Times New Roman" w:eastAsia="Times New Roman"/>
          <w:i/>
        </w:rPr>
        <w:t>(</w:t>
      </w:r>
      <w:r>
        <w:rPr>
          <w:rFonts w:ascii="Times New Roman" w:hAnsi="Times New Roman" w:eastAsia="Times New Roman"/>
          <w:i/>
        </w:rPr>
        <w:t>S</w:t>
      </w:r>
      <w:r>
        <w:rPr>
          <w:rFonts w:ascii="Times New Roman" w:hAnsi="Times New Roman" w:eastAsia="Times New Roman"/>
          <w:i/>
        </w:rPr>
        <w:t xml:space="preserve">, </w:t>
      </w:r>
      <w:r>
        <w:rPr>
          <w:rFonts w:ascii="Times New Roman" w:hAnsi="Times New Roman" w:eastAsia="Times New Roman"/>
          <w:i/>
        </w:rPr>
        <w:t>p</w:t>
      </w:r>
      <w:r>
        <w:rPr>
          <w:rFonts w:ascii="Times New Roman" w:hAnsi="Times New Roman" w:eastAsia="Times New Roman"/>
          <w:i/>
          <w:vertAlign w:val="subscript"/>
        </w:rPr>
        <w:t>r</w:t>
      </w:r>
      <w:r>
        <w:rPr>
          <w:rFonts w:ascii="Times New Roman" w:hAnsi="Times New Roman" w:eastAsia="Times New Roman"/>
          <w:i/>
        </w:rPr>
        <w:t>) = ρ [ γ + ln Σ</w:t>
      </w:r>
      <w:r>
        <w:rPr>
          <w:rFonts w:ascii="Times New Roman" w:hAnsi="Times New Roman" w:eastAsia="Times New Roman"/>
          <w:i/>
          <w:vertAlign w:val="subscript"/>
        </w:rPr>
        <w:t>a</w:t>
      </w:r>
      <w:r>
        <w:rPr>
          <w:rFonts w:ascii="Times New Roman" w:hAnsi="Times New Roman" w:eastAsia="Times New Roman"/>
          <w:i/>
        </w:rPr>
        <w:t xml:space="preserve"> exp(</w:t>
      </w:r>
      <w:r>
        <w:rPr>
          <w:rFonts w:ascii="Times New Roman" w:hAnsi="Times New Roman" w:eastAsia="Times New Roman"/>
          <w:i/>
        </w:rPr>
        <w:t>v</w:t>
      </w:r>
      <w:r>
        <w:rPr>
          <w:rFonts w:ascii="Times New Roman" w:hAnsi="Times New Roman" w:eastAsia="Times New Roman"/>
          <w:i/>
          <w:vertAlign w:val="subscript"/>
        </w:rPr>
        <w:t>q</w:t>
      </w:r>
      <w:r>
        <w:rPr>
          <w:rFonts w:ascii="Times New Roman" w:hAnsi="Times New Roman" w:eastAsia="Times New Roman"/>
          <w:i/>
        </w:rPr>
        <w:t>(</w:t>
      </w:r>
      <w:r>
        <w:rPr>
          <w:rFonts w:ascii="Times New Roman" w:hAnsi="Times New Roman" w:eastAsia="Times New Roman"/>
          <w:i/>
        </w:rPr>
        <w:t>a</w:t>
      </w:r>
      <w:r>
        <w:rPr>
          <w:rFonts w:ascii="Times New Roman" w:hAnsi="Times New Roman" w:eastAsia="Times New Roman"/>
          <w:i/>
        </w:rPr>
        <w:t xml:space="preserve">)/ρ) ],    </w:t>
      </w:r>
      <w:r>
        <w:rPr>
          <w:rFonts w:ascii="Times New Roman" w:hAnsi="Times New Roman" w:eastAsia="Times New Roman"/>
          <w:i/>
        </w:rPr>
        <w:t>V</w:t>
      </w:r>
      <w:r>
        <w:rPr>
          <w:rFonts w:ascii="Times New Roman" w:hAnsi="Times New Roman" w:eastAsia="Times New Roman"/>
          <w:i/>
          <w:vertAlign w:val="subscript"/>
        </w:rPr>
        <w:t>r</w:t>
      </w:r>
      <w:r>
        <w:rPr>
          <w:rFonts w:ascii="Times New Roman" w:hAnsi="Times New Roman" w:eastAsia="Times New Roman"/>
          <w:i/>
          <w:vertAlign w:val="superscript"/>
        </w:rPr>
        <w:t>q</w:t>
      </w:r>
      <w:r>
        <w:rPr>
          <w:rFonts w:ascii="Times New Roman" w:hAnsi="Times New Roman" w:eastAsia="Times New Roman"/>
          <w:i/>
        </w:rPr>
        <w:t>(</w:t>
      </w:r>
      <w:r>
        <w:rPr>
          <w:rFonts w:ascii="Times New Roman" w:hAnsi="Times New Roman" w:eastAsia="Times New Roman"/>
          <w:i/>
        </w:rPr>
        <w:t>S</w:t>
      </w:r>
      <w:r>
        <w:rPr>
          <w:rFonts w:ascii="Times New Roman" w:hAnsi="Times New Roman" w:eastAsia="Times New Roman"/>
          <w:i/>
        </w:rPr>
        <w:t xml:space="preserve">, </w:t>
      </w:r>
      <w:r>
        <w:rPr>
          <w:rFonts w:ascii="Times New Roman" w:hAnsi="Times New Roman" w:eastAsia="Times New Roman"/>
          <w:i/>
        </w:rPr>
        <w:t>p</w:t>
      </w:r>
      <w:r>
        <w:rPr>
          <w:rFonts w:ascii="Times New Roman" w:hAnsi="Times New Roman" w:eastAsia="Times New Roman"/>
          <w:i/>
          <w:vertAlign w:val="subscript"/>
        </w:rPr>
        <w:t>r</w:t>
      </w:r>
      <w:r>
        <w:rPr>
          <w:rFonts w:ascii="Times New Roman" w:hAnsi="Times New Roman" w:eastAsia="Times New Roman"/>
          <w:i/>
        </w:rPr>
        <w:t>) = Σ</w:t>
      </w:r>
      <w:r>
        <w:rPr>
          <w:rFonts w:ascii="Times New Roman" w:hAnsi="Times New Roman" w:eastAsia="Times New Roman"/>
          <w:i/>
          <w:vertAlign w:val="subscript"/>
        </w:rPr>
        <w:t>a</w:t>
      </w:r>
      <w:r>
        <w:rPr>
          <w:rFonts w:ascii="Times New Roman" w:hAnsi="Times New Roman" w:eastAsia="Times New Roman"/>
          <w:i/>
        </w:rPr>
        <w:t xml:space="preserve"> σ</w:t>
      </w:r>
      <w:r>
        <w:rPr>
          <w:rFonts w:ascii="Times New Roman" w:hAnsi="Times New Roman" w:eastAsia="Times New Roman"/>
          <w:i/>
          <w:vertAlign w:val="subscript"/>
        </w:rPr>
        <w:t>q</w:t>
      </w:r>
      <w:r>
        <w:rPr>
          <w:rFonts w:ascii="Times New Roman" w:hAnsi="Times New Roman" w:eastAsia="Times New Roman"/>
          <w:i/>
        </w:rPr>
        <w:t>(</w:t>
      </w:r>
      <w:r>
        <w:rPr>
          <w:rFonts w:ascii="Times New Roman" w:hAnsi="Times New Roman" w:eastAsia="Times New Roman"/>
          <w:i/>
        </w:rPr>
        <w:t>a</w:t>
      </w:r>
      <w:r>
        <w:rPr>
          <w:rFonts w:ascii="Times New Roman" w:hAnsi="Times New Roman" w:eastAsia="Times New Roman"/>
          <w:i/>
        </w:rPr>
        <w:t xml:space="preserve"> | </w:t>
      </w:r>
      <w:r>
        <w:rPr>
          <w:rFonts w:ascii="Times New Roman" w:hAnsi="Times New Roman" w:eastAsia="Times New Roman"/>
          <w:i/>
        </w:rPr>
        <w:t>S</w:t>
      </w:r>
      <w:r>
        <w:rPr>
          <w:rFonts w:ascii="Times New Roman" w:hAnsi="Times New Roman" w:eastAsia="Times New Roman"/>
          <w:i/>
        </w:rPr>
        <w:t xml:space="preserve">, </w:t>
      </w:r>
      <w:r>
        <w:rPr>
          <w:rFonts w:ascii="Times New Roman" w:hAnsi="Times New Roman" w:eastAsia="Times New Roman"/>
          <w:i/>
        </w:rPr>
        <w:t>p</w:t>
      </w:r>
      <w:r>
        <w:rPr>
          <w:rFonts w:ascii="Times New Roman" w:hAnsi="Times New Roman" w:eastAsia="Times New Roman"/>
          <w:i/>
          <w:vertAlign w:val="subscript"/>
        </w:rPr>
        <w:t>r</w:t>
      </w:r>
      <w:r>
        <w:rPr>
          <w:rFonts w:ascii="Times New Roman" w:hAnsi="Times New Roman" w:eastAsia="Times New Roman"/>
          <w:i/>
        </w:rPr>
        <w:t>) [ Π</w:t>
      </w:r>
      <w:r>
        <w:rPr>
          <w:rFonts w:ascii="Times New Roman" w:hAnsi="Times New Roman" w:eastAsia="Times New Roman"/>
          <w:i/>
          <w:vertAlign w:val="subscript"/>
        </w:rPr>
        <w:t>r</w:t>
      </w:r>
      <w:r>
        <w:rPr>
          <w:rFonts w:ascii="Times New Roman" w:hAnsi="Times New Roman" w:eastAsia="Times New Roman"/>
          <w:i/>
        </w:rPr>
        <w:t>(</w:t>
      </w:r>
      <w:r>
        <w:rPr>
          <w:rFonts w:ascii="Times New Roman" w:hAnsi="Times New Roman" w:eastAsia="Times New Roman"/>
          <w:i/>
        </w:rPr>
        <w:t>m</w:t>
      </w:r>
      <w:r>
        <w:rPr>
          <w:rFonts w:ascii="Times New Roman" w:hAnsi="Times New Roman" w:eastAsia="Times New Roman"/>
          <w:i/>
        </w:rPr>
        <w:t xml:space="preserve">, </w:t>
      </w:r>
      <w:r>
        <w:rPr>
          <w:rFonts w:ascii="Times New Roman" w:hAnsi="Times New Roman" w:eastAsia="Times New Roman"/>
          <w:i/>
        </w:rPr>
        <w:t>p</w:t>
      </w:r>
      <w:r>
        <w:rPr>
          <w:rFonts w:ascii="Times New Roman" w:hAnsi="Times New Roman" w:eastAsia="Times New Roman"/>
          <w:i/>
        </w:rPr>
        <w:t xml:space="preserve">, </w:t>
      </w:r>
      <w:r>
        <w:rPr>
          <w:rFonts w:ascii="Times New Roman" w:hAnsi="Times New Roman" w:eastAsia="Times New Roman"/>
          <w:i/>
        </w:rPr>
        <w:t>p</w:t>
      </w:r>
      <w:r>
        <w:rPr>
          <w:rFonts w:ascii="Times New Roman" w:hAnsi="Times New Roman" w:eastAsia="Times New Roman"/>
          <w:i/>
          <w:vertAlign w:val="subscript"/>
        </w:rPr>
        <w:t>r</w:t>
      </w:r>
      <w:r>
        <w:rPr>
          <w:rFonts w:ascii="Times New Roman" w:hAnsi="Times New Roman" w:eastAsia="Times New Roman"/>
          <w:i/>
        </w:rPr>
        <w:t>) + β Σ</w:t>
      </w:r>
      <w:r>
        <w:rPr>
          <w:rFonts w:ascii="Times New Roman" w:hAnsi="Times New Roman" w:eastAsia="Times New Roman"/>
          <w:i/>
          <w:vertAlign w:val="subscript"/>
        </w:rPr>
        <w:t>λ′</w:t>
      </w:r>
      <w:r>
        <w:rPr>
          <w:rFonts w:ascii="Times New Roman" w:hAnsi="Times New Roman" w:eastAsia="Times New Roman"/>
          <w:i/>
        </w:rPr>
        <w:t xml:space="preserve"> </w:t>
      </w:r>
      <w:r>
        <w:rPr>
          <w:rFonts w:ascii="Times New Roman" w:hAnsi="Times New Roman" w:eastAsia="Times New Roman"/>
          <w:i/>
        </w:rPr>
        <w:t>P</w:t>
      </w:r>
      <w:r>
        <w:rPr>
          <w:rFonts w:ascii="Times New Roman" w:hAnsi="Times New Roman" w:eastAsia="Times New Roman"/>
          <w:i/>
          <w:vertAlign w:val="subscript"/>
        </w:rPr>
        <w:t>λ</w:t>
      </w:r>
      <w:r>
        <w:rPr>
          <w:rFonts w:ascii="Times New Roman" w:hAnsi="Times New Roman" w:eastAsia="Times New Roman"/>
          <w:i/>
        </w:rPr>
        <w:t xml:space="preserve">(λ′ | λ) </w:t>
      </w:r>
      <w:r>
        <w:rPr>
          <w:rFonts w:ascii="Times New Roman" w:hAnsi="Times New Roman" w:eastAsia="Times New Roman"/>
          <w:i/>
        </w:rPr>
        <w:t>V</w:t>
      </w:r>
      <w:r>
        <w:rPr>
          <w:rFonts w:ascii="Times New Roman" w:hAnsi="Times New Roman" w:eastAsia="Times New Roman"/>
          <w:i/>
          <w:vertAlign w:val="subscript"/>
        </w:rPr>
        <w:t>r</w:t>
      </w:r>
      <w:r>
        <w:rPr>
          <w:rFonts w:ascii="Times New Roman" w:hAnsi="Times New Roman" w:eastAsia="Times New Roman"/>
          <w:i/>
          <w:vertAlign w:val="superscript"/>
        </w:rPr>
        <w:t>r</w:t>
      </w:r>
      <w:r>
        <w:rPr>
          <w:rFonts w:ascii="Times New Roman" w:hAnsi="Times New Roman" w:eastAsia="Times New Roman"/>
          <w:i/>
        </w:rPr>
        <w:t>(</w:t>
      </w:r>
      <w:r>
        <w:rPr>
          <w:rFonts w:ascii="Times New Roman" w:hAnsi="Times New Roman" w:eastAsia="Times New Roman"/>
          <w:i/>
        </w:rPr>
        <w:t>m</w:t>
      </w:r>
      <w:r>
        <w:rPr>
          <w:rFonts w:ascii="Times New Roman" w:hAnsi="Times New Roman" w:eastAsia="Times New Roman"/>
          <w:i/>
        </w:rPr>
        <w:t xml:space="preserve">′, λ′, </w:t>
      </w:r>
      <w:r>
        <w:rPr>
          <w:rFonts w:ascii="Times New Roman" w:hAnsi="Times New Roman" w:eastAsia="Times New Roman"/>
          <w:i/>
        </w:rPr>
        <w:t>p</w:t>
      </w:r>
      <w:r>
        <w:rPr>
          <w:rFonts w:ascii="Times New Roman" w:hAnsi="Times New Roman" w:eastAsia="Times New Roman"/>
          <w:i/>
        </w:rPr>
        <w:t>) ],</w:t>
      </w:r>
      <w:r>
        <w:rPr>
          <w:rFonts w:ascii="Times New Roman" w:hAnsi="Times New Roman"/>
        </w:rPr>
        <w:tab/>
        <w:t>(8)</w:t>
      </w:r>
    </w:p>
    <w:p>
      <w:pPr>
        <w:spacing w:line="480" w:lineRule="auto" w:after="0"/>
        <w:ind w:firstLine="720"/>
        <w:jc w:val="left"/>
      </w:pPr>
      <w:r>
        <w:rPr>
          <w:rFonts w:ascii="Times New Roman" w:hAnsi="Times New Roman" w:eastAsia="Times New Roman"/>
        </w:rPr>
        <w:t xml:space="preserve">where </w:t>
      </w:r>
      <w:r>
        <w:rPr>
          <w:rFonts w:ascii="Times New Roman" w:hAnsi="Times New Roman" w:eastAsia="Times New Roman"/>
          <w:i/>
        </w:rPr>
        <w:t>V</w:t>
      </w:r>
      <w:r>
        <w:rPr>
          <w:rFonts w:ascii="Times New Roman" w:hAnsi="Times New Roman" w:eastAsia="Times New Roman"/>
          <w:vertAlign w:val="subscript"/>
        </w:rPr>
        <w:t>i</w:t>
      </w:r>
      <w:r>
        <w:rPr>
          <w:rFonts w:ascii="Times New Roman" w:hAnsi="Times New Roman" w:eastAsia="Times New Roman"/>
          <w:vertAlign w:val="superscript"/>
        </w:rPr>
        <w:t>s</w:t>
      </w:r>
      <w:r>
        <w:rPr>
          <w:rFonts w:ascii="Times New Roman" w:hAnsi="Times New Roman" w:eastAsia="Times New Roman"/>
        </w:rPr>
        <w:t xml:space="preserve"> is the value to firm </w:t>
      </w:r>
      <w:r>
        <w:rPr>
          <w:rFonts w:ascii="Times New Roman" w:hAnsi="Times New Roman" w:eastAsia="Times New Roman"/>
          <w:i/>
        </w:rPr>
        <w:t>i</w:t>
      </w:r>
      <w:r>
        <w:rPr>
          <w:rFonts w:ascii="Times New Roman" w:hAnsi="Times New Roman" w:eastAsia="Times New Roman"/>
        </w:rPr>
        <w:t xml:space="preserve"> when firm </w:t>
      </w:r>
      <w:r>
        <w:rPr>
          <w:rFonts w:ascii="Times New Roman" w:hAnsi="Times New Roman" w:eastAsia="Times New Roman"/>
          <w:i/>
        </w:rPr>
        <w:t>s</w:t>
      </w:r>
      <w:r>
        <w:rPr>
          <w:rFonts w:ascii="Times New Roman" w:hAnsi="Times New Roman" w:eastAsia="Times New Roman"/>
        </w:rPr>
        <w:t xml:space="preserve"> is about to move and </w:t>
      </w:r>
      <w:r>
        <w:rPr>
          <w:rFonts w:ascii="Times New Roman" w:hAnsi="Times New Roman" w:eastAsia="Times New Roman"/>
          <w:i/>
        </w:rPr>
        <w:t>m</w:t>
      </w:r>
      <w:r>
        <w:rPr>
          <w:rFonts w:ascii="Times New Roman" w:hAnsi="Times New Roman" w:eastAsia="Times New Roman"/>
        </w:rPr>
        <w:t>′ reflects the mover’s capacity action. Two features of this protocol matter for interpretation. Prices are now committed, which softens competition by itself, and each firm adjusts capacity only every second period, which changes the pace of investment. We do not separate these effects.</w:t>
      </w:r>
    </w:p>
    <w:p>
      <w:pPr>
        <w:spacing w:line="480" w:lineRule="auto" w:after="0"/>
        <w:ind w:firstLine="720"/>
        <w:jc w:val="left"/>
      </w:pPr>
      <w:r>
        <w:rPr>
          <w:rFonts w:ascii="Times New Roman" w:hAnsi="Times New Roman" w:eastAsia="Times New Roman"/>
        </w:rPr>
        <w:t>The equilibrium operator in (7) and (8) is not a contraction, and plain value iteration converges to a unique outcome only for large payoff noise. At ρ = 2 it converges, to the same outcome, from all nine starting points we tried; for smaller ρ it cycles. We therefore use two routes. For the fixed-capacity analysis, the game has only 96 unknowns, and we track the equilibrium from ρ = 4 down to ρ = 0.1 by Newton continuation. For the joint game with capacity, we report ρ = 2 and compare it with simultaneous pricing at the same ρ and the same eight-point price grid (0.4 to 1.5).</w:t>
      </w:r>
    </w:p>
    <w:p>
      <w:pPr>
        <w:keepNext/>
        <w:spacing w:line="480" w:lineRule="auto"/>
      </w:pPr>
      <w:r>
        <w:rPr>
          <w:rFonts w:ascii="Times New Roman" w:hAnsi="Times New Roman" w:eastAsia="Times New Roman"/>
          <w:b/>
          <w:i/>
        </w:rPr>
        <w:t>7.2 Fixed capacities: Edgeworth cycles</w:t>
      </w:r>
    </w:p>
    <w:p>
      <w:pPr>
        <w:spacing w:line="480" w:lineRule="auto" w:after="0"/>
        <w:ind w:firstLine="720"/>
        <w:jc w:val="left"/>
      </w:pPr>
      <w:r>
        <w:rPr>
          <w:rFonts w:ascii="Times New Roman" w:hAnsi="Times New Roman" w:eastAsia="Times New Roman"/>
        </w:rPr>
        <w:t>Holding capacities fixed isolates the pricing dynamics. Figure 3 plots the equilibrium path in which each mover plays its most likely price, at ρ = 0.1, with the demand regime held fixed. With scarce capacity (one node each) and medium demand, both firms post the reservation price in every period, as in Proposition 2. With ample capacity (three nodes each) and medium demand, the path is an Edgeworth cycle. The firms undercut each other one grid step at a time, from 1.50 down to 0.87; then one firm undercuts to the floor price of 0.40, and the rival restores the price to 1.50, after which undercutting resumes. The cycle lasts six moves. With ample capacity and high demand, both firms stay at the floor price and no cycle appears. We have no closed-form account of why the cycle disappears at high demand, and we report it as a numerical finding.</w:t>
      </w:r>
    </w:p>
    <w:p>
      <w:pPr>
        <w:jc w:val="center"/>
      </w:pPr>
      <w:r>
        <w:drawing>
          <wp:inline xmlns:a="http://schemas.openxmlformats.org/drawingml/2006/main" xmlns:pic="http://schemas.openxmlformats.org/drawingml/2006/picture">
            <wp:extent cx="5943600" cy="1744910"/>
            <wp:docPr id="3" name="Picture 3"/>
            <wp:cNvGraphicFramePr>
              <a:graphicFrameLocks noChangeAspect="1"/>
            </wp:cNvGraphicFramePr>
            <a:graphic>
              <a:graphicData uri="http://schemas.openxmlformats.org/drawingml/2006/picture">
                <pic:pic>
                  <pic:nvPicPr>
                    <pic:cNvPr id="0" name="edgeworth_cycle.png"/>
                    <pic:cNvPicPr/>
                  </pic:nvPicPr>
                  <pic:blipFill>
                    <a:blip r:embed="rId12"/>
                    <a:stretch>
                      <a:fillRect/>
                    </a:stretch>
                  </pic:blipFill>
                  <pic:spPr>
                    <a:xfrm>
                      <a:off x="0" y="0"/>
                      <a:ext cx="5943600" cy="1744910"/>
                    </a:xfrm>
                    <a:prstGeom prst="rect"/>
                  </pic:spPr>
                </pic:pic>
              </a:graphicData>
            </a:graphic>
          </wp:inline>
        </w:drawing>
      </w:r>
    </w:p>
    <w:p>
      <w:pPr>
        <w:keepNext/>
        <w:spacing w:after="80"/>
      </w:pPr>
      <w:r>
        <w:rPr>
          <w:rFonts w:ascii="Times New Roman" w:hAnsi="Times New Roman" w:eastAsia="Times New Roman"/>
          <w:b/>
          <w:sz w:val="22"/>
        </w:rPr>
        <w:t>Figure 3.</w:t>
      </w:r>
      <w:r>
        <w:rPr>
          <w:rFonts w:ascii="Times New Roman" w:hAnsi="Times New Roman" w:eastAsia="Times New Roman"/>
          <w:sz w:val="22"/>
        </w:rPr>
        <w:t xml:space="preserve"> Equilibrium price paths under alternating moves at fixed capacities, ρ = 0.1. Each firm’s price stays in force until its next move. Demand regime is held fixed.</w:t>
      </w:r>
    </w:p>
    <w:p>
      <w:pPr>
        <w:keepNext/>
        <w:spacing w:after="80"/>
      </w:pPr>
      <w:r>
        <w:rPr>
          <w:rFonts w:ascii="Times New Roman" w:hAnsi="Times New Roman" w:eastAsia="Times New Roman"/>
          <w:b/>
          <w:sz w:val="22"/>
        </w:rPr>
        <w:t>Table 6.</w:t>
      </w:r>
      <w:r>
        <w:rPr>
          <w:rFonts w:ascii="Times New Roman" w:hAnsi="Times New Roman" w:eastAsia="Times New Roman"/>
          <w:sz w:val="22"/>
        </w:rPr>
        <w:t xml:space="preserve"> Dynamic (alternating-move) versus simultaneous-move pricing at fixed capacities.</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440"/>
            <w:tcBorders>
              <w:top w:val="single" w:sz="8" w:space="0" w:color="000000"/>
              <w:bottom w:val="single" w:sz="8" w:space="0" w:color="000000"/>
            </w:tcBorders>
          </w:tcPr>
          <w:p>
            <w:pPr>
              <w:jc w:val="left"/>
            </w:pPr>
            <w:r/>
            <w:r>
              <w:rPr>
                <w:rFonts w:ascii="Times New Roman" w:hAnsi="Times New Roman" w:eastAsia="Times New Roman"/>
                <w:b/>
                <w:sz w:val="16"/>
              </w:rPr>
              <w:t>Nodes (</w:t>
            </w:r>
            <w:r>
              <w:rPr>
                <w:rFonts w:ascii="Times New Roman" w:hAnsi="Times New Roman" w:eastAsia="Times New Roman"/>
                <w:b/>
                <w:i/>
                <w:sz w:val="16"/>
              </w:rPr>
              <w:t>m</w:t>
            </w:r>
            <w:r>
              <w:rPr>
                <w:rFonts w:ascii="Times New Roman" w:hAnsi="Times New Roman" w:eastAsia="Times New Roman"/>
                <w:b/>
                <w:sz w:val="16"/>
                <w:vertAlign w:val="subscript"/>
              </w:rPr>
              <w:t>A</w:t>
            </w:r>
            <w:r>
              <w:rPr>
                <w:rFonts w:ascii="Times New Roman" w:hAnsi="Times New Roman" w:eastAsia="Times New Roman"/>
                <w:b/>
                <w:sz w:val="16"/>
              </w:rPr>
              <w:t xml:space="preserve">, </w:t>
            </w:r>
            <w:r>
              <w:rPr>
                <w:rFonts w:ascii="Times New Roman" w:hAnsi="Times New Roman" w:eastAsia="Times New Roman"/>
                <w:b/>
                <w:i/>
                <w:sz w:val="16"/>
              </w:rPr>
              <w:t>m</w:t>
            </w:r>
            <w:r>
              <w:rPr>
                <w:rFonts w:ascii="Times New Roman" w:hAnsi="Times New Roman" w:eastAsia="Times New Roman"/>
                <w:b/>
                <w:sz w:val="16"/>
                <w:vertAlign w:val="subscript"/>
              </w:rPr>
              <w:t>B</w:t>
            </w:r>
            <w:r>
              <w:rPr>
                <w:rFonts w:ascii="Times New Roman" w:hAnsi="Times New Roman" w:eastAsia="Times New Roman"/>
                <w:b/>
                <w:sz w:val="16"/>
              </w:rPr>
              <w:t>)</w:t>
            </w:r>
          </w:p>
        </w:tc>
        <w:tc>
          <w:tcPr>
            <w:tcW w:type="dxa" w:w="576"/>
            <w:tcBorders>
              <w:top w:val="single" w:sz="8" w:space="0" w:color="000000"/>
              <w:bottom w:val="single" w:sz="8" w:space="0" w:color="000000"/>
            </w:tcBorders>
          </w:tcPr>
          <w:p>
            <w:pPr>
              <w:jc w:val="center"/>
            </w:pPr>
            <w:r/>
            <w:r>
              <w:rPr>
                <w:rFonts w:ascii="Times New Roman" w:hAnsi="Times New Roman" w:eastAsia="Times New Roman"/>
                <w:b/>
                <w:sz w:val="16"/>
              </w:rPr>
              <w:t>ρ</w:t>
            </w:r>
          </w:p>
        </w:tc>
        <w:tc>
          <w:tcPr>
            <w:tcW w:type="dxa" w:w="1152"/>
            <w:tcBorders>
              <w:top w:val="single" w:sz="8" w:space="0" w:color="000000"/>
              <w:bottom w:val="single" w:sz="8" w:space="0" w:color="000000"/>
            </w:tcBorders>
          </w:tcPr>
          <w:p>
            <w:pPr>
              <w:jc w:val="center"/>
            </w:pPr>
            <w:r/>
            <w:r>
              <w:rPr>
                <w:rFonts w:ascii="Times New Roman" w:hAnsi="Times New Roman" w:eastAsia="Times New Roman"/>
                <w:b/>
                <w:sz w:val="16"/>
              </w:rPr>
              <w:t>Avg. price: dynamic</w:t>
            </w:r>
          </w:p>
        </w:tc>
        <w:tc>
          <w:tcPr>
            <w:tcW w:type="dxa" w:w="1152"/>
            <w:tcBorders>
              <w:top w:val="single" w:sz="8" w:space="0" w:color="000000"/>
              <w:bottom w:val="single" w:sz="8" w:space="0" w:color="000000"/>
            </w:tcBorders>
          </w:tcPr>
          <w:p>
            <w:pPr>
              <w:jc w:val="center"/>
            </w:pPr>
            <w:r/>
            <w:r>
              <w:rPr>
                <w:rFonts w:ascii="Times New Roman" w:hAnsi="Times New Roman" w:eastAsia="Times New Roman"/>
                <w:b/>
                <w:sz w:val="16"/>
              </w:rPr>
              <w:t>Avg. price: simult.</w:t>
            </w:r>
          </w:p>
        </w:tc>
        <w:tc>
          <w:tcPr>
            <w:tcW w:type="dxa" w:w="1080"/>
            <w:tcBorders>
              <w:top w:val="single" w:sz="8" w:space="0" w:color="000000"/>
              <w:bottom w:val="single" w:sz="8" w:space="0" w:color="000000"/>
            </w:tcBorders>
          </w:tcPr>
          <w:p>
            <w:pPr>
              <w:jc w:val="center"/>
            </w:pPr>
            <w:r/>
            <w:r>
              <w:rPr>
                <w:rFonts w:ascii="Times New Roman" w:hAnsi="Times New Roman" w:eastAsia="Times New Roman"/>
                <w:b/>
                <w:sz w:val="16"/>
              </w:rPr>
              <w:t>Profit: dynamic</w:t>
            </w:r>
          </w:p>
        </w:tc>
        <w:tc>
          <w:tcPr>
            <w:tcW w:type="dxa" w:w="1080"/>
            <w:tcBorders>
              <w:top w:val="single" w:sz="8" w:space="0" w:color="000000"/>
              <w:bottom w:val="single" w:sz="8" w:space="0" w:color="000000"/>
            </w:tcBorders>
          </w:tcPr>
          <w:p>
            <w:pPr>
              <w:jc w:val="center"/>
            </w:pPr>
            <w:r/>
            <w:r>
              <w:rPr>
                <w:rFonts w:ascii="Times New Roman" w:hAnsi="Times New Roman" w:eastAsia="Times New Roman"/>
                <w:b/>
                <w:sz w:val="16"/>
              </w:rPr>
              <w:t>Profit: simult.</w:t>
            </w:r>
          </w:p>
        </w:tc>
        <w:tc>
          <w:tcPr>
            <w:tcW w:type="dxa" w:w="1224"/>
            <w:tcBorders>
              <w:top w:val="single" w:sz="8" w:space="0" w:color="000000"/>
              <w:bottom w:val="single" w:sz="8" w:space="0" w:color="000000"/>
            </w:tcBorders>
          </w:tcPr>
          <w:p>
            <w:pPr>
              <w:jc w:val="center"/>
            </w:pPr>
            <w:r/>
            <w:r>
              <w:rPr>
                <w:rFonts w:ascii="Times New Roman" w:hAnsi="Times New Roman" w:eastAsia="Times New Roman"/>
                <w:b/>
                <w:sz w:val="16"/>
              </w:rPr>
              <w:t>Cons. surplus: dynamic</w:t>
            </w:r>
          </w:p>
        </w:tc>
        <w:tc>
          <w:tcPr>
            <w:tcW w:type="dxa" w:w="1224"/>
            <w:tcBorders>
              <w:top w:val="single" w:sz="8" w:space="0" w:color="000000"/>
              <w:bottom w:val="single" w:sz="8" w:space="0" w:color="000000"/>
            </w:tcBorders>
          </w:tcPr>
          <w:p>
            <w:pPr>
              <w:jc w:val="center"/>
            </w:pPr>
            <w:r/>
            <w:r>
              <w:rPr>
                <w:rFonts w:ascii="Times New Roman" w:hAnsi="Times New Roman" w:eastAsia="Times New Roman"/>
                <w:b/>
                <w:sz w:val="16"/>
              </w:rPr>
              <w:t>Cons. surplus: simult.</w:t>
            </w:r>
          </w:p>
        </w:tc>
      </w:tr>
      <w:tr>
        <w:tc>
          <w:tcPr>
            <w:tcW w:type="dxa" w:w="1440"/>
          </w:tcPr>
          <w:p>
            <w:pPr>
              <w:jc w:val="left"/>
            </w:pPr>
            <w:r/>
            <w:r>
              <w:rPr>
                <w:rFonts w:ascii="Times New Roman" w:hAnsi="Times New Roman" w:eastAsia="Times New Roman"/>
                <w:sz w:val="16"/>
              </w:rPr>
              <w:t>(1, 1)</w:t>
            </w:r>
          </w:p>
        </w:tc>
        <w:tc>
          <w:tcPr>
            <w:tcW w:type="dxa" w:w="576"/>
          </w:tcPr>
          <w:p>
            <w:pPr>
              <w:jc w:val="center"/>
            </w:pPr>
            <w:r/>
            <w:r>
              <w:rPr>
                <w:rFonts w:ascii="Times New Roman" w:hAnsi="Times New Roman" w:eastAsia="Times New Roman"/>
                <w:sz w:val="16"/>
              </w:rPr>
              <w:t>1.0</w:t>
            </w:r>
          </w:p>
        </w:tc>
        <w:tc>
          <w:tcPr>
            <w:tcW w:type="dxa" w:w="1152"/>
          </w:tcPr>
          <w:p>
            <w:pPr>
              <w:jc w:val="center"/>
            </w:pPr>
            <w:r/>
            <w:r>
              <w:rPr>
                <w:rFonts w:ascii="Times New Roman" w:hAnsi="Times New Roman" w:eastAsia="Times New Roman"/>
                <w:sz w:val="16"/>
              </w:rPr>
              <w:t>1.41</w:t>
            </w:r>
          </w:p>
        </w:tc>
        <w:tc>
          <w:tcPr>
            <w:tcW w:type="dxa" w:w="1152"/>
          </w:tcPr>
          <w:p>
            <w:pPr>
              <w:jc w:val="center"/>
            </w:pPr>
            <w:r/>
            <w:r>
              <w:rPr>
                <w:rFonts w:ascii="Times New Roman" w:hAnsi="Times New Roman" w:eastAsia="Times New Roman"/>
                <w:sz w:val="16"/>
              </w:rPr>
              <w:t>1.35</w:t>
            </w:r>
          </w:p>
        </w:tc>
        <w:tc>
          <w:tcPr>
            <w:tcW w:type="dxa" w:w="1080"/>
          </w:tcPr>
          <w:p>
            <w:pPr>
              <w:jc w:val="center"/>
            </w:pPr>
            <w:r/>
            <w:r>
              <w:rPr>
                <w:rFonts w:ascii="Times New Roman" w:hAnsi="Times New Roman" w:eastAsia="Times New Roman"/>
                <w:sz w:val="16"/>
              </w:rPr>
              <w:t>18.02</w:t>
            </w:r>
          </w:p>
        </w:tc>
        <w:tc>
          <w:tcPr>
            <w:tcW w:type="dxa" w:w="1080"/>
          </w:tcPr>
          <w:p>
            <w:pPr>
              <w:jc w:val="center"/>
            </w:pPr>
            <w:r/>
            <w:r>
              <w:rPr>
                <w:rFonts w:ascii="Times New Roman" w:hAnsi="Times New Roman" w:eastAsia="Times New Roman"/>
                <w:sz w:val="16"/>
              </w:rPr>
              <w:t>16.77</w:t>
            </w:r>
          </w:p>
        </w:tc>
        <w:tc>
          <w:tcPr>
            <w:tcW w:type="dxa" w:w="1224"/>
          </w:tcPr>
          <w:p>
            <w:pPr>
              <w:jc w:val="center"/>
            </w:pPr>
            <w:r/>
            <w:r>
              <w:rPr>
                <w:rFonts w:ascii="Times New Roman" w:hAnsi="Times New Roman" w:eastAsia="Times New Roman"/>
                <w:sz w:val="16"/>
              </w:rPr>
              <w:t>1.87</w:t>
            </w:r>
          </w:p>
        </w:tc>
        <w:tc>
          <w:tcPr>
            <w:tcW w:type="dxa" w:w="1224"/>
          </w:tcPr>
          <w:p>
            <w:pPr>
              <w:jc w:val="center"/>
            </w:pPr>
            <w:r/>
            <w:r>
              <w:rPr>
                <w:rFonts w:ascii="Times New Roman" w:hAnsi="Times New Roman" w:eastAsia="Times New Roman"/>
                <w:sz w:val="16"/>
              </w:rPr>
              <w:t>3.16</w:t>
            </w:r>
          </w:p>
        </w:tc>
      </w:tr>
      <w:tr>
        <w:tc>
          <w:tcPr>
            <w:tcW w:type="dxa" w:w="1440"/>
          </w:tcPr>
          <w:p>
            <w:pPr>
              <w:jc w:val="left"/>
            </w:pPr>
            <w:r/>
            <w:r>
              <w:rPr>
                <w:rFonts w:ascii="Times New Roman" w:hAnsi="Times New Roman" w:eastAsia="Times New Roman"/>
                <w:sz w:val="16"/>
              </w:rPr>
              <w:t>(2, 2)</w:t>
            </w:r>
          </w:p>
        </w:tc>
        <w:tc>
          <w:tcPr>
            <w:tcW w:type="dxa" w:w="576"/>
          </w:tcPr>
          <w:p>
            <w:pPr>
              <w:jc w:val="center"/>
            </w:pPr>
            <w:r/>
            <w:r>
              <w:rPr>
                <w:rFonts w:ascii="Times New Roman" w:hAnsi="Times New Roman" w:eastAsia="Times New Roman"/>
                <w:sz w:val="16"/>
              </w:rPr>
              <w:t>1.0</w:t>
            </w:r>
          </w:p>
        </w:tc>
        <w:tc>
          <w:tcPr>
            <w:tcW w:type="dxa" w:w="1152"/>
          </w:tcPr>
          <w:p>
            <w:pPr>
              <w:jc w:val="center"/>
            </w:pPr>
            <w:r/>
            <w:r>
              <w:rPr>
                <w:rFonts w:ascii="Times New Roman" w:hAnsi="Times New Roman" w:eastAsia="Times New Roman"/>
                <w:sz w:val="16"/>
              </w:rPr>
              <w:t>1.27</w:t>
            </w:r>
          </w:p>
        </w:tc>
        <w:tc>
          <w:tcPr>
            <w:tcW w:type="dxa" w:w="1152"/>
          </w:tcPr>
          <w:p>
            <w:pPr>
              <w:jc w:val="center"/>
            </w:pPr>
            <w:r/>
            <w:r>
              <w:rPr>
                <w:rFonts w:ascii="Times New Roman" w:hAnsi="Times New Roman" w:eastAsia="Times New Roman"/>
                <w:sz w:val="16"/>
              </w:rPr>
              <w:t>0.92</w:t>
            </w:r>
          </w:p>
        </w:tc>
        <w:tc>
          <w:tcPr>
            <w:tcW w:type="dxa" w:w="1080"/>
          </w:tcPr>
          <w:p>
            <w:pPr>
              <w:jc w:val="center"/>
            </w:pPr>
            <w:r/>
            <w:r>
              <w:rPr>
                <w:rFonts w:ascii="Times New Roman" w:hAnsi="Times New Roman" w:eastAsia="Times New Roman"/>
                <w:sz w:val="16"/>
              </w:rPr>
              <w:t>16.23</w:t>
            </w:r>
          </w:p>
        </w:tc>
        <w:tc>
          <w:tcPr>
            <w:tcW w:type="dxa" w:w="1080"/>
          </w:tcPr>
          <w:p>
            <w:pPr>
              <w:jc w:val="center"/>
            </w:pPr>
            <w:r/>
            <w:r>
              <w:rPr>
                <w:rFonts w:ascii="Times New Roman" w:hAnsi="Times New Roman" w:eastAsia="Times New Roman"/>
                <w:sz w:val="16"/>
              </w:rPr>
              <w:t>6.90</w:t>
            </w:r>
          </w:p>
        </w:tc>
        <w:tc>
          <w:tcPr>
            <w:tcW w:type="dxa" w:w="1224"/>
          </w:tcPr>
          <w:p>
            <w:pPr>
              <w:jc w:val="center"/>
            </w:pPr>
            <w:r/>
            <w:r>
              <w:rPr>
                <w:rFonts w:ascii="Times New Roman" w:hAnsi="Times New Roman" w:eastAsia="Times New Roman"/>
                <w:sz w:val="16"/>
              </w:rPr>
              <w:t>5.83</w:t>
            </w:r>
          </w:p>
        </w:tc>
        <w:tc>
          <w:tcPr>
            <w:tcW w:type="dxa" w:w="1224"/>
          </w:tcPr>
          <w:p>
            <w:pPr>
              <w:jc w:val="center"/>
            </w:pPr>
            <w:r/>
            <w:r>
              <w:rPr>
                <w:rFonts w:ascii="Times New Roman" w:hAnsi="Times New Roman" w:eastAsia="Times New Roman"/>
                <w:sz w:val="16"/>
              </w:rPr>
              <w:t>14.73</w:t>
            </w:r>
          </w:p>
        </w:tc>
      </w:tr>
      <w:tr>
        <w:tc>
          <w:tcPr>
            <w:tcW w:type="dxa" w:w="1440"/>
          </w:tcPr>
          <w:p>
            <w:pPr>
              <w:jc w:val="left"/>
            </w:pPr>
            <w:r/>
            <w:r>
              <w:rPr>
                <w:rFonts w:ascii="Times New Roman" w:hAnsi="Times New Roman" w:eastAsia="Times New Roman"/>
                <w:sz w:val="16"/>
              </w:rPr>
              <w:t>(3, 3)</w:t>
            </w:r>
          </w:p>
        </w:tc>
        <w:tc>
          <w:tcPr>
            <w:tcW w:type="dxa" w:w="576"/>
          </w:tcPr>
          <w:p>
            <w:pPr>
              <w:jc w:val="center"/>
            </w:pPr>
            <w:r/>
            <w:r>
              <w:rPr>
                <w:rFonts w:ascii="Times New Roman" w:hAnsi="Times New Roman" w:eastAsia="Times New Roman"/>
                <w:sz w:val="16"/>
              </w:rPr>
              <w:t>1.0</w:t>
            </w:r>
          </w:p>
        </w:tc>
        <w:tc>
          <w:tcPr>
            <w:tcW w:type="dxa" w:w="1152"/>
          </w:tcPr>
          <w:p>
            <w:pPr>
              <w:jc w:val="center"/>
            </w:pPr>
            <w:r/>
            <w:r>
              <w:rPr>
                <w:rFonts w:ascii="Times New Roman" w:hAnsi="Times New Roman" w:eastAsia="Times New Roman"/>
                <w:sz w:val="16"/>
              </w:rPr>
              <w:t>0.95</w:t>
            </w:r>
          </w:p>
        </w:tc>
        <w:tc>
          <w:tcPr>
            <w:tcW w:type="dxa" w:w="1152"/>
          </w:tcPr>
          <w:p>
            <w:pPr>
              <w:jc w:val="center"/>
            </w:pPr>
            <w:r/>
            <w:r>
              <w:rPr>
                <w:rFonts w:ascii="Times New Roman" w:hAnsi="Times New Roman" w:eastAsia="Times New Roman"/>
                <w:sz w:val="16"/>
              </w:rPr>
              <w:t>0.53</w:t>
            </w:r>
          </w:p>
        </w:tc>
        <w:tc>
          <w:tcPr>
            <w:tcW w:type="dxa" w:w="1080"/>
          </w:tcPr>
          <w:p>
            <w:pPr>
              <w:jc w:val="center"/>
            </w:pPr>
            <w:r/>
            <w:r>
              <w:rPr>
                <w:rFonts w:ascii="Times New Roman" w:hAnsi="Times New Roman" w:eastAsia="Times New Roman"/>
                <w:sz w:val="16"/>
              </w:rPr>
              <w:t>4.56</w:t>
            </w:r>
          </w:p>
        </w:tc>
        <w:tc>
          <w:tcPr>
            <w:tcW w:type="dxa" w:w="1080"/>
          </w:tcPr>
          <w:p>
            <w:pPr>
              <w:jc w:val="center"/>
            </w:pPr>
            <w:r/>
            <w:r>
              <w:rPr>
                <w:rFonts w:ascii="Times New Roman" w:hAnsi="Times New Roman" w:eastAsia="Times New Roman"/>
                <w:sz w:val="16"/>
              </w:rPr>
              <w:t>-6.05</w:t>
            </w:r>
          </w:p>
        </w:tc>
        <w:tc>
          <w:tcPr>
            <w:tcW w:type="dxa" w:w="1224"/>
          </w:tcPr>
          <w:p>
            <w:pPr>
              <w:jc w:val="center"/>
            </w:pPr>
            <w:r/>
            <w:r>
              <w:rPr>
                <w:rFonts w:ascii="Times New Roman" w:hAnsi="Times New Roman" w:eastAsia="Times New Roman"/>
                <w:sz w:val="16"/>
              </w:rPr>
              <w:t>13.86</w:t>
            </w:r>
          </w:p>
        </w:tc>
        <w:tc>
          <w:tcPr>
            <w:tcW w:type="dxa" w:w="1224"/>
          </w:tcPr>
          <w:p>
            <w:pPr>
              <w:jc w:val="center"/>
            </w:pPr>
            <w:r/>
            <w:r>
              <w:rPr>
                <w:rFonts w:ascii="Times New Roman" w:hAnsi="Times New Roman" w:eastAsia="Times New Roman"/>
                <w:sz w:val="16"/>
              </w:rPr>
              <w:t>24.46</w:t>
            </w:r>
          </w:p>
        </w:tc>
      </w:tr>
      <w:tr>
        <w:tc>
          <w:tcPr>
            <w:tcW w:type="dxa" w:w="1440"/>
          </w:tcPr>
          <w:p>
            <w:pPr>
              <w:jc w:val="left"/>
            </w:pPr>
            <w:r/>
            <w:r>
              <w:rPr>
                <w:rFonts w:ascii="Times New Roman" w:hAnsi="Times New Roman" w:eastAsia="Times New Roman"/>
                <w:sz w:val="16"/>
              </w:rPr>
              <w:t>(1, 3)</w:t>
            </w:r>
          </w:p>
        </w:tc>
        <w:tc>
          <w:tcPr>
            <w:tcW w:type="dxa" w:w="576"/>
          </w:tcPr>
          <w:p>
            <w:pPr>
              <w:jc w:val="center"/>
            </w:pPr>
            <w:r/>
            <w:r>
              <w:rPr>
                <w:rFonts w:ascii="Times New Roman" w:hAnsi="Times New Roman" w:eastAsia="Times New Roman"/>
                <w:sz w:val="16"/>
              </w:rPr>
              <w:t>1.0</w:t>
            </w:r>
          </w:p>
        </w:tc>
        <w:tc>
          <w:tcPr>
            <w:tcW w:type="dxa" w:w="1152"/>
          </w:tcPr>
          <w:p>
            <w:pPr>
              <w:jc w:val="center"/>
            </w:pPr>
            <w:r/>
            <w:r>
              <w:rPr>
                <w:rFonts w:ascii="Times New Roman" w:hAnsi="Times New Roman" w:eastAsia="Times New Roman"/>
                <w:sz w:val="16"/>
              </w:rPr>
              <w:t>1.29</w:t>
            </w:r>
          </w:p>
        </w:tc>
        <w:tc>
          <w:tcPr>
            <w:tcW w:type="dxa" w:w="1152"/>
          </w:tcPr>
          <w:p>
            <w:pPr>
              <w:jc w:val="center"/>
            </w:pPr>
            <w:r/>
            <w:r>
              <w:rPr>
                <w:rFonts w:ascii="Times New Roman" w:hAnsi="Times New Roman" w:eastAsia="Times New Roman"/>
                <w:sz w:val="16"/>
              </w:rPr>
              <w:t>1.13</w:t>
            </w:r>
          </w:p>
        </w:tc>
        <w:tc>
          <w:tcPr>
            <w:tcW w:type="dxa" w:w="1080"/>
          </w:tcPr>
          <w:p>
            <w:pPr>
              <w:jc w:val="center"/>
            </w:pPr>
            <w:r/>
            <w:r>
              <w:rPr>
                <w:rFonts w:ascii="Times New Roman" w:hAnsi="Times New Roman" w:eastAsia="Times New Roman"/>
                <w:sz w:val="16"/>
              </w:rPr>
              <w:t>15.33</w:t>
            </w:r>
          </w:p>
        </w:tc>
        <w:tc>
          <w:tcPr>
            <w:tcW w:type="dxa" w:w="1080"/>
          </w:tcPr>
          <w:p>
            <w:pPr>
              <w:jc w:val="center"/>
            </w:pPr>
            <w:r/>
            <w:r>
              <w:rPr>
                <w:rFonts w:ascii="Times New Roman" w:hAnsi="Times New Roman" w:eastAsia="Times New Roman"/>
                <w:sz w:val="16"/>
              </w:rPr>
              <w:t>11.45</w:t>
            </w:r>
          </w:p>
        </w:tc>
        <w:tc>
          <w:tcPr>
            <w:tcW w:type="dxa" w:w="1224"/>
          </w:tcPr>
          <w:p>
            <w:pPr>
              <w:jc w:val="center"/>
            </w:pPr>
            <w:r/>
            <w:r>
              <w:rPr>
                <w:rFonts w:ascii="Times New Roman" w:hAnsi="Times New Roman" w:eastAsia="Times New Roman"/>
                <w:sz w:val="16"/>
              </w:rPr>
              <w:t>5.36</w:t>
            </w:r>
          </w:p>
        </w:tc>
        <w:tc>
          <w:tcPr>
            <w:tcW w:type="dxa" w:w="1224"/>
          </w:tcPr>
          <w:p>
            <w:pPr>
              <w:jc w:val="center"/>
            </w:pPr>
            <w:r/>
            <w:r>
              <w:rPr>
                <w:rFonts w:ascii="Times New Roman" w:hAnsi="Times New Roman" w:eastAsia="Times New Roman"/>
                <w:sz w:val="16"/>
              </w:rPr>
              <w:t>9.37</w:t>
            </w:r>
          </w:p>
        </w:tc>
      </w:tr>
      <w:tr>
        <w:tc>
          <w:tcPr>
            <w:tcW w:type="dxa" w:w="1440"/>
          </w:tcPr>
          <w:p>
            <w:pPr>
              <w:jc w:val="left"/>
            </w:pPr>
            <w:r/>
            <w:r>
              <w:rPr>
                <w:rFonts w:ascii="Times New Roman" w:hAnsi="Times New Roman" w:eastAsia="Times New Roman"/>
                <w:sz w:val="16"/>
              </w:rPr>
              <w:t>(1, 1)</w:t>
            </w:r>
          </w:p>
        </w:tc>
        <w:tc>
          <w:tcPr>
            <w:tcW w:type="dxa" w:w="576"/>
          </w:tcPr>
          <w:p>
            <w:pPr>
              <w:jc w:val="center"/>
            </w:pPr>
            <w:r/>
            <w:r>
              <w:rPr>
                <w:rFonts w:ascii="Times New Roman" w:hAnsi="Times New Roman" w:eastAsia="Times New Roman"/>
                <w:sz w:val="16"/>
              </w:rPr>
              <w:t>0.1</w:t>
            </w:r>
          </w:p>
        </w:tc>
        <w:tc>
          <w:tcPr>
            <w:tcW w:type="dxa" w:w="1152"/>
          </w:tcPr>
          <w:p>
            <w:pPr>
              <w:jc w:val="center"/>
            </w:pPr>
            <w:r/>
            <w:r>
              <w:rPr>
                <w:rFonts w:ascii="Times New Roman" w:hAnsi="Times New Roman" w:eastAsia="Times New Roman"/>
                <w:sz w:val="16"/>
              </w:rPr>
              <w:t>1.41</w:t>
            </w:r>
          </w:p>
        </w:tc>
        <w:tc>
          <w:tcPr>
            <w:tcW w:type="dxa" w:w="1152"/>
          </w:tcPr>
          <w:p>
            <w:pPr>
              <w:jc w:val="center"/>
            </w:pPr>
            <w:r/>
            <w:r>
              <w:rPr>
                <w:rFonts w:ascii="Times New Roman" w:hAnsi="Times New Roman" w:eastAsia="Times New Roman"/>
                <w:sz w:val="16"/>
              </w:rPr>
              <w:t>1.32</w:t>
            </w:r>
          </w:p>
        </w:tc>
        <w:tc>
          <w:tcPr>
            <w:tcW w:type="dxa" w:w="1080"/>
          </w:tcPr>
          <w:p>
            <w:pPr>
              <w:jc w:val="center"/>
            </w:pPr>
            <w:r/>
            <w:r>
              <w:rPr>
                <w:rFonts w:ascii="Times New Roman" w:hAnsi="Times New Roman" w:eastAsia="Times New Roman"/>
                <w:sz w:val="16"/>
              </w:rPr>
              <w:t>17.91</w:t>
            </w:r>
          </w:p>
        </w:tc>
        <w:tc>
          <w:tcPr>
            <w:tcW w:type="dxa" w:w="1080"/>
          </w:tcPr>
          <w:p>
            <w:pPr>
              <w:jc w:val="center"/>
            </w:pPr>
            <w:r/>
            <w:r>
              <w:rPr>
                <w:rFonts w:ascii="Times New Roman" w:hAnsi="Times New Roman" w:eastAsia="Times New Roman"/>
                <w:sz w:val="16"/>
              </w:rPr>
              <w:t>16.43</w:t>
            </w:r>
          </w:p>
        </w:tc>
        <w:tc>
          <w:tcPr>
            <w:tcW w:type="dxa" w:w="1224"/>
          </w:tcPr>
          <w:p>
            <w:pPr>
              <w:jc w:val="center"/>
            </w:pPr>
            <w:r/>
            <w:r>
              <w:rPr>
                <w:rFonts w:ascii="Times New Roman" w:hAnsi="Times New Roman" w:eastAsia="Times New Roman"/>
                <w:sz w:val="16"/>
              </w:rPr>
              <w:t>1.97</w:t>
            </w:r>
          </w:p>
        </w:tc>
        <w:tc>
          <w:tcPr>
            <w:tcW w:type="dxa" w:w="1224"/>
          </w:tcPr>
          <w:p>
            <w:pPr>
              <w:jc w:val="center"/>
            </w:pPr>
            <w:r/>
            <w:r>
              <w:rPr>
                <w:rFonts w:ascii="Times New Roman" w:hAnsi="Times New Roman" w:eastAsia="Times New Roman"/>
                <w:sz w:val="16"/>
              </w:rPr>
              <w:t>3.77</w:t>
            </w:r>
          </w:p>
        </w:tc>
      </w:tr>
      <w:tr>
        <w:tc>
          <w:tcPr>
            <w:tcW w:type="dxa" w:w="1440"/>
          </w:tcPr>
          <w:p>
            <w:pPr>
              <w:jc w:val="left"/>
            </w:pPr>
            <w:r/>
            <w:r>
              <w:rPr>
                <w:rFonts w:ascii="Times New Roman" w:hAnsi="Times New Roman" w:eastAsia="Times New Roman"/>
                <w:sz w:val="16"/>
              </w:rPr>
              <w:t>(3, 3)</w:t>
            </w:r>
          </w:p>
        </w:tc>
        <w:tc>
          <w:tcPr>
            <w:tcW w:type="dxa" w:w="576"/>
          </w:tcPr>
          <w:p>
            <w:pPr>
              <w:jc w:val="center"/>
            </w:pPr>
            <w:r/>
            <w:r>
              <w:rPr>
                <w:rFonts w:ascii="Times New Roman" w:hAnsi="Times New Roman" w:eastAsia="Times New Roman"/>
                <w:sz w:val="16"/>
              </w:rPr>
              <w:t>0.1</w:t>
            </w:r>
          </w:p>
        </w:tc>
        <w:tc>
          <w:tcPr>
            <w:tcW w:type="dxa" w:w="1152"/>
          </w:tcPr>
          <w:p>
            <w:pPr>
              <w:jc w:val="center"/>
            </w:pPr>
            <w:r/>
            <w:r>
              <w:rPr>
                <w:rFonts w:ascii="Times New Roman" w:hAnsi="Times New Roman" w:eastAsia="Times New Roman"/>
                <w:sz w:val="16"/>
              </w:rPr>
              <w:t>0.95</w:t>
            </w:r>
          </w:p>
        </w:tc>
        <w:tc>
          <w:tcPr>
            <w:tcW w:type="dxa" w:w="1152"/>
          </w:tcPr>
          <w:p>
            <w:pPr>
              <w:jc w:val="center"/>
            </w:pPr>
            <w:r/>
            <w:r>
              <w:rPr>
                <w:rFonts w:ascii="Times New Roman" w:hAnsi="Times New Roman" w:eastAsia="Times New Roman"/>
                <w:sz w:val="16"/>
              </w:rPr>
              <w:t>0.54</w:t>
            </w:r>
          </w:p>
        </w:tc>
        <w:tc>
          <w:tcPr>
            <w:tcW w:type="dxa" w:w="1080"/>
          </w:tcPr>
          <w:p>
            <w:pPr>
              <w:jc w:val="center"/>
            </w:pPr>
            <w:r/>
            <w:r>
              <w:rPr>
                <w:rFonts w:ascii="Times New Roman" w:hAnsi="Times New Roman" w:eastAsia="Times New Roman"/>
                <w:sz w:val="16"/>
              </w:rPr>
              <w:t>4.36</w:t>
            </w:r>
          </w:p>
        </w:tc>
        <w:tc>
          <w:tcPr>
            <w:tcW w:type="dxa" w:w="1080"/>
          </w:tcPr>
          <w:p>
            <w:pPr>
              <w:jc w:val="center"/>
            </w:pPr>
            <w:r/>
            <w:r>
              <w:rPr>
                <w:rFonts w:ascii="Times New Roman" w:hAnsi="Times New Roman" w:eastAsia="Times New Roman"/>
                <w:sz w:val="16"/>
              </w:rPr>
              <w:t>-6.01</w:t>
            </w:r>
          </w:p>
        </w:tc>
        <w:tc>
          <w:tcPr>
            <w:tcW w:type="dxa" w:w="1224"/>
          </w:tcPr>
          <w:p>
            <w:pPr>
              <w:jc w:val="center"/>
            </w:pPr>
            <w:r/>
            <w:r>
              <w:rPr>
                <w:rFonts w:ascii="Times New Roman" w:hAnsi="Times New Roman" w:eastAsia="Times New Roman"/>
                <w:sz w:val="16"/>
              </w:rPr>
              <w:t>14.05</w:t>
            </w:r>
          </w:p>
        </w:tc>
        <w:tc>
          <w:tcPr>
            <w:tcW w:type="dxa" w:w="1224"/>
          </w:tcPr>
          <w:p>
            <w:pPr>
              <w:jc w:val="center"/>
            </w:pPr>
            <w:r/>
            <w:r>
              <w:rPr>
                <w:rFonts w:ascii="Times New Roman" w:hAnsi="Times New Roman" w:eastAsia="Times New Roman"/>
                <w:sz w:val="16"/>
              </w:rPr>
              <w:t>24.42</w:t>
            </w:r>
          </w:p>
        </w:tc>
      </w:tr>
      <w:tr>
        <w:tc>
          <w:tcPr>
            <w:tcW w:type="dxa" w:w="1440"/>
            <w:tcBorders>
              <w:bottom w:val="single" w:sz="8" w:space="0" w:color="000000"/>
            </w:tcBorders>
          </w:tcPr>
          <w:p>
            <w:pPr>
              <w:jc w:val="left"/>
            </w:pPr>
            <w:r/>
            <w:r>
              <w:rPr>
                <w:rFonts w:ascii="Times New Roman" w:hAnsi="Times New Roman" w:eastAsia="Times New Roman"/>
                <w:sz w:val="16"/>
              </w:rPr>
              <w:t>(1, 3)</w:t>
            </w:r>
          </w:p>
        </w:tc>
        <w:tc>
          <w:tcPr>
            <w:tcW w:type="dxa" w:w="576"/>
            <w:tcBorders>
              <w:bottom w:val="single" w:sz="8" w:space="0" w:color="000000"/>
            </w:tcBorders>
          </w:tcPr>
          <w:p>
            <w:pPr>
              <w:jc w:val="center"/>
            </w:pPr>
            <w:r/>
            <w:r>
              <w:rPr>
                <w:rFonts w:ascii="Times New Roman" w:hAnsi="Times New Roman" w:eastAsia="Times New Roman"/>
                <w:sz w:val="16"/>
              </w:rPr>
              <w:t>0.1</w:t>
            </w:r>
          </w:p>
        </w:tc>
        <w:tc>
          <w:tcPr>
            <w:tcW w:type="dxa" w:w="1152"/>
            <w:tcBorders>
              <w:bottom w:val="single" w:sz="8" w:space="0" w:color="000000"/>
            </w:tcBorders>
          </w:tcPr>
          <w:p>
            <w:pPr>
              <w:jc w:val="center"/>
            </w:pPr>
            <w:r/>
            <w:r>
              <w:rPr>
                <w:rFonts w:ascii="Times New Roman" w:hAnsi="Times New Roman" w:eastAsia="Times New Roman"/>
                <w:sz w:val="16"/>
              </w:rPr>
              <w:t>1.30</w:t>
            </w:r>
          </w:p>
        </w:tc>
        <w:tc>
          <w:tcPr>
            <w:tcW w:type="dxa" w:w="1152"/>
            <w:tcBorders>
              <w:bottom w:val="single" w:sz="8" w:space="0" w:color="000000"/>
            </w:tcBorders>
          </w:tcPr>
          <w:p>
            <w:pPr>
              <w:jc w:val="center"/>
            </w:pPr>
            <w:r/>
            <w:r>
              <w:rPr>
                <w:rFonts w:ascii="Times New Roman" w:hAnsi="Times New Roman" w:eastAsia="Times New Roman"/>
                <w:sz w:val="16"/>
              </w:rPr>
              <w:t>1.09</w:t>
            </w:r>
          </w:p>
        </w:tc>
        <w:tc>
          <w:tcPr>
            <w:tcW w:type="dxa" w:w="1080"/>
            <w:tcBorders>
              <w:bottom w:val="single" w:sz="8" w:space="0" w:color="000000"/>
            </w:tcBorders>
          </w:tcPr>
          <w:p>
            <w:pPr>
              <w:jc w:val="center"/>
            </w:pPr>
            <w:r/>
            <w:r>
              <w:rPr>
                <w:rFonts w:ascii="Times New Roman" w:hAnsi="Times New Roman" w:eastAsia="Times New Roman"/>
                <w:sz w:val="16"/>
              </w:rPr>
              <w:t>15.34</w:t>
            </w:r>
          </w:p>
        </w:tc>
        <w:tc>
          <w:tcPr>
            <w:tcW w:type="dxa" w:w="1080"/>
            <w:tcBorders>
              <w:bottom w:val="single" w:sz="8" w:space="0" w:color="000000"/>
            </w:tcBorders>
          </w:tcPr>
          <w:p>
            <w:pPr>
              <w:jc w:val="center"/>
            </w:pPr>
            <w:r/>
            <w:r>
              <w:rPr>
                <w:rFonts w:ascii="Times New Roman" w:hAnsi="Times New Roman" w:eastAsia="Times New Roman"/>
                <w:sz w:val="16"/>
              </w:rPr>
              <w:t>10.55</w:t>
            </w:r>
          </w:p>
        </w:tc>
        <w:tc>
          <w:tcPr>
            <w:tcW w:type="dxa" w:w="1224"/>
            <w:tcBorders>
              <w:bottom w:val="single" w:sz="8" w:space="0" w:color="000000"/>
            </w:tcBorders>
          </w:tcPr>
          <w:p>
            <w:pPr>
              <w:jc w:val="center"/>
            </w:pPr>
            <w:r/>
            <w:r>
              <w:rPr>
                <w:rFonts w:ascii="Times New Roman" w:hAnsi="Times New Roman" w:eastAsia="Times New Roman"/>
                <w:sz w:val="16"/>
              </w:rPr>
              <w:t>5.18</w:t>
            </w:r>
          </w:p>
        </w:tc>
        <w:tc>
          <w:tcPr>
            <w:tcW w:type="dxa" w:w="1224"/>
            <w:tcBorders>
              <w:bottom w:val="single" w:sz="8" w:space="0" w:color="000000"/>
            </w:tcBorders>
          </w:tcPr>
          <w:p>
            <w:pPr>
              <w:jc w:val="center"/>
            </w:pPr>
            <w:r/>
            <w:r>
              <w:rPr>
                <w:rFonts w:ascii="Times New Roman" w:hAnsi="Times New Roman" w:eastAsia="Times New Roman"/>
                <w:sz w:val="16"/>
              </w:rPr>
              <w:t>10.44</w:t>
            </w:r>
          </w:p>
        </w:tc>
      </w:tr>
    </w:tbl>
    <w:p>
      <w:pPr>
        <w:spacing w:after="240"/>
      </w:pPr>
      <w:r>
        <w:rPr>
          <w:rFonts w:ascii="Times New Roman" w:hAnsi="Times New Roman" w:eastAsia="Times New Roman"/>
          <w:sz w:val="20"/>
        </w:rPr>
        <w:t>Note. Averages are over the ergodic distribution of the demand regime and prices. Profit is industry profit net of node holding costs, which are 2 per node and so are 12 with three nodes each; negative profit for simultaneous pricing with ample capacity reflects those costs. The case (2, 2) did not converge below ρ ≈ 0.32 and is shown at ρ = 1 only.</w:t>
      </w:r>
    </w:p>
    <w:p>
      <w:pPr>
        <w:spacing w:line="480" w:lineRule="auto" w:after="0"/>
        <w:ind w:firstLine="720"/>
        <w:jc w:val="left"/>
      </w:pPr>
      <w:r>
        <w:rPr>
          <w:rFonts w:ascii="Times New Roman" w:hAnsi="Times New Roman" w:eastAsia="Times New Roman"/>
        </w:rPr>
        <w:t>Table 6 compares dynamic with simultaneous pricing at the same capacities and the same noise. The dynamic average price is higher at every capacity pair we solved. The gap is small when capacity is scarce (1.41 against 1.35 at one node each when ρ = 1), and it is largest when capacity is ample: with three nodes each the dynamic price is 0.95 against 0.54 under simultaneous pricing at ρ = 0.1. In the cycle, the mover prices below the rival in 60% of moves, matches it in 26%, and prices above it in 14%. Consumers are better off under simultaneous pricing at every capacity pair, and the industry is better off under dynamic pricing. In short, committing to a price for two periods softens price competition, and the softening is strongest where the static Bertrand logic would otherwise drive prices to cost.</w:t>
      </w:r>
    </w:p>
    <w:p>
      <w:pPr>
        <w:keepNext/>
        <w:spacing w:line="480" w:lineRule="auto"/>
      </w:pPr>
      <w:r>
        <w:rPr>
          <w:rFonts w:ascii="Times New Roman" w:hAnsi="Times New Roman" w:eastAsia="Times New Roman"/>
          <w:b/>
          <w:i/>
        </w:rPr>
        <w:t>7.3 Joint capacity and pricing</w:t>
      </w:r>
    </w:p>
    <w:p>
      <w:pPr>
        <w:spacing w:line="480" w:lineRule="auto" w:after="0"/>
        <w:ind w:firstLine="720"/>
        <w:jc w:val="left"/>
      </w:pPr>
      <w:r>
        <w:rPr>
          <w:rFonts w:ascii="Times New Roman" w:hAnsi="Times New Roman" w:eastAsia="Times New Roman"/>
        </w:rPr>
        <w:t>We now let each mover choose capacity as well. At ρ = 2 with the eight-point grid, the dynamic-pricing equilibrium is unique across all nine starting points. Mean installed capacity is 58.0 request-units, against 45.0–45.7 under simultaneous pricing (nine starts). The average price is 1.19 against 1.21–1.22, industry profit is 13.99 against 15.57–16.05, and consumer surplus is 7.82 against 7.10–7.43. Dynamic pricing therefore leads firms to hold close to one more node (12 to 13 request-units, against 15 per node) than they do under simultaneous pricing, and the extra capacity costs the industry profit while it slightly benefits consumers. The mechanism is consistent with the fixed-capacity results. The margins that survive in the cycles make a second node worth building even when both firms could serve the market, which weakens the capacity discipline that price competition imposes in the baseline.</w:t>
      </w:r>
    </w:p>
    <w:p>
      <w:pPr>
        <w:keepNext/>
        <w:spacing w:after="80"/>
      </w:pPr>
      <w:r>
        <w:rPr>
          <w:rFonts w:ascii="Times New Roman" w:hAnsi="Times New Roman" w:eastAsia="Times New Roman"/>
          <w:b/>
          <w:sz w:val="22"/>
        </w:rPr>
        <w:t>Table 7.</w:t>
      </w:r>
      <w:r>
        <w:rPr>
          <w:rFonts w:ascii="Times New Roman" w:hAnsi="Times New Roman" w:eastAsia="Times New Roman"/>
          <w:sz w:val="22"/>
        </w:rPr>
        <w:t xml:space="preserve"> Joint capacity and pricing: dynamic (alternating-move) versus simultaneous-move pricing (ρ = 2 unless varied).</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448"/>
            <w:tcBorders>
              <w:top w:val="single" w:sz="8" w:space="0" w:color="000000"/>
              <w:bottom w:val="single" w:sz="8" w:space="0" w:color="000000"/>
            </w:tcBorders>
          </w:tcPr>
          <w:p>
            <w:pPr>
              <w:jc w:val="left"/>
            </w:pPr>
            <w:r/>
            <w:r>
              <w:rPr>
                <w:rFonts w:ascii="Times New Roman" w:hAnsi="Times New Roman" w:eastAsia="Times New Roman"/>
                <w:b/>
                <w:sz w:val="16"/>
              </w:rPr>
              <w:t>Scenario</w:t>
            </w:r>
          </w:p>
        </w:tc>
        <w:tc>
          <w:tcPr>
            <w:tcW w:type="dxa" w:w="1224"/>
            <w:tcBorders>
              <w:top w:val="single" w:sz="8" w:space="0" w:color="000000"/>
              <w:bottom w:val="single" w:sz="8" w:space="0" w:color="000000"/>
            </w:tcBorders>
          </w:tcPr>
          <w:p>
            <w:pPr>
              <w:jc w:val="center"/>
            </w:pPr>
            <w:r/>
            <w:r>
              <w:rPr>
                <w:rFonts w:ascii="Times New Roman" w:hAnsi="Times New Roman" w:eastAsia="Times New Roman"/>
                <w:b/>
                <w:sz w:val="16"/>
              </w:rPr>
              <w:t>Capacity: dynamic</w:t>
            </w:r>
          </w:p>
        </w:tc>
        <w:tc>
          <w:tcPr>
            <w:tcW w:type="dxa" w:w="1224"/>
            <w:tcBorders>
              <w:top w:val="single" w:sz="8" w:space="0" w:color="000000"/>
              <w:bottom w:val="single" w:sz="8" w:space="0" w:color="000000"/>
            </w:tcBorders>
          </w:tcPr>
          <w:p>
            <w:pPr>
              <w:jc w:val="center"/>
            </w:pPr>
            <w:r/>
            <w:r>
              <w:rPr>
                <w:rFonts w:ascii="Times New Roman" w:hAnsi="Times New Roman" w:eastAsia="Times New Roman"/>
                <w:b/>
                <w:sz w:val="16"/>
              </w:rPr>
              <w:t>Capacity: simult.</w:t>
            </w:r>
          </w:p>
        </w:tc>
        <w:tc>
          <w:tcPr>
            <w:tcW w:type="dxa" w:w="1224"/>
            <w:tcBorders>
              <w:top w:val="single" w:sz="8" w:space="0" w:color="000000"/>
              <w:bottom w:val="single" w:sz="8" w:space="0" w:color="000000"/>
            </w:tcBorders>
          </w:tcPr>
          <w:p>
            <w:pPr>
              <w:jc w:val="center"/>
            </w:pPr>
            <w:r/>
            <w:r>
              <w:rPr>
                <w:rFonts w:ascii="Times New Roman" w:hAnsi="Times New Roman" w:eastAsia="Times New Roman"/>
                <w:b/>
                <w:sz w:val="16"/>
              </w:rPr>
              <w:t>Profit: dynamic</w:t>
            </w:r>
          </w:p>
        </w:tc>
        <w:tc>
          <w:tcPr>
            <w:tcW w:type="dxa" w:w="1224"/>
            <w:tcBorders>
              <w:top w:val="single" w:sz="8" w:space="0" w:color="000000"/>
              <w:bottom w:val="single" w:sz="8" w:space="0" w:color="000000"/>
            </w:tcBorders>
          </w:tcPr>
          <w:p>
            <w:pPr>
              <w:jc w:val="center"/>
            </w:pPr>
            <w:r/>
            <w:r>
              <w:rPr>
                <w:rFonts w:ascii="Times New Roman" w:hAnsi="Times New Roman" w:eastAsia="Times New Roman"/>
                <w:b/>
                <w:sz w:val="16"/>
              </w:rPr>
              <w:t>Profit: simult.</w:t>
            </w:r>
          </w:p>
        </w:tc>
        <w:tc>
          <w:tcPr>
            <w:tcW w:type="dxa" w:w="1296"/>
            <w:tcBorders>
              <w:top w:val="single" w:sz="8" w:space="0" w:color="000000"/>
              <w:bottom w:val="single" w:sz="8" w:space="0" w:color="000000"/>
            </w:tcBorders>
          </w:tcPr>
          <w:p>
            <w:pPr>
              <w:jc w:val="center"/>
            </w:pPr>
            <w:r/>
            <w:r>
              <w:rPr>
                <w:rFonts w:ascii="Times New Roman" w:hAnsi="Times New Roman" w:eastAsia="Times New Roman"/>
                <w:b/>
                <w:sz w:val="16"/>
              </w:rPr>
              <w:t>Cons. surplus: dynamic</w:t>
            </w:r>
          </w:p>
        </w:tc>
        <w:tc>
          <w:tcPr>
            <w:tcW w:type="dxa" w:w="1296"/>
            <w:tcBorders>
              <w:top w:val="single" w:sz="8" w:space="0" w:color="000000"/>
              <w:bottom w:val="single" w:sz="8" w:space="0" w:color="000000"/>
            </w:tcBorders>
          </w:tcPr>
          <w:p>
            <w:pPr>
              <w:jc w:val="center"/>
            </w:pPr>
            <w:r/>
            <w:r>
              <w:rPr>
                <w:rFonts w:ascii="Times New Roman" w:hAnsi="Times New Roman" w:eastAsia="Times New Roman"/>
                <w:b/>
                <w:sz w:val="16"/>
              </w:rPr>
              <w:t>Cons. surplus: simult.</w:t>
            </w:r>
          </w:p>
        </w:tc>
      </w:tr>
      <w:tr>
        <w:tc>
          <w:tcPr>
            <w:tcW w:type="dxa" w:w="2448"/>
          </w:tcPr>
          <w:p>
            <w:pPr>
              <w:jc w:val="left"/>
            </w:pPr>
            <w:r/>
            <w:r>
              <w:rPr>
                <w:rFonts w:ascii="Times New Roman" w:hAnsi="Times New Roman" w:eastAsia="Times New Roman"/>
                <w:sz w:val="16"/>
              </w:rPr>
              <w:t>base (ρ = 2, 8 prices)</w:t>
            </w:r>
          </w:p>
        </w:tc>
        <w:tc>
          <w:tcPr>
            <w:tcW w:type="dxa" w:w="1224"/>
          </w:tcPr>
          <w:p>
            <w:pPr>
              <w:jc w:val="center"/>
            </w:pPr>
            <w:r/>
            <w:r>
              <w:rPr>
                <w:rFonts w:ascii="Times New Roman" w:hAnsi="Times New Roman" w:eastAsia="Times New Roman"/>
                <w:sz w:val="16"/>
              </w:rPr>
              <w:t>58.0</w:t>
            </w:r>
          </w:p>
        </w:tc>
        <w:tc>
          <w:tcPr>
            <w:tcW w:type="dxa" w:w="1224"/>
          </w:tcPr>
          <w:p>
            <w:pPr>
              <w:jc w:val="center"/>
            </w:pPr>
            <w:r/>
            <w:r>
              <w:rPr>
                <w:rFonts w:ascii="Times New Roman" w:hAnsi="Times New Roman" w:eastAsia="Times New Roman"/>
                <w:sz w:val="16"/>
              </w:rPr>
              <w:t>45.0–45.7</w:t>
            </w:r>
          </w:p>
        </w:tc>
        <w:tc>
          <w:tcPr>
            <w:tcW w:type="dxa" w:w="1224"/>
          </w:tcPr>
          <w:p>
            <w:pPr>
              <w:jc w:val="center"/>
            </w:pPr>
            <w:r/>
            <w:r>
              <w:rPr>
                <w:rFonts w:ascii="Times New Roman" w:hAnsi="Times New Roman" w:eastAsia="Times New Roman"/>
                <w:sz w:val="16"/>
              </w:rPr>
              <w:t>14.0</w:t>
            </w:r>
          </w:p>
        </w:tc>
        <w:tc>
          <w:tcPr>
            <w:tcW w:type="dxa" w:w="1224"/>
          </w:tcPr>
          <w:p>
            <w:pPr>
              <w:jc w:val="center"/>
            </w:pPr>
            <w:r/>
            <w:r>
              <w:rPr>
                <w:rFonts w:ascii="Times New Roman" w:hAnsi="Times New Roman" w:eastAsia="Times New Roman"/>
                <w:sz w:val="16"/>
              </w:rPr>
              <w:t>15.6–16.1</w:t>
            </w:r>
          </w:p>
        </w:tc>
        <w:tc>
          <w:tcPr>
            <w:tcW w:type="dxa" w:w="1296"/>
          </w:tcPr>
          <w:p>
            <w:pPr>
              <w:jc w:val="center"/>
            </w:pPr>
            <w:r/>
            <w:r>
              <w:rPr>
                <w:rFonts w:ascii="Times New Roman" w:hAnsi="Times New Roman" w:eastAsia="Times New Roman"/>
                <w:sz w:val="16"/>
              </w:rPr>
              <w:t>7.8</w:t>
            </w:r>
          </w:p>
        </w:tc>
        <w:tc>
          <w:tcPr>
            <w:tcW w:type="dxa" w:w="1296"/>
          </w:tcPr>
          <w:p>
            <w:pPr>
              <w:jc w:val="center"/>
            </w:pPr>
            <w:r/>
            <w:r>
              <w:rPr>
                <w:rFonts w:ascii="Times New Roman" w:hAnsi="Times New Roman" w:eastAsia="Times New Roman"/>
                <w:sz w:val="16"/>
              </w:rPr>
              <w:t>7.1–7.4</w:t>
            </w:r>
          </w:p>
        </w:tc>
      </w:tr>
      <w:tr>
        <w:tc>
          <w:tcPr>
            <w:tcW w:type="dxa" w:w="2448"/>
          </w:tcPr>
          <w:p>
            <w:pPr>
              <w:jc w:val="left"/>
            </w:pPr>
            <w:r/>
            <w:r>
              <w:rPr>
                <w:rFonts w:ascii="Times New Roman" w:hAnsi="Times New Roman" w:eastAsia="Times New Roman"/>
                <w:sz w:val="16"/>
              </w:rPr>
              <w:t>ρ = 3</w:t>
            </w:r>
          </w:p>
        </w:tc>
        <w:tc>
          <w:tcPr>
            <w:tcW w:type="dxa" w:w="1224"/>
          </w:tcPr>
          <w:p>
            <w:pPr>
              <w:jc w:val="center"/>
            </w:pPr>
            <w:r/>
            <w:r>
              <w:rPr>
                <w:rFonts w:ascii="Times New Roman" w:hAnsi="Times New Roman" w:eastAsia="Times New Roman"/>
                <w:sz w:val="16"/>
              </w:rPr>
              <w:t>55.9</w:t>
            </w:r>
          </w:p>
        </w:tc>
        <w:tc>
          <w:tcPr>
            <w:tcW w:type="dxa" w:w="1224"/>
          </w:tcPr>
          <w:p>
            <w:pPr>
              <w:jc w:val="center"/>
            </w:pPr>
            <w:r/>
            <w:r>
              <w:rPr>
                <w:rFonts w:ascii="Times New Roman" w:hAnsi="Times New Roman" w:eastAsia="Times New Roman"/>
                <w:sz w:val="16"/>
              </w:rPr>
              <w:t>53.7</w:t>
            </w:r>
          </w:p>
        </w:tc>
        <w:tc>
          <w:tcPr>
            <w:tcW w:type="dxa" w:w="1224"/>
          </w:tcPr>
          <w:p>
            <w:pPr>
              <w:jc w:val="center"/>
            </w:pPr>
            <w:r/>
            <w:r>
              <w:rPr>
                <w:rFonts w:ascii="Times New Roman" w:hAnsi="Times New Roman" w:eastAsia="Times New Roman"/>
                <w:sz w:val="16"/>
              </w:rPr>
              <w:t>13.4</w:t>
            </w:r>
          </w:p>
        </w:tc>
        <w:tc>
          <w:tcPr>
            <w:tcW w:type="dxa" w:w="1224"/>
          </w:tcPr>
          <w:p>
            <w:pPr>
              <w:jc w:val="center"/>
            </w:pPr>
            <w:r/>
            <w:r>
              <w:rPr>
                <w:rFonts w:ascii="Times New Roman" w:hAnsi="Times New Roman" w:eastAsia="Times New Roman"/>
                <w:sz w:val="16"/>
              </w:rPr>
              <w:t>10.4</w:t>
            </w:r>
          </w:p>
        </w:tc>
        <w:tc>
          <w:tcPr>
            <w:tcW w:type="dxa" w:w="1296"/>
          </w:tcPr>
          <w:p>
            <w:pPr>
              <w:jc w:val="center"/>
            </w:pPr>
            <w:r/>
            <w:r>
              <w:rPr>
                <w:rFonts w:ascii="Times New Roman" w:hAnsi="Times New Roman" w:eastAsia="Times New Roman"/>
                <w:sz w:val="16"/>
              </w:rPr>
              <w:t>8.2</w:t>
            </w:r>
          </w:p>
        </w:tc>
        <w:tc>
          <w:tcPr>
            <w:tcW w:type="dxa" w:w="1296"/>
          </w:tcPr>
          <w:p>
            <w:pPr>
              <w:jc w:val="center"/>
            </w:pPr>
            <w:r/>
            <w:r>
              <w:rPr>
                <w:rFonts w:ascii="Times New Roman" w:hAnsi="Times New Roman" w:eastAsia="Times New Roman"/>
                <w:sz w:val="16"/>
              </w:rPr>
              <w:t>11.0</w:t>
            </w:r>
          </w:p>
        </w:tc>
      </w:tr>
      <w:tr>
        <w:tc>
          <w:tcPr>
            <w:tcW w:type="dxa" w:w="2448"/>
          </w:tcPr>
          <w:p>
            <w:pPr>
              <w:jc w:val="left"/>
            </w:pPr>
            <w:r/>
            <w:r>
              <w:rPr>
                <w:rFonts w:ascii="Times New Roman" w:hAnsi="Times New Roman" w:eastAsia="Times New Roman"/>
                <w:sz w:val="16"/>
              </w:rPr>
              <w:t>ρ = 1.7*</w:t>
            </w:r>
          </w:p>
        </w:tc>
        <w:tc>
          <w:tcPr>
            <w:tcW w:type="dxa" w:w="1224"/>
          </w:tcPr>
          <w:p>
            <w:pPr>
              <w:jc w:val="center"/>
            </w:pPr>
            <w:r/>
            <w:r>
              <w:rPr>
                <w:rFonts w:ascii="Times New Roman" w:hAnsi="Times New Roman" w:eastAsia="Times New Roman"/>
                <w:sz w:val="16"/>
              </w:rPr>
              <w:t>58.9–59.1</w:t>
            </w:r>
          </w:p>
        </w:tc>
        <w:tc>
          <w:tcPr>
            <w:tcW w:type="dxa" w:w="1224"/>
          </w:tcPr>
          <w:p>
            <w:pPr>
              <w:jc w:val="center"/>
            </w:pPr>
            <w:r/>
            <w:r>
              <w:rPr>
                <w:rFonts w:ascii="Times New Roman" w:hAnsi="Times New Roman" w:eastAsia="Times New Roman"/>
                <w:sz w:val="16"/>
              </w:rPr>
              <w:t>45.0–45.1</w:t>
            </w:r>
          </w:p>
        </w:tc>
        <w:tc>
          <w:tcPr>
            <w:tcW w:type="dxa" w:w="1224"/>
          </w:tcPr>
          <w:p>
            <w:pPr>
              <w:jc w:val="center"/>
            </w:pPr>
            <w:r/>
            <w:r>
              <w:rPr>
                <w:rFonts w:ascii="Times New Roman" w:hAnsi="Times New Roman" w:eastAsia="Times New Roman"/>
                <w:sz w:val="16"/>
              </w:rPr>
              <w:t>14.1–14.2</w:t>
            </w:r>
          </w:p>
        </w:tc>
        <w:tc>
          <w:tcPr>
            <w:tcW w:type="dxa" w:w="1224"/>
          </w:tcPr>
          <w:p>
            <w:pPr>
              <w:jc w:val="center"/>
            </w:pPr>
            <w:r/>
            <w:r>
              <w:rPr>
                <w:rFonts w:ascii="Times New Roman" w:hAnsi="Times New Roman" w:eastAsia="Times New Roman"/>
                <w:sz w:val="16"/>
              </w:rPr>
              <w:t>16.1</w:t>
            </w:r>
          </w:p>
        </w:tc>
        <w:tc>
          <w:tcPr>
            <w:tcW w:type="dxa" w:w="1296"/>
          </w:tcPr>
          <w:p>
            <w:pPr>
              <w:jc w:val="center"/>
            </w:pPr>
            <w:r/>
            <w:r>
              <w:rPr>
                <w:rFonts w:ascii="Times New Roman" w:hAnsi="Times New Roman" w:eastAsia="Times New Roman"/>
                <w:sz w:val="16"/>
              </w:rPr>
              <w:t>7.7</w:t>
            </w:r>
          </w:p>
        </w:tc>
        <w:tc>
          <w:tcPr>
            <w:tcW w:type="dxa" w:w="1296"/>
          </w:tcPr>
          <w:p>
            <w:pPr>
              <w:jc w:val="center"/>
            </w:pPr>
            <w:r/>
            <w:r>
              <w:rPr>
                <w:rFonts w:ascii="Times New Roman" w:hAnsi="Times New Roman" w:eastAsia="Times New Roman"/>
                <w:sz w:val="16"/>
              </w:rPr>
              <w:t>7.1</w:t>
            </w:r>
          </w:p>
        </w:tc>
      </w:tr>
      <w:tr>
        <w:tc>
          <w:tcPr>
            <w:tcW w:type="dxa" w:w="2448"/>
          </w:tcPr>
          <w:p>
            <w:pPr>
              <w:jc w:val="left"/>
            </w:pPr>
            <w:r/>
            <w:r>
              <w:rPr>
                <w:rFonts w:ascii="Times New Roman" w:hAnsi="Times New Roman" w:eastAsia="Times New Roman"/>
                <w:i/>
                <w:sz w:val="16"/>
              </w:rPr>
              <w:t>c</w:t>
            </w:r>
            <w:r>
              <w:rPr>
                <w:rFonts w:ascii="Times New Roman" w:hAnsi="Times New Roman" w:eastAsia="Times New Roman"/>
                <w:sz w:val="16"/>
              </w:rPr>
              <w:t xml:space="preserve"> = 0.1*</w:t>
            </w:r>
          </w:p>
        </w:tc>
        <w:tc>
          <w:tcPr>
            <w:tcW w:type="dxa" w:w="1224"/>
          </w:tcPr>
          <w:p>
            <w:pPr>
              <w:jc w:val="center"/>
            </w:pPr>
            <w:r/>
            <w:r>
              <w:rPr>
                <w:rFonts w:ascii="Times New Roman" w:hAnsi="Times New Roman" w:eastAsia="Times New Roman"/>
                <w:sz w:val="16"/>
              </w:rPr>
              <w:t>58.3–59.3</w:t>
            </w:r>
          </w:p>
        </w:tc>
        <w:tc>
          <w:tcPr>
            <w:tcW w:type="dxa" w:w="1224"/>
          </w:tcPr>
          <w:p>
            <w:pPr>
              <w:jc w:val="center"/>
            </w:pPr>
            <w:r/>
            <w:r>
              <w:rPr>
                <w:rFonts w:ascii="Times New Roman" w:hAnsi="Times New Roman" w:eastAsia="Times New Roman"/>
                <w:sz w:val="16"/>
              </w:rPr>
              <w:t>45.0–45.4</w:t>
            </w:r>
          </w:p>
        </w:tc>
        <w:tc>
          <w:tcPr>
            <w:tcW w:type="dxa" w:w="1224"/>
          </w:tcPr>
          <w:p>
            <w:pPr>
              <w:jc w:val="center"/>
            </w:pPr>
            <w:r/>
            <w:r>
              <w:rPr>
                <w:rFonts w:ascii="Times New Roman" w:hAnsi="Times New Roman" w:eastAsia="Times New Roman"/>
                <w:sz w:val="16"/>
              </w:rPr>
              <w:t>18.0–18.4</w:t>
            </w:r>
          </w:p>
        </w:tc>
        <w:tc>
          <w:tcPr>
            <w:tcW w:type="dxa" w:w="1224"/>
          </w:tcPr>
          <w:p>
            <w:pPr>
              <w:jc w:val="center"/>
            </w:pPr>
            <w:r/>
            <w:r>
              <w:rPr>
                <w:rFonts w:ascii="Times New Roman" w:hAnsi="Times New Roman" w:eastAsia="Times New Roman"/>
                <w:sz w:val="16"/>
              </w:rPr>
              <w:t>19.7–20.0</w:t>
            </w:r>
          </w:p>
        </w:tc>
        <w:tc>
          <w:tcPr>
            <w:tcW w:type="dxa" w:w="1296"/>
          </w:tcPr>
          <w:p>
            <w:pPr>
              <w:jc w:val="center"/>
            </w:pPr>
            <w:r/>
            <w:r>
              <w:rPr>
                <w:rFonts w:ascii="Times New Roman" w:hAnsi="Times New Roman" w:eastAsia="Times New Roman"/>
                <w:sz w:val="16"/>
              </w:rPr>
              <w:t>8.4–8.9</w:t>
            </w:r>
          </w:p>
        </w:tc>
        <w:tc>
          <w:tcPr>
            <w:tcW w:type="dxa" w:w="1296"/>
          </w:tcPr>
          <w:p>
            <w:pPr>
              <w:jc w:val="center"/>
            </w:pPr>
            <w:r/>
            <w:r>
              <w:rPr>
                <w:rFonts w:ascii="Times New Roman" w:hAnsi="Times New Roman" w:eastAsia="Times New Roman"/>
                <w:sz w:val="16"/>
              </w:rPr>
              <w:t>8.2–8.4</w:t>
            </w:r>
          </w:p>
        </w:tc>
      </w:tr>
      <w:tr>
        <w:tc>
          <w:tcPr>
            <w:tcW w:type="dxa" w:w="2448"/>
          </w:tcPr>
          <w:p>
            <w:pPr>
              <w:jc w:val="left"/>
            </w:pPr>
            <w:r/>
            <w:r>
              <w:rPr>
                <w:rFonts w:ascii="Times New Roman" w:hAnsi="Times New Roman" w:eastAsia="Times New Roman"/>
                <w:i/>
                <w:sz w:val="16"/>
              </w:rPr>
              <w:t>c</w:t>
            </w:r>
            <w:r>
              <w:rPr>
                <w:rFonts w:ascii="Times New Roman" w:hAnsi="Times New Roman" w:eastAsia="Times New Roman"/>
                <w:sz w:val="16"/>
              </w:rPr>
              <w:t xml:space="preserve"> = 0.2*</w:t>
            </w:r>
          </w:p>
        </w:tc>
        <w:tc>
          <w:tcPr>
            <w:tcW w:type="dxa" w:w="1224"/>
          </w:tcPr>
          <w:p>
            <w:pPr>
              <w:jc w:val="center"/>
            </w:pPr>
            <w:r/>
            <w:r>
              <w:rPr>
                <w:rFonts w:ascii="Times New Roman" w:hAnsi="Times New Roman" w:eastAsia="Times New Roman"/>
                <w:sz w:val="16"/>
              </w:rPr>
              <w:t>57.7–58.4</w:t>
            </w:r>
          </w:p>
        </w:tc>
        <w:tc>
          <w:tcPr>
            <w:tcW w:type="dxa" w:w="1224"/>
          </w:tcPr>
          <w:p>
            <w:pPr>
              <w:jc w:val="center"/>
            </w:pPr>
            <w:r/>
            <w:r>
              <w:rPr>
                <w:rFonts w:ascii="Times New Roman" w:hAnsi="Times New Roman" w:eastAsia="Times New Roman"/>
                <w:sz w:val="16"/>
              </w:rPr>
              <w:t>45.0–45.5</w:t>
            </w:r>
          </w:p>
        </w:tc>
        <w:tc>
          <w:tcPr>
            <w:tcW w:type="dxa" w:w="1224"/>
          </w:tcPr>
          <w:p>
            <w:pPr>
              <w:jc w:val="center"/>
            </w:pPr>
            <w:r/>
            <w:r>
              <w:rPr>
                <w:rFonts w:ascii="Times New Roman" w:hAnsi="Times New Roman" w:eastAsia="Times New Roman"/>
                <w:sz w:val="16"/>
              </w:rPr>
              <w:t>16.2</w:t>
            </w:r>
          </w:p>
        </w:tc>
        <w:tc>
          <w:tcPr>
            <w:tcW w:type="dxa" w:w="1224"/>
          </w:tcPr>
          <w:p>
            <w:pPr>
              <w:jc w:val="center"/>
            </w:pPr>
            <w:r/>
            <w:r>
              <w:rPr>
                <w:rFonts w:ascii="Times New Roman" w:hAnsi="Times New Roman" w:eastAsia="Times New Roman"/>
                <w:sz w:val="16"/>
              </w:rPr>
              <w:t>17.6–18.0</w:t>
            </w:r>
          </w:p>
        </w:tc>
        <w:tc>
          <w:tcPr>
            <w:tcW w:type="dxa" w:w="1296"/>
          </w:tcPr>
          <w:p>
            <w:pPr>
              <w:jc w:val="center"/>
            </w:pPr>
            <w:r/>
            <w:r>
              <w:rPr>
                <w:rFonts w:ascii="Times New Roman" w:hAnsi="Times New Roman" w:eastAsia="Times New Roman"/>
                <w:sz w:val="16"/>
              </w:rPr>
              <w:t>8.1–8.2</w:t>
            </w:r>
          </w:p>
        </w:tc>
        <w:tc>
          <w:tcPr>
            <w:tcW w:type="dxa" w:w="1296"/>
          </w:tcPr>
          <w:p>
            <w:pPr>
              <w:jc w:val="center"/>
            </w:pPr>
            <w:r/>
            <w:r>
              <w:rPr>
                <w:rFonts w:ascii="Times New Roman" w:hAnsi="Times New Roman" w:eastAsia="Times New Roman"/>
                <w:sz w:val="16"/>
              </w:rPr>
              <w:t>7.7–7.9</w:t>
            </w:r>
          </w:p>
        </w:tc>
      </w:tr>
      <w:tr>
        <w:tc>
          <w:tcPr>
            <w:tcW w:type="dxa" w:w="2448"/>
          </w:tcPr>
          <w:p>
            <w:pPr>
              <w:jc w:val="left"/>
            </w:pPr>
            <w:r/>
            <w:r>
              <w:rPr>
                <w:rFonts w:ascii="Times New Roman" w:hAnsi="Times New Roman" w:eastAsia="Times New Roman"/>
                <w:i/>
                <w:sz w:val="16"/>
              </w:rPr>
              <w:t>c</w:t>
            </w:r>
            <w:r>
              <w:rPr>
                <w:rFonts w:ascii="Times New Roman" w:hAnsi="Times New Roman" w:eastAsia="Times New Roman"/>
                <w:sz w:val="16"/>
              </w:rPr>
              <w:t xml:space="preserve"> = 0.4</w:t>
            </w:r>
          </w:p>
        </w:tc>
        <w:tc>
          <w:tcPr>
            <w:tcW w:type="dxa" w:w="1224"/>
          </w:tcPr>
          <w:p>
            <w:pPr>
              <w:jc w:val="center"/>
            </w:pPr>
            <w:r/>
            <w:r>
              <w:rPr>
                <w:rFonts w:ascii="Times New Roman" w:hAnsi="Times New Roman" w:eastAsia="Times New Roman"/>
                <w:sz w:val="16"/>
              </w:rPr>
              <w:t>57.3</w:t>
            </w:r>
          </w:p>
        </w:tc>
        <w:tc>
          <w:tcPr>
            <w:tcW w:type="dxa" w:w="1224"/>
          </w:tcPr>
          <w:p>
            <w:pPr>
              <w:jc w:val="center"/>
            </w:pPr>
            <w:r/>
            <w:r>
              <w:rPr>
                <w:rFonts w:ascii="Times New Roman" w:hAnsi="Times New Roman" w:eastAsia="Times New Roman"/>
                <w:sz w:val="16"/>
              </w:rPr>
              <w:t>45.0–45.8</w:t>
            </w:r>
          </w:p>
        </w:tc>
        <w:tc>
          <w:tcPr>
            <w:tcW w:type="dxa" w:w="1224"/>
          </w:tcPr>
          <w:p>
            <w:pPr>
              <w:jc w:val="center"/>
            </w:pPr>
            <w:r/>
            <w:r>
              <w:rPr>
                <w:rFonts w:ascii="Times New Roman" w:hAnsi="Times New Roman" w:eastAsia="Times New Roman"/>
                <w:sz w:val="16"/>
              </w:rPr>
              <w:t>12.2</w:t>
            </w:r>
          </w:p>
        </w:tc>
        <w:tc>
          <w:tcPr>
            <w:tcW w:type="dxa" w:w="1224"/>
          </w:tcPr>
          <w:p>
            <w:pPr>
              <w:jc w:val="center"/>
            </w:pPr>
            <w:r/>
            <w:r>
              <w:rPr>
                <w:rFonts w:ascii="Times New Roman" w:hAnsi="Times New Roman" w:eastAsia="Times New Roman"/>
                <w:sz w:val="16"/>
              </w:rPr>
              <w:t>13.6–14.1</w:t>
            </w:r>
          </w:p>
        </w:tc>
        <w:tc>
          <w:tcPr>
            <w:tcW w:type="dxa" w:w="1296"/>
          </w:tcPr>
          <w:p>
            <w:pPr>
              <w:jc w:val="center"/>
            </w:pPr>
            <w:r/>
            <w:r>
              <w:rPr>
                <w:rFonts w:ascii="Times New Roman" w:hAnsi="Times New Roman" w:eastAsia="Times New Roman"/>
                <w:sz w:val="16"/>
              </w:rPr>
              <w:t>7.2</w:t>
            </w:r>
          </w:p>
        </w:tc>
        <w:tc>
          <w:tcPr>
            <w:tcW w:type="dxa" w:w="1296"/>
          </w:tcPr>
          <w:p>
            <w:pPr>
              <w:jc w:val="center"/>
            </w:pPr>
            <w:r/>
            <w:r>
              <w:rPr>
                <w:rFonts w:ascii="Times New Roman" w:hAnsi="Times New Roman" w:eastAsia="Times New Roman"/>
                <w:sz w:val="16"/>
              </w:rPr>
              <w:t>6.5–6.9</w:t>
            </w:r>
          </w:p>
        </w:tc>
      </w:tr>
      <w:tr>
        <w:tc>
          <w:tcPr>
            <w:tcW w:type="dxa" w:w="2448"/>
          </w:tcPr>
          <w:p>
            <w:pPr>
              <w:jc w:val="left"/>
            </w:pPr>
            <w:r/>
            <w:r>
              <w:rPr>
                <w:rFonts w:ascii="Times New Roman" w:hAnsi="Times New Roman" w:eastAsia="Times New Roman"/>
                <w:i/>
                <w:sz w:val="16"/>
              </w:rPr>
              <w:t>FC</w:t>
            </w:r>
            <w:r>
              <w:rPr>
                <w:rFonts w:ascii="Times New Roman" w:hAnsi="Times New Roman" w:eastAsia="Times New Roman"/>
                <w:sz w:val="16"/>
              </w:rPr>
              <w:t xml:space="preserve"> × 0.5</w:t>
            </w:r>
          </w:p>
        </w:tc>
        <w:tc>
          <w:tcPr>
            <w:tcW w:type="dxa" w:w="1224"/>
          </w:tcPr>
          <w:p>
            <w:pPr>
              <w:jc w:val="center"/>
            </w:pPr>
            <w:r/>
            <w:r>
              <w:rPr>
                <w:rFonts w:ascii="Times New Roman" w:hAnsi="Times New Roman" w:eastAsia="Times New Roman"/>
                <w:sz w:val="16"/>
              </w:rPr>
              <w:t>56.3</w:t>
            </w:r>
          </w:p>
        </w:tc>
        <w:tc>
          <w:tcPr>
            <w:tcW w:type="dxa" w:w="1224"/>
          </w:tcPr>
          <w:p>
            <w:pPr>
              <w:jc w:val="center"/>
            </w:pPr>
            <w:r/>
            <w:r>
              <w:rPr>
                <w:rFonts w:ascii="Times New Roman" w:hAnsi="Times New Roman" w:eastAsia="Times New Roman"/>
                <w:sz w:val="16"/>
              </w:rPr>
              <w:t>49.7–50.0</w:t>
            </w:r>
          </w:p>
        </w:tc>
        <w:tc>
          <w:tcPr>
            <w:tcW w:type="dxa" w:w="1224"/>
          </w:tcPr>
          <w:p>
            <w:pPr>
              <w:jc w:val="center"/>
            </w:pPr>
            <w:r/>
            <w:r>
              <w:rPr>
                <w:rFonts w:ascii="Times New Roman" w:hAnsi="Times New Roman" w:eastAsia="Times New Roman"/>
                <w:sz w:val="16"/>
              </w:rPr>
              <w:t>14.4</w:t>
            </w:r>
          </w:p>
        </w:tc>
        <w:tc>
          <w:tcPr>
            <w:tcW w:type="dxa" w:w="1224"/>
          </w:tcPr>
          <w:p>
            <w:pPr>
              <w:jc w:val="center"/>
            </w:pPr>
            <w:r/>
            <w:r>
              <w:rPr>
                <w:rFonts w:ascii="Times New Roman" w:hAnsi="Times New Roman" w:eastAsia="Times New Roman"/>
                <w:sz w:val="16"/>
              </w:rPr>
              <w:t>12.4–12.5</w:t>
            </w:r>
          </w:p>
        </w:tc>
        <w:tc>
          <w:tcPr>
            <w:tcW w:type="dxa" w:w="1296"/>
          </w:tcPr>
          <w:p>
            <w:pPr>
              <w:jc w:val="center"/>
            </w:pPr>
            <w:r/>
            <w:r>
              <w:rPr>
                <w:rFonts w:ascii="Times New Roman" w:hAnsi="Times New Roman" w:eastAsia="Times New Roman"/>
                <w:sz w:val="16"/>
              </w:rPr>
              <w:t>7.3</w:t>
            </w:r>
          </w:p>
        </w:tc>
        <w:tc>
          <w:tcPr>
            <w:tcW w:type="dxa" w:w="1296"/>
          </w:tcPr>
          <w:p>
            <w:pPr>
              <w:jc w:val="center"/>
            </w:pPr>
            <w:r/>
            <w:r>
              <w:rPr>
                <w:rFonts w:ascii="Times New Roman" w:hAnsi="Times New Roman" w:eastAsia="Times New Roman"/>
                <w:sz w:val="16"/>
              </w:rPr>
              <w:t>9.4–9.6</w:t>
            </w:r>
          </w:p>
        </w:tc>
      </w:tr>
      <w:tr>
        <w:tc>
          <w:tcPr>
            <w:tcW w:type="dxa" w:w="2448"/>
          </w:tcPr>
          <w:p>
            <w:pPr>
              <w:jc w:val="left"/>
            </w:pPr>
            <w:r/>
            <w:r>
              <w:rPr>
                <w:rFonts w:ascii="Times New Roman" w:hAnsi="Times New Roman" w:eastAsia="Times New Roman"/>
                <w:i/>
                <w:sz w:val="16"/>
              </w:rPr>
              <w:t>FC</w:t>
            </w:r>
            <w:r>
              <w:rPr>
                <w:rFonts w:ascii="Times New Roman" w:hAnsi="Times New Roman" w:eastAsia="Times New Roman"/>
                <w:sz w:val="16"/>
              </w:rPr>
              <w:t xml:space="preserve"> × 2</w:t>
            </w:r>
          </w:p>
        </w:tc>
        <w:tc>
          <w:tcPr>
            <w:tcW w:type="dxa" w:w="1224"/>
          </w:tcPr>
          <w:p>
            <w:pPr>
              <w:jc w:val="center"/>
            </w:pPr>
            <w:r/>
            <w:r>
              <w:rPr>
                <w:rFonts w:ascii="Times New Roman" w:hAnsi="Times New Roman" w:eastAsia="Times New Roman"/>
                <w:sz w:val="16"/>
              </w:rPr>
              <w:t>58.5</w:t>
            </w:r>
          </w:p>
        </w:tc>
        <w:tc>
          <w:tcPr>
            <w:tcW w:type="dxa" w:w="1224"/>
          </w:tcPr>
          <w:p>
            <w:pPr>
              <w:jc w:val="center"/>
            </w:pPr>
            <w:r/>
            <w:r>
              <w:rPr>
                <w:rFonts w:ascii="Times New Roman" w:hAnsi="Times New Roman" w:eastAsia="Times New Roman"/>
                <w:sz w:val="16"/>
              </w:rPr>
              <w:t>45.0</w:t>
            </w:r>
          </w:p>
        </w:tc>
        <w:tc>
          <w:tcPr>
            <w:tcW w:type="dxa" w:w="1224"/>
          </w:tcPr>
          <w:p>
            <w:pPr>
              <w:jc w:val="center"/>
            </w:pPr>
            <w:r/>
            <w:r>
              <w:rPr>
                <w:rFonts w:ascii="Times New Roman" w:hAnsi="Times New Roman" w:eastAsia="Times New Roman"/>
                <w:sz w:val="16"/>
              </w:rPr>
              <w:t>14.0</w:t>
            </w:r>
          </w:p>
        </w:tc>
        <w:tc>
          <w:tcPr>
            <w:tcW w:type="dxa" w:w="1224"/>
          </w:tcPr>
          <w:p>
            <w:pPr>
              <w:jc w:val="center"/>
            </w:pPr>
            <w:r/>
            <w:r>
              <w:rPr>
                <w:rFonts w:ascii="Times New Roman" w:hAnsi="Times New Roman" w:eastAsia="Times New Roman"/>
                <w:sz w:val="16"/>
              </w:rPr>
              <w:t>16.1</w:t>
            </w:r>
          </w:p>
        </w:tc>
        <w:tc>
          <w:tcPr>
            <w:tcW w:type="dxa" w:w="1296"/>
          </w:tcPr>
          <w:p>
            <w:pPr>
              <w:jc w:val="center"/>
            </w:pPr>
            <w:r/>
            <w:r>
              <w:rPr>
                <w:rFonts w:ascii="Times New Roman" w:hAnsi="Times New Roman" w:eastAsia="Times New Roman"/>
                <w:sz w:val="16"/>
              </w:rPr>
              <w:t>8.0</w:t>
            </w:r>
          </w:p>
        </w:tc>
        <w:tc>
          <w:tcPr>
            <w:tcW w:type="dxa" w:w="1296"/>
          </w:tcPr>
          <w:p>
            <w:pPr>
              <w:jc w:val="center"/>
            </w:pPr>
            <w:r/>
            <w:r>
              <w:rPr>
                <w:rFonts w:ascii="Times New Roman" w:hAnsi="Times New Roman" w:eastAsia="Times New Roman"/>
                <w:sz w:val="16"/>
              </w:rPr>
              <w:t>7.1</w:t>
            </w:r>
          </w:p>
        </w:tc>
      </w:tr>
      <w:tr>
        <w:tc>
          <w:tcPr>
            <w:tcW w:type="dxa" w:w="2448"/>
          </w:tcPr>
          <w:p>
            <w:pPr>
              <w:jc w:val="left"/>
            </w:pPr>
            <w:r/>
            <w:r>
              <w:rPr>
                <w:rFonts w:ascii="Times New Roman" w:hAnsi="Times New Roman" w:eastAsia="Times New Roman"/>
                <w:sz w:val="16"/>
              </w:rPr>
              <w:t>demand: persistent</w:t>
            </w:r>
          </w:p>
        </w:tc>
        <w:tc>
          <w:tcPr>
            <w:tcW w:type="dxa" w:w="1224"/>
          </w:tcPr>
          <w:p>
            <w:pPr>
              <w:jc w:val="center"/>
            </w:pPr>
            <w:r/>
            <w:r>
              <w:rPr>
                <w:rFonts w:ascii="Times New Roman" w:hAnsi="Times New Roman" w:eastAsia="Times New Roman"/>
                <w:sz w:val="16"/>
              </w:rPr>
              <w:t>41.9</w:t>
            </w:r>
          </w:p>
        </w:tc>
        <w:tc>
          <w:tcPr>
            <w:tcW w:type="dxa" w:w="1224"/>
          </w:tcPr>
          <w:p>
            <w:pPr>
              <w:jc w:val="center"/>
            </w:pPr>
            <w:r/>
            <w:r>
              <w:rPr>
                <w:rFonts w:ascii="Times New Roman" w:hAnsi="Times New Roman" w:eastAsia="Times New Roman"/>
                <w:sz w:val="16"/>
              </w:rPr>
              <w:t>36.9–41.6</w:t>
            </w:r>
          </w:p>
        </w:tc>
        <w:tc>
          <w:tcPr>
            <w:tcW w:type="dxa" w:w="1224"/>
          </w:tcPr>
          <w:p>
            <w:pPr>
              <w:jc w:val="center"/>
            </w:pPr>
            <w:r/>
            <w:r>
              <w:rPr>
                <w:rFonts w:ascii="Times New Roman" w:hAnsi="Times New Roman" w:eastAsia="Times New Roman"/>
                <w:sz w:val="16"/>
              </w:rPr>
              <w:t>20.9</w:t>
            </w:r>
          </w:p>
        </w:tc>
        <w:tc>
          <w:tcPr>
            <w:tcW w:type="dxa" w:w="1224"/>
          </w:tcPr>
          <w:p>
            <w:pPr>
              <w:jc w:val="center"/>
            </w:pPr>
            <w:r/>
            <w:r>
              <w:rPr>
                <w:rFonts w:ascii="Times New Roman" w:hAnsi="Times New Roman" w:eastAsia="Times New Roman"/>
                <w:sz w:val="16"/>
              </w:rPr>
              <w:t>15.8–19.9</w:t>
            </w:r>
          </w:p>
        </w:tc>
        <w:tc>
          <w:tcPr>
            <w:tcW w:type="dxa" w:w="1296"/>
          </w:tcPr>
          <w:p>
            <w:pPr>
              <w:jc w:val="center"/>
            </w:pPr>
            <w:r/>
            <w:r>
              <w:rPr>
                <w:rFonts w:ascii="Times New Roman" w:hAnsi="Times New Roman" w:eastAsia="Times New Roman"/>
                <w:sz w:val="16"/>
              </w:rPr>
              <w:t>3.4</w:t>
            </w:r>
          </w:p>
        </w:tc>
        <w:tc>
          <w:tcPr>
            <w:tcW w:type="dxa" w:w="1296"/>
          </w:tcPr>
          <w:p>
            <w:pPr>
              <w:jc w:val="center"/>
            </w:pPr>
            <w:r/>
            <w:r>
              <w:rPr>
                <w:rFonts w:ascii="Times New Roman" w:hAnsi="Times New Roman" w:eastAsia="Times New Roman"/>
                <w:sz w:val="16"/>
              </w:rPr>
              <w:t>4.8–7.6</w:t>
            </w:r>
          </w:p>
        </w:tc>
      </w:tr>
      <w:tr>
        <w:tc>
          <w:tcPr>
            <w:tcW w:type="dxa" w:w="2448"/>
          </w:tcPr>
          <w:p>
            <w:pPr>
              <w:jc w:val="left"/>
            </w:pPr>
            <w:r/>
            <w:r>
              <w:rPr>
                <w:rFonts w:ascii="Times New Roman" w:hAnsi="Times New Roman" w:eastAsia="Times New Roman"/>
                <w:sz w:val="16"/>
              </w:rPr>
              <w:t>demand: iid</w:t>
            </w:r>
          </w:p>
        </w:tc>
        <w:tc>
          <w:tcPr>
            <w:tcW w:type="dxa" w:w="1224"/>
          </w:tcPr>
          <w:p>
            <w:pPr>
              <w:jc w:val="center"/>
            </w:pPr>
            <w:r/>
            <w:r>
              <w:rPr>
                <w:rFonts w:ascii="Times New Roman" w:hAnsi="Times New Roman" w:eastAsia="Times New Roman"/>
                <w:sz w:val="16"/>
              </w:rPr>
              <w:t>60.0</w:t>
            </w:r>
          </w:p>
        </w:tc>
        <w:tc>
          <w:tcPr>
            <w:tcW w:type="dxa" w:w="1224"/>
          </w:tcPr>
          <w:p>
            <w:pPr>
              <w:jc w:val="center"/>
            </w:pPr>
            <w:r/>
            <w:r>
              <w:rPr>
                <w:rFonts w:ascii="Times New Roman" w:hAnsi="Times New Roman" w:eastAsia="Times New Roman"/>
                <w:sz w:val="16"/>
              </w:rPr>
              <w:t>45.0–48.6</w:t>
            </w:r>
          </w:p>
        </w:tc>
        <w:tc>
          <w:tcPr>
            <w:tcW w:type="dxa" w:w="1224"/>
          </w:tcPr>
          <w:p>
            <w:pPr>
              <w:jc w:val="center"/>
            </w:pPr>
            <w:r/>
            <w:r>
              <w:rPr>
                <w:rFonts w:ascii="Times New Roman" w:hAnsi="Times New Roman" w:eastAsia="Times New Roman"/>
                <w:sz w:val="16"/>
              </w:rPr>
              <w:t>15.7</w:t>
            </w:r>
          </w:p>
        </w:tc>
        <w:tc>
          <w:tcPr>
            <w:tcW w:type="dxa" w:w="1224"/>
          </w:tcPr>
          <w:p>
            <w:pPr>
              <w:jc w:val="center"/>
            </w:pPr>
            <w:r/>
            <w:r>
              <w:rPr>
                <w:rFonts w:ascii="Times New Roman" w:hAnsi="Times New Roman" w:eastAsia="Times New Roman"/>
                <w:sz w:val="16"/>
              </w:rPr>
              <w:t>16.1–18.2</w:t>
            </w:r>
          </w:p>
        </w:tc>
        <w:tc>
          <w:tcPr>
            <w:tcW w:type="dxa" w:w="1296"/>
          </w:tcPr>
          <w:p>
            <w:pPr>
              <w:jc w:val="center"/>
            </w:pPr>
            <w:r/>
            <w:r>
              <w:rPr>
                <w:rFonts w:ascii="Times New Roman" w:hAnsi="Times New Roman" w:eastAsia="Times New Roman"/>
                <w:sz w:val="16"/>
              </w:rPr>
              <w:t>7.5</w:t>
            </w:r>
          </w:p>
        </w:tc>
        <w:tc>
          <w:tcPr>
            <w:tcW w:type="dxa" w:w="1296"/>
          </w:tcPr>
          <w:p>
            <w:pPr>
              <w:jc w:val="center"/>
            </w:pPr>
            <w:r/>
            <w:r>
              <w:rPr>
                <w:rFonts w:ascii="Times New Roman" w:hAnsi="Times New Roman" w:eastAsia="Times New Roman"/>
                <w:sz w:val="16"/>
              </w:rPr>
              <w:t>6.5–8.1</w:t>
            </w:r>
          </w:p>
        </w:tc>
      </w:tr>
      <w:tr>
        <w:tc>
          <w:tcPr>
            <w:tcW w:type="dxa" w:w="2448"/>
          </w:tcPr>
          <w:p>
            <w:pPr>
              <w:jc w:val="left"/>
            </w:pPr>
            <w:r/>
            <w:r>
              <w:rPr>
                <w:rFonts w:ascii="Times New Roman" w:hAnsi="Times New Roman" w:eastAsia="Times New Roman"/>
                <w:sz w:val="16"/>
              </w:rPr>
              <w:t>demand: growth-skewed</w:t>
            </w:r>
          </w:p>
        </w:tc>
        <w:tc>
          <w:tcPr>
            <w:tcW w:type="dxa" w:w="1224"/>
          </w:tcPr>
          <w:p>
            <w:pPr>
              <w:jc w:val="center"/>
            </w:pPr>
            <w:r/>
            <w:r>
              <w:rPr>
                <w:rFonts w:ascii="Times New Roman" w:hAnsi="Times New Roman" w:eastAsia="Times New Roman"/>
                <w:sz w:val="16"/>
              </w:rPr>
              <w:t>60.0</w:t>
            </w:r>
          </w:p>
        </w:tc>
        <w:tc>
          <w:tcPr>
            <w:tcW w:type="dxa" w:w="1224"/>
          </w:tcPr>
          <w:p>
            <w:pPr>
              <w:jc w:val="center"/>
            </w:pPr>
            <w:r/>
            <w:r>
              <w:rPr>
                <w:rFonts w:ascii="Times New Roman" w:hAnsi="Times New Roman" w:eastAsia="Times New Roman"/>
                <w:sz w:val="16"/>
              </w:rPr>
              <w:t>45.1–60.0</w:t>
            </w:r>
          </w:p>
        </w:tc>
        <w:tc>
          <w:tcPr>
            <w:tcW w:type="dxa" w:w="1224"/>
          </w:tcPr>
          <w:p>
            <w:pPr>
              <w:jc w:val="center"/>
            </w:pPr>
            <w:r/>
            <w:r>
              <w:rPr>
                <w:rFonts w:ascii="Times New Roman" w:hAnsi="Times New Roman" w:eastAsia="Times New Roman"/>
                <w:sz w:val="16"/>
              </w:rPr>
              <w:t>25.4</w:t>
            </w:r>
          </w:p>
        </w:tc>
        <w:tc>
          <w:tcPr>
            <w:tcW w:type="dxa" w:w="1224"/>
          </w:tcPr>
          <w:p>
            <w:pPr>
              <w:jc w:val="center"/>
            </w:pPr>
            <w:r/>
            <w:r>
              <w:rPr>
                <w:rFonts w:ascii="Times New Roman" w:hAnsi="Times New Roman" w:eastAsia="Times New Roman"/>
                <w:sz w:val="16"/>
              </w:rPr>
              <w:t>17.4–27.4</w:t>
            </w:r>
          </w:p>
        </w:tc>
        <w:tc>
          <w:tcPr>
            <w:tcW w:type="dxa" w:w="1296"/>
          </w:tcPr>
          <w:p>
            <w:pPr>
              <w:jc w:val="center"/>
            </w:pPr>
            <w:r/>
            <w:r>
              <w:rPr>
                <w:rFonts w:ascii="Times New Roman" w:hAnsi="Times New Roman" w:eastAsia="Times New Roman"/>
                <w:sz w:val="16"/>
              </w:rPr>
              <w:t>5.6</w:t>
            </w:r>
          </w:p>
        </w:tc>
        <w:tc>
          <w:tcPr>
            <w:tcW w:type="dxa" w:w="1296"/>
          </w:tcPr>
          <w:p>
            <w:pPr>
              <w:jc w:val="center"/>
            </w:pPr>
            <w:r/>
            <w:r>
              <w:rPr>
                <w:rFonts w:ascii="Times New Roman" w:hAnsi="Times New Roman" w:eastAsia="Times New Roman"/>
                <w:sz w:val="16"/>
              </w:rPr>
              <w:t>4.6–12.7</w:t>
            </w:r>
          </w:p>
        </w:tc>
      </w:tr>
      <w:tr>
        <w:tc>
          <w:tcPr>
            <w:tcW w:type="dxa" w:w="2448"/>
          </w:tcPr>
          <w:p>
            <w:pPr>
              <w:jc w:val="left"/>
            </w:pPr>
            <w:r/>
            <w:r>
              <w:rPr>
                <w:rFonts w:ascii="Times New Roman" w:hAnsi="Times New Roman" w:eastAsia="Times New Roman"/>
                <w:sz w:val="16"/>
              </w:rPr>
              <w:t>price grid: 4 prices*</w:t>
            </w:r>
          </w:p>
        </w:tc>
        <w:tc>
          <w:tcPr>
            <w:tcW w:type="dxa" w:w="1224"/>
          </w:tcPr>
          <w:p>
            <w:pPr>
              <w:jc w:val="center"/>
            </w:pPr>
            <w:r/>
            <w:r>
              <w:rPr>
                <w:rFonts w:ascii="Times New Roman" w:hAnsi="Times New Roman" w:eastAsia="Times New Roman"/>
                <w:sz w:val="16"/>
              </w:rPr>
              <w:t>45.6–60.0</w:t>
            </w:r>
          </w:p>
        </w:tc>
        <w:tc>
          <w:tcPr>
            <w:tcW w:type="dxa" w:w="1224"/>
          </w:tcPr>
          <w:p>
            <w:pPr>
              <w:jc w:val="center"/>
            </w:pPr>
            <w:r/>
            <w:r>
              <w:rPr>
                <w:rFonts w:ascii="Times New Roman" w:hAnsi="Times New Roman" w:eastAsia="Times New Roman"/>
                <w:sz w:val="16"/>
              </w:rPr>
              <w:t>45.0–49.6</w:t>
            </w:r>
          </w:p>
        </w:tc>
        <w:tc>
          <w:tcPr>
            <w:tcW w:type="dxa" w:w="1224"/>
          </w:tcPr>
          <w:p>
            <w:pPr>
              <w:jc w:val="center"/>
            </w:pPr>
            <w:r/>
            <w:r>
              <w:rPr>
                <w:rFonts w:ascii="Times New Roman" w:hAnsi="Times New Roman" w:eastAsia="Times New Roman"/>
                <w:sz w:val="16"/>
              </w:rPr>
              <w:t>19.1–20.5</w:t>
            </w:r>
          </w:p>
        </w:tc>
        <w:tc>
          <w:tcPr>
            <w:tcW w:type="dxa" w:w="1224"/>
          </w:tcPr>
          <w:p>
            <w:pPr>
              <w:jc w:val="center"/>
            </w:pPr>
            <w:r/>
            <w:r>
              <w:rPr>
                <w:rFonts w:ascii="Times New Roman" w:hAnsi="Times New Roman" w:eastAsia="Times New Roman"/>
                <w:sz w:val="16"/>
              </w:rPr>
              <w:t>15.2–17.3</w:t>
            </w:r>
          </w:p>
        </w:tc>
        <w:tc>
          <w:tcPr>
            <w:tcW w:type="dxa" w:w="1296"/>
          </w:tcPr>
          <w:p>
            <w:pPr>
              <w:jc w:val="center"/>
            </w:pPr>
            <w:r/>
            <w:r>
              <w:rPr>
                <w:rFonts w:ascii="Times New Roman" w:hAnsi="Times New Roman" w:eastAsia="Times New Roman"/>
                <w:sz w:val="16"/>
              </w:rPr>
              <w:t>1.2–3.9</w:t>
            </w:r>
          </w:p>
        </w:tc>
        <w:tc>
          <w:tcPr>
            <w:tcW w:type="dxa" w:w="1296"/>
          </w:tcPr>
          <w:p>
            <w:pPr>
              <w:jc w:val="center"/>
            </w:pPr>
            <w:r/>
            <w:r>
              <w:rPr>
                <w:rFonts w:ascii="Times New Roman" w:hAnsi="Times New Roman" w:eastAsia="Times New Roman"/>
                <w:sz w:val="16"/>
              </w:rPr>
              <w:t>6.0–7.5</w:t>
            </w:r>
          </w:p>
        </w:tc>
      </w:tr>
      <w:tr>
        <w:tc>
          <w:tcPr>
            <w:tcW w:type="dxa" w:w="2448"/>
          </w:tcPr>
          <w:p>
            <w:pPr>
              <w:jc w:val="left"/>
            </w:pPr>
            <w:r/>
            <w:r>
              <w:rPr>
                <w:rFonts w:ascii="Times New Roman" w:hAnsi="Times New Roman" w:eastAsia="Times New Roman"/>
                <w:sz w:val="16"/>
              </w:rPr>
              <w:t>price grid: 16 prices</w:t>
            </w:r>
          </w:p>
        </w:tc>
        <w:tc>
          <w:tcPr>
            <w:tcW w:type="dxa" w:w="1224"/>
          </w:tcPr>
          <w:p>
            <w:pPr>
              <w:jc w:val="center"/>
            </w:pPr>
            <w:r/>
            <w:r>
              <w:rPr>
                <w:rFonts w:ascii="Times New Roman" w:hAnsi="Times New Roman" w:eastAsia="Times New Roman"/>
                <w:sz w:val="16"/>
              </w:rPr>
              <w:t>58.7</w:t>
            </w:r>
          </w:p>
        </w:tc>
        <w:tc>
          <w:tcPr>
            <w:tcW w:type="dxa" w:w="1224"/>
          </w:tcPr>
          <w:p>
            <w:pPr>
              <w:jc w:val="center"/>
            </w:pPr>
            <w:r/>
            <w:r>
              <w:rPr>
                <w:rFonts w:ascii="Times New Roman" w:hAnsi="Times New Roman" w:eastAsia="Times New Roman"/>
                <w:sz w:val="16"/>
              </w:rPr>
              <w:t>45.0–47.5</w:t>
            </w:r>
          </w:p>
        </w:tc>
        <w:tc>
          <w:tcPr>
            <w:tcW w:type="dxa" w:w="1224"/>
          </w:tcPr>
          <w:p>
            <w:pPr>
              <w:jc w:val="center"/>
            </w:pPr>
            <w:r/>
            <w:r>
              <w:rPr>
                <w:rFonts w:ascii="Times New Roman" w:hAnsi="Times New Roman" w:eastAsia="Times New Roman"/>
                <w:sz w:val="16"/>
              </w:rPr>
              <w:t>14.2</w:t>
            </w:r>
          </w:p>
        </w:tc>
        <w:tc>
          <w:tcPr>
            <w:tcW w:type="dxa" w:w="1224"/>
          </w:tcPr>
          <w:p>
            <w:pPr>
              <w:jc w:val="center"/>
            </w:pPr>
            <w:r/>
            <w:r>
              <w:rPr>
                <w:rFonts w:ascii="Times New Roman" w:hAnsi="Times New Roman" w:eastAsia="Times New Roman"/>
                <w:sz w:val="16"/>
              </w:rPr>
              <w:t>13.8–15.5</w:t>
            </w:r>
          </w:p>
        </w:tc>
        <w:tc>
          <w:tcPr>
            <w:tcW w:type="dxa" w:w="1296"/>
          </w:tcPr>
          <w:p>
            <w:pPr>
              <w:jc w:val="center"/>
            </w:pPr>
            <w:r/>
            <w:r>
              <w:rPr>
                <w:rFonts w:ascii="Times New Roman" w:hAnsi="Times New Roman" w:eastAsia="Times New Roman"/>
                <w:sz w:val="16"/>
              </w:rPr>
              <w:t>7.4</w:t>
            </w:r>
          </w:p>
        </w:tc>
        <w:tc>
          <w:tcPr>
            <w:tcW w:type="dxa" w:w="1296"/>
          </w:tcPr>
          <w:p>
            <w:pPr>
              <w:jc w:val="center"/>
            </w:pPr>
            <w:r/>
            <w:r>
              <w:rPr>
                <w:rFonts w:ascii="Times New Roman" w:hAnsi="Times New Roman" w:eastAsia="Times New Roman"/>
                <w:sz w:val="16"/>
              </w:rPr>
              <w:t>7.5–8.7</w:t>
            </w:r>
          </w:p>
        </w:tc>
      </w:tr>
      <w:tr>
        <w:tc>
          <w:tcPr>
            <w:tcW w:type="dxa" w:w="2448"/>
          </w:tcPr>
          <w:p>
            <w:pPr>
              <w:jc w:val="left"/>
            </w:pPr>
            <w:r/>
            <w:r>
              <w:rPr>
                <w:rFonts w:ascii="Times New Roman" w:hAnsi="Times New Roman" w:eastAsia="Times New Roman"/>
                <w:sz w:val="16"/>
              </w:rPr>
              <w:t>ψ = 0</w:t>
            </w:r>
          </w:p>
        </w:tc>
        <w:tc>
          <w:tcPr>
            <w:tcW w:type="dxa" w:w="1224"/>
          </w:tcPr>
          <w:p>
            <w:pPr>
              <w:jc w:val="center"/>
            </w:pPr>
            <w:r/>
            <w:r>
              <w:rPr>
                <w:rFonts w:ascii="Times New Roman" w:hAnsi="Times New Roman" w:eastAsia="Times New Roman"/>
                <w:sz w:val="16"/>
              </w:rPr>
              <w:t>44.9–45.0</w:t>
            </w:r>
          </w:p>
        </w:tc>
        <w:tc>
          <w:tcPr>
            <w:tcW w:type="dxa" w:w="1224"/>
          </w:tcPr>
          <w:p>
            <w:pPr>
              <w:jc w:val="center"/>
            </w:pPr>
            <w:r/>
            <w:r>
              <w:rPr>
                <w:rFonts w:ascii="Times New Roman" w:hAnsi="Times New Roman" w:eastAsia="Times New Roman"/>
                <w:sz w:val="16"/>
              </w:rPr>
              <w:t>44.9–45.0</w:t>
            </w:r>
          </w:p>
        </w:tc>
        <w:tc>
          <w:tcPr>
            <w:tcW w:type="dxa" w:w="1224"/>
          </w:tcPr>
          <w:p>
            <w:pPr>
              <w:jc w:val="center"/>
            </w:pPr>
            <w:r/>
            <w:r>
              <w:rPr>
                <w:rFonts w:ascii="Times New Roman" w:hAnsi="Times New Roman" w:eastAsia="Times New Roman"/>
                <w:sz w:val="16"/>
              </w:rPr>
              <w:t>18.9</w:t>
            </w:r>
          </w:p>
        </w:tc>
        <w:tc>
          <w:tcPr>
            <w:tcW w:type="dxa" w:w="1224"/>
          </w:tcPr>
          <w:p>
            <w:pPr>
              <w:jc w:val="center"/>
            </w:pPr>
            <w:r/>
            <w:r>
              <w:rPr>
                <w:rFonts w:ascii="Times New Roman" w:hAnsi="Times New Roman" w:eastAsia="Times New Roman"/>
                <w:sz w:val="16"/>
              </w:rPr>
              <w:t>16.8</w:t>
            </w:r>
          </w:p>
        </w:tc>
        <w:tc>
          <w:tcPr>
            <w:tcW w:type="dxa" w:w="1296"/>
          </w:tcPr>
          <w:p>
            <w:pPr>
              <w:jc w:val="center"/>
            </w:pPr>
            <w:r/>
            <w:r>
              <w:rPr>
                <w:rFonts w:ascii="Times New Roman" w:hAnsi="Times New Roman" w:eastAsia="Times New Roman"/>
                <w:sz w:val="16"/>
              </w:rPr>
              <w:t>5.5</w:t>
            </w:r>
          </w:p>
        </w:tc>
        <w:tc>
          <w:tcPr>
            <w:tcW w:type="dxa" w:w="1296"/>
          </w:tcPr>
          <w:p>
            <w:pPr>
              <w:jc w:val="center"/>
            </w:pPr>
            <w:r/>
            <w:r>
              <w:rPr>
                <w:rFonts w:ascii="Times New Roman" w:hAnsi="Times New Roman" w:eastAsia="Times New Roman"/>
                <w:sz w:val="16"/>
              </w:rPr>
              <w:t>7.6</w:t>
            </w:r>
          </w:p>
        </w:tc>
      </w:tr>
      <w:tr>
        <w:tc>
          <w:tcPr>
            <w:tcW w:type="dxa" w:w="2448"/>
          </w:tcPr>
          <w:p>
            <w:pPr>
              <w:jc w:val="left"/>
            </w:pPr>
            <w:r/>
            <w:r>
              <w:rPr>
                <w:rFonts w:ascii="Times New Roman" w:hAnsi="Times New Roman" w:eastAsia="Times New Roman"/>
                <w:sz w:val="16"/>
              </w:rPr>
              <w:t>ψ = 0.6</w:t>
            </w:r>
          </w:p>
        </w:tc>
        <w:tc>
          <w:tcPr>
            <w:tcW w:type="dxa" w:w="1224"/>
          </w:tcPr>
          <w:p>
            <w:pPr>
              <w:jc w:val="center"/>
            </w:pPr>
            <w:r/>
            <w:r>
              <w:rPr>
                <w:rFonts w:ascii="Times New Roman" w:hAnsi="Times New Roman" w:eastAsia="Times New Roman"/>
                <w:sz w:val="16"/>
              </w:rPr>
              <w:t>59.8–59.9</w:t>
            </w:r>
          </w:p>
        </w:tc>
        <w:tc>
          <w:tcPr>
            <w:tcW w:type="dxa" w:w="1224"/>
          </w:tcPr>
          <w:p>
            <w:pPr>
              <w:jc w:val="center"/>
            </w:pPr>
            <w:r/>
            <w:r>
              <w:rPr>
                <w:rFonts w:ascii="Times New Roman" w:hAnsi="Times New Roman" w:eastAsia="Times New Roman"/>
                <w:sz w:val="16"/>
              </w:rPr>
              <w:t>45.1–59.2</w:t>
            </w:r>
          </w:p>
        </w:tc>
        <w:tc>
          <w:tcPr>
            <w:tcW w:type="dxa" w:w="1224"/>
          </w:tcPr>
          <w:p>
            <w:pPr>
              <w:jc w:val="center"/>
            </w:pPr>
            <w:r/>
            <w:r>
              <w:rPr>
                <w:rFonts w:ascii="Times New Roman" w:hAnsi="Times New Roman" w:eastAsia="Times New Roman"/>
                <w:sz w:val="16"/>
              </w:rPr>
              <w:t>13.7</w:t>
            </w:r>
          </w:p>
        </w:tc>
        <w:tc>
          <w:tcPr>
            <w:tcW w:type="dxa" w:w="1224"/>
          </w:tcPr>
          <w:p>
            <w:pPr>
              <w:jc w:val="center"/>
            </w:pPr>
            <w:r/>
            <w:r>
              <w:rPr>
                <w:rFonts w:ascii="Times New Roman" w:hAnsi="Times New Roman" w:eastAsia="Times New Roman"/>
                <w:sz w:val="16"/>
              </w:rPr>
              <w:t>8.9–15.2</w:t>
            </w:r>
          </w:p>
        </w:tc>
        <w:tc>
          <w:tcPr>
            <w:tcW w:type="dxa" w:w="1296"/>
          </w:tcPr>
          <w:p>
            <w:pPr>
              <w:jc w:val="center"/>
            </w:pPr>
            <w:r/>
            <w:r>
              <w:rPr>
                <w:rFonts w:ascii="Times New Roman" w:hAnsi="Times New Roman" w:eastAsia="Times New Roman"/>
                <w:sz w:val="16"/>
              </w:rPr>
              <w:t>7.9</w:t>
            </w:r>
          </w:p>
        </w:tc>
        <w:tc>
          <w:tcPr>
            <w:tcW w:type="dxa" w:w="1296"/>
          </w:tcPr>
          <w:p>
            <w:pPr>
              <w:jc w:val="center"/>
            </w:pPr>
            <w:r/>
            <w:r>
              <w:rPr>
                <w:rFonts w:ascii="Times New Roman" w:hAnsi="Times New Roman" w:eastAsia="Times New Roman"/>
                <w:sz w:val="16"/>
              </w:rPr>
              <w:t>7.0–12.6</w:t>
            </w:r>
          </w:p>
        </w:tc>
      </w:tr>
      <w:tr>
        <w:tc>
          <w:tcPr>
            <w:tcW w:type="dxa" w:w="2448"/>
          </w:tcPr>
          <w:p>
            <w:pPr>
              <w:jc w:val="left"/>
            </w:pPr>
            <w:r/>
            <w:r>
              <w:rPr>
                <w:rFonts w:ascii="Times New Roman" w:hAnsi="Times New Roman" w:eastAsia="Times New Roman"/>
                <w:sz w:val="16"/>
              </w:rPr>
              <w:t>β = 0.9</w:t>
            </w:r>
          </w:p>
        </w:tc>
        <w:tc>
          <w:tcPr>
            <w:tcW w:type="dxa" w:w="1224"/>
          </w:tcPr>
          <w:p>
            <w:pPr>
              <w:jc w:val="center"/>
            </w:pPr>
            <w:r/>
            <w:r>
              <w:rPr>
                <w:rFonts w:ascii="Times New Roman" w:hAnsi="Times New Roman" w:eastAsia="Times New Roman"/>
                <w:sz w:val="16"/>
              </w:rPr>
              <w:t>56.0</w:t>
            </w:r>
          </w:p>
        </w:tc>
        <w:tc>
          <w:tcPr>
            <w:tcW w:type="dxa" w:w="1224"/>
          </w:tcPr>
          <w:p>
            <w:pPr>
              <w:jc w:val="center"/>
            </w:pPr>
            <w:r/>
            <w:r>
              <w:rPr>
                <w:rFonts w:ascii="Times New Roman" w:hAnsi="Times New Roman" w:eastAsia="Times New Roman"/>
                <w:sz w:val="16"/>
              </w:rPr>
              <w:t>45.0–45.5</w:t>
            </w:r>
          </w:p>
        </w:tc>
        <w:tc>
          <w:tcPr>
            <w:tcW w:type="dxa" w:w="1224"/>
          </w:tcPr>
          <w:p>
            <w:pPr>
              <w:jc w:val="center"/>
            </w:pPr>
            <w:r/>
            <w:r>
              <w:rPr>
                <w:rFonts w:ascii="Times New Roman" w:hAnsi="Times New Roman" w:eastAsia="Times New Roman"/>
                <w:sz w:val="16"/>
              </w:rPr>
              <w:t>14.4</w:t>
            </w:r>
          </w:p>
        </w:tc>
        <w:tc>
          <w:tcPr>
            <w:tcW w:type="dxa" w:w="1224"/>
          </w:tcPr>
          <w:p>
            <w:pPr>
              <w:jc w:val="center"/>
            </w:pPr>
            <w:r/>
            <w:r>
              <w:rPr>
                <w:rFonts w:ascii="Times New Roman" w:hAnsi="Times New Roman" w:eastAsia="Times New Roman"/>
                <w:sz w:val="16"/>
              </w:rPr>
              <w:t>15.7–16.0</w:t>
            </w:r>
          </w:p>
        </w:tc>
        <w:tc>
          <w:tcPr>
            <w:tcW w:type="dxa" w:w="1296"/>
          </w:tcPr>
          <w:p>
            <w:pPr>
              <w:jc w:val="center"/>
            </w:pPr>
            <w:r/>
            <w:r>
              <w:rPr>
                <w:rFonts w:ascii="Times New Roman" w:hAnsi="Times New Roman" w:eastAsia="Times New Roman"/>
                <w:sz w:val="16"/>
              </w:rPr>
              <w:t>7.4</w:t>
            </w:r>
          </w:p>
        </w:tc>
        <w:tc>
          <w:tcPr>
            <w:tcW w:type="dxa" w:w="1296"/>
          </w:tcPr>
          <w:p>
            <w:pPr>
              <w:jc w:val="center"/>
            </w:pPr>
            <w:r/>
            <w:r>
              <w:rPr>
                <w:rFonts w:ascii="Times New Roman" w:hAnsi="Times New Roman" w:eastAsia="Times New Roman"/>
                <w:sz w:val="16"/>
              </w:rPr>
              <w:t>7.1–7.4</w:t>
            </w:r>
          </w:p>
        </w:tc>
      </w:tr>
      <w:tr>
        <w:tc>
          <w:tcPr>
            <w:tcW w:type="dxa" w:w="2448"/>
            <w:tcBorders>
              <w:bottom w:val="single" w:sz="8" w:space="0" w:color="000000"/>
            </w:tcBorders>
          </w:tcPr>
          <w:p>
            <w:pPr>
              <w:jc w:val="left"/>
            </w:pPr>
            <w:r/>
            <w:r>
              <w:rPr>
                <w:rFonts w:ascii="Times New Roman" w:hAnsi="Times New Roman" w:eastAsia="Times New Roman"/>
                <w:sz w:val="16"/>
              </w:rPr>
              <w:t>β = 0.98</w:t>
            </w:r>
          </w:p>
        </w:tc>
        <w:tc>
          <w:tcPr>
            <w:tcW w:type="dxa" w:w="1224"/>
            <w:tcBorders>
              <w:bottom w:val="single" w:sz="8" w:space="0" w:color="000000"/>
            </w:tcBorders>
          </w:tcPr>
          <w:p>
            <w:pPr>
              <w:jc w:val="center"/>
            </w:pPr>
            <w:r/>
            <w:r>
              <w:rPr>
                <w:rFonts w:ascii="Times New Roman" w:hAnsi="Times New Roman" w:eastAsia="Times New Roman"/>
                <w:sz w:val="16"/>
              </w:rPr>
              <w:t>59.0</w:t>
            </w:r>
          </w:p>
        </w:tc>
        <w:tc>
          <w:tcPr>
            <w:tcW w:type="dxa" w:w="1224"/>
            <w:tcBorders>
              <w:bottom w:val="single" w:sz="8" w:space="0" w:color="000000"/>
            </w:tcBorders>
          </w:tcPr>
          <w:p>
            <w:pPr>
              <w:jc w:val="center"/>
            </w:pPr>
            <w:r/>
            <w:r>
              <w:rPr>
                <w:rFonts w:ascii="Times New Roman" w:hAnsi="Times New Roman" w:eastAsia="Times New Roman"/>
                <w:sz w:val="16"/>
              </w:rPr>
              <w:t>45.0–45.8</w:t>
            </w:r>
          </w:p>
        </w:tc>
        <w:tc>
          <w:tcPr>
            <w:tcW w:type="dxa" w:w="1224"/>
            <w:tcBorders>
              <w:bottom w:val="single" w:sz="8" w:space="0" w:color="000000"/>
            </w:tcBorders>
          </w:tcPr>
          <w:p>
            <w:pPr>
              <w:jc w:val="center"/>
            </w:pPr>
            <w:r/>
            <w:r>
              <w:rPr>
                <w:rFonts w:ascii="Times New Roman" w:hAnsi="Times New Roman" w:eastAsia="Times New Roman"/>
                <w:sz w:val="16"/>
              </w:rPr>
              <w:t>13.8</w:t>
            </w:r>
          </w:p>
        </w:tc>
        <w:tc>
          <w:tcPr>
            <w:tcW w:type="dxa" w:w="1224"/>
            <w:tcBorders>
              <w:bottom w:val="single" w:sz="8" w:space="0" w:color="000000"/>
            </w:tcBorders>
          </w:tcPr>
          <w:p>
            <w:pPr>
              <w:jc w:val="center"/>
            </w:pPr>
            <w:r/>
            <w:r>
              <w:rPr>
                <w:rFonts w:ascii="Times New Roman" w:hAnsi="Times New Roman" w:eastAsia="Times New Roman"/>
                <w:sz w:val="16"/>
              </w:rPr>
              <w:t>15.5–16.1</w:t>
            </w:r>
          </w:p>
        </w:tc>
        <w:tc>
          <w:tcPr>
            <w:tcW w:type="dxa" w:w="1296"/>
            <w:tcBorders>
              <w:bottom w:val="single" w:sz="8" w:space="0" w:color="000000"/>
            </w:tcBorders>
          </w:tcPr>
          <w:p>
            <w:pPr>
              <w:jc w:val="center"/>
            </w:pPr>
            <w:r/>
            <w:r>
              <w:rPr>
                <w:rFonts w:ascii="Times New Roman" w:hAnsi="Times New Roman" w:eastAsia="Times New Roman"/>
                <w:sz w:val="16"/>
              </w:rPr>
              <w:t>8.0</w:t>
            </w:r>
          </w:p>
        </w:tc>
        <w:tc>
          <w:tcPr>
            <w:tcW w:type="dxa" w:w="1296"/>
            <w:tcBorders>
              <w:bottom w:val="single" w:sz="8" w:space="0" w:color="000000"/>
            </w:tcBorders>
          </w:tcPr>
          <w:p>
            <w:pPr>
              <w:jc w:val="center"/>
            </w:pPr>
            <w:r/>
            <w:r>
              <w:rPr>
                <w:rFonts w:ascii="Times New Roman" w:hAnsi="Times New Roman" w:eastAsia="Times New Roman"/>
                <w:sz w:val="16"/>
              </w:rPr>
              <w:t>7.1–7.5</w:t>
            </w:r>
          </w:p>
        </w:tc>
      </w:tr>
    </w:tbl>
    <w:p>
      <w:pPr>
        <w:spacing w:after="240"/>
      </w:pPr>
      <w:r>
        <w:rPr>
          <w:rFonts w:ascii="Times New Roman" w:hAnsi="Times New Roman" w:eastAsia="Times New Roman"/>
          <w:sz w:val="20"/>
        </w:rPr>
        <w:t>Note. Ranges are over starting points (two for dynamic pricing, three for simultaneous pricing). An asterisk marks scenarios in which the dynamic-pricing runs did not reach the convergence tolerance (both runs in each); their figures are unreliable.</w:t>
      </w:r>
    </w:p>
    <w:p>
      <w:pPr>
        <w:spacing w:line="480" w:lineRule="auto" w:after="0"/>
        <w:ind w:firstLine="720"/>
        <w:jc w:val="left"/>
      </w:pPr>
      <w:r>
        <w:rPr>
          <w:rFonts w:ascii="Times New Roman" w:hAnsi="Times New Roman" w:eastAsia="Times New Roman"/>
        </w:rPr>
        <w:t xml:space="preserve">Table 7 varies the same parameters as Section 6. Among the 13 scenarios in which the dynamic-pricing runs converged, dynamic pricing yields strictly more capacity than every simultaneous-pricing equilibrium found in 11, and never less capacity than the lowest simultaneous-pricing equilibrium. Industry profit is lower under dynamic pricing in 6 of the 13 and higher in 4; the profit comparison is therefore not robust, and the capacity comparison is. In the remaining 4 scenarios (ρ = 1.7, </w:t>
      </w:r>
      <w:r>
        <w:rPr>
          <w:rFonts w:ascii="Times New Roman" w:hAnsi="Times New Roman" w:eastAsia="Times New Roman"/>
          <w:i/>
        </w:rPr>
        <w:t>c</w:t>
      </w:r>
      <w:r>
        <w:rPr>
          <w:rFonts w:ascii="Times New Roman" w:hAnsi="Times New Roman" w:eastAsia="Times New Roman"/>
        </w:rPr>
        <w:t xml:space="preserve"> = 0.1, </w:t>
      </w:r>
      <w:r>
        <w:rPr>
          <w:rFonts w:ascii="Times New Roman" w:hAnsi="Times New Roman" w:eastAsia="Times New Roman"/>
          <w:i/>
        </w:rPr>
        <w:t>c</w:t>
      </w:r>
      <w:r>
        <w:rPr>
          <w:rFonts w:ascii="Times New Roman" w:hAnsi="Times New Roman" w:eastAsia="Times New Roman"/>
        </w:rPr>
        <w:t xml:space="preserve"> = 0.2, price grid: 4 prices) the dynamic-pricing runs did not converge, and we draw no conclusion from them.</w:t>
      </w:r>
    </w:p>
    <w:p>
      <w:pPr>
        <w:keepNext/>
        <w:spacing w:line="480" w:lineRule="auto"/>
      </w:pPr>
      <w:r>
        <w:rPr>
          <w:rFonts w:ascii="Times New Roman" w:hAnsi="Times New Roman" w:eastAsia="Times New Roman"/>
          <w:b/>
          <w:i/>
        </w:rPr>
        <w:t>7.4 What changes relative to the baseline</w:t>
      </w:r>
    </w:p>
    <w:p>
      <w:pPr>
        <w:spacing w:line="480" w:lineRule="auto" w:after="0"/>
        <w:ind w:firstLine="720"/>
        <w:jc w:val="left"/>
      </w:pPr>
      <w:r>
        <w:rPr>
          <w:rFonts w:ascii="Times New Roman" w:hAnsi="Times New Roman" w:eastAsia="Times New Roman"/>
        </w:rPr>
        <w:t>Three of the baseline conclusions need qualification. Proposition 3, which bounds markups by twice the price step, applies to the simultaneous-move stage game, and the cycles show that with committed prices markups well above that bound can be sustained in a Markov perfect equilibrium without any explicit collusion. The finding that capacity is the only source of market power also needs an addendum: committed prices are a second source, and they interact with capacity, because the margins they preserve are what make additional capacity worthwhile. Finally, the capacity-race comparison in Section 6 is partly reversed. Under dynamic pricing the equilibrium capacity is higher than under simultaneous pricing in the scenarios that converged, so that the weakening of the capacity race that we attributed to price competition depends on how often firms can reprice. The results of this section are less complete than those of the baseline: they rely on moderate payoff noise, on an alternating protocol that also changes the pace of investment, and on a solver that fails to converge in some scenarios.</w:t>
      </w:r>
    </w:p>
    <w:p>
      <w:pPr>
        <w:keepNext/>
        <w:spacing w:line="480" w:lineRule="auto"/>
      </w:pPr>
      <w:r>
        <w:rPr>
          <w:rFonts w:ascii="Times New Roman" w:hAnsi="Times New Roman" w:eastAsia="Times New Roman"/>
          <w:b/>
        </w:rPr>
        <w:t>8. Consistency with Public Data</w:t>
      </w:r>
    </w:p>
    <w:p>
      <w:pPr>
        <w:keepNext/>
        <w:spacing w:line="480" w:lineRule="auto"/>
      </w:pPr>
      <w:r>
        <w:rPr>
          <w:rFonts w:ascii="Times New Roman" w:hAnsi="Times New Roman" w:eastAsia="Times New Roman"/>
          <w:b/>
          <w:i/>
        </w:rPr>
        <w:t>8.1 What the data can and cannot discipline</w:t>
      </w:r>
    </w:p>
    <w:p>
      <w:pPr>
        <w:spacing w:line="480" w:lineRule="auto" w:after="0"/>
        <w:ind w:firstLine="720"/>
        <w:jc w:val="left"/>
      </w:pPr>
      <w:r>
        <w:rPr>
          <w:rFonts w:ascii="Times New Roman" w:hAnsi="Times New Roman" w:eastAsia="Times New Roman"/>
        </w:rPr>
        <w:t>We do not estimate the model. Public data on this market are aggregated, are often published by vendors with commercial interests, and do not identify a dynamic game with adjustment costs. We use them in two limited ways: to set the ratio between the lowest and highest price in the grid, and to check whether the model’s qualitative implications are consistent with what is observed. The per-node capacity κ, the adjustment costs, the demand-regime process, and the scale of the payoff shocks are not identified by these data, and Section 6 treats them as free parameters.</w:t>
      </w:r>
    </w:p>
    <w:p>
      <w:pPr>
        <w:spacing w:line="480" w:lineRule="auto" w:after="0"/>
        <w:ind w:firstLine="720"/>
        <w:jc w:val="left"/>
      </w:pPr>
      <w:r>
        <w:rPr>
          <w:rFonts w:ascii="Times New Roman" w:hAnsi="Times New Roman" w:eastAsia="Times New Roman"/>
        </w:rPr>
        <w:t>Table 5 summarizes the evidence. The strongest series is the H100 rental price index reported by Silicon Data (2026), which separates hyperscalers, marketplaces, and specialized “neoclouds.” From the second half of 2023 to the second half of 2025 the hyperscaler median fell by about 19%, and from the second half of 2024 to the second half of 2025 the marketplace median fell by about 24%, while the neocloud median rose by about 11%. The hyperscaler price remained about 3.2 times the marketplace price at the end of the period. Epoch AI (2025) reports that the price of reaching a fixed level of LLM performance has fallen between 9 and 900 times per year, depending on the benchmark and threshold, with a rate of about 40 times per year for GPT-4-level performance on a PhD-level science test, and cautions that the fastest declines are recent and may not persist.</w:t>
      </w:r>
    </w:p>
    <w:p>
      <w:pPr>
        <w:keepNext/>
        <w:spacing w:after="80"/>
      </w:pPr>
      <w:r>
        <w:rPr>
          <w:rFonts w:ascii="Times New Roman" w:hAnsi="Times New Roman" w:eastAsia="Times New Roman"/>
          <w:b/>
          <w:sz w:val="22"/>
        </w:rPr>
        <w:t>Table 5.</w:t>
      </w:r>
      <w:r>
        <w:rPr>
          <w:rFonts w:ascii="Times New Roman" w:hAnsi="Times New Roman" w:eastAsia="Times New Roman"/>
          <w:sz w:val="22"/>
        </w:rPr>
        <w:t xml:space="preserve"> Public evidence and the model.</w:t>
      </w:r>
    </w:p>
    <w:tbl>
      <w:tblPr>
        <w:tblW w:type="auto" w:w="0"/>
        <w:jc w:val="center"/>
        <w:tblLayout w:type="fixed"/>
        <w:tblLook w:firstColumn="1" w:firstRow="1" w:lastColumn="0" w:lastRow="0" w:noHBand="0" w:noVBand="1" w:val="04A0"/>
      </w:tblPr>
      <w:tblGrid>
        <w:gridCol w:w="3120"/>
        <w:gridCol w:w="3120"/>
        <w:gridCol w:w="3120"/>
      </w:tblGrid>
      <w:tr>
        <w:tc>
          <w:tcPr>
            <w:tcW w:type="dxa" w:w="3672"/>
            <w:tcBorders>
              <w:top w:val="single" w:sz="8" w:space="0" w:color="000000"/>
              <w:bottom w:val="single" w:sz="8" w:space="0" w:color="000000"/>
            </w:tcBorders>
          </w:tcPr>
          <w:p>
            <w:pPr>
              <w:jc w:val="left"/>
            </w:pPr>
            <w:r/>
            <w:r>
              <w:rPr>
                <w:rFonts w:ascii="Times New Roman" w:hAnsi="Times New Roman" w:eastAsia="Times New Roman"/>
                <w:b/>
                <w:sz w:val="18"/>
              </w:rPr>
              <w:t>Observation (source)</w:t>
            </w:r>
          </w:p>
        </w:tc>
        <w:tc>
          <w:tcPr>
            <w:tcW w:type="dxa" w:w="3960"/>
            <w:tcBorders>
              <w:top w:val="single" w:sz="8" w:space="0" w:color="000000"/>
              <w:bottom w:val="single" w:sz="8" w:space="0" w:color="000000"/>
            </w:tcBorders>
          </w:tcPr>
          <w:p>
            <w:pPr>
              <w:jc w:val="center"/>
            </w:pPr>
            <w:r/>
            <w:r>
              <w:rPr>
                <w:rFonts w:ascii="Times New Roman" w:hAnsi="Times New Roman" w:eastAsia="Times New Roman"/>
                <w:b/>
                <w:sz w:val="18"/>
              </w:rPr>
              <w:t>Reading in the model</w:t>
            </w:r>
          </w:p>
        </w:tc>
        <w:tc>
          <w:tcPr>
            <w:tcW w:type="dxa" w:w="1728"/>
            <w:tcBorders>
              <w:top w:val="single" w:sz="8" w:space="0" w:color="000000"/>
              <w:bottom w:val="single" w:sz="8" w:space="0" w:color="000000"/>
            </w:tcBorders>
          </w:tcPr>
          <w:p>
            <w:pPr>
              <w:jc w:val="center"/>
            </w:pPr>
            <w:r/>
            <w:r>
              <w:rPr>
                <w:rFonts w:ascii="Times New Roman" w:hAnsi="Times New Roman" w:eastAsia="Times New Roman"/>
                <w:b/>
                <w:sz w:val="18"/>
              </w:rPr>
              <w:t>Status</w:t>
            </w:r>
          </w:p>
        </w:tc>
      </w:tr>
      <w:tr>
        <w:tc>
          <w:tcPr>
            <w:tcW w:type="dxa" w:w="3672"/>
          </w:tcPr>
          <w:p>
            <w:pPr>
              <w:jc w:val="left"/>
            </w:pPr>
            <w:r/>
            <w:r>
              <w:rPr>
                <w:rFonts w:ascii="Times New Roman" w:hAnsi="Times New Roman" w:eastAsia="Times New Roman"/>
                <w:sz w:val="18"/>
              </w:rPr>
              <w:t>H100 hourly rental price falls as supply expands: hyperscaler median $7.76 (2023 H2) to $6.26 (2025 H2); marketplace median $2.58 (2024 H2) to $1.95 (2025 H2) (Silicon Data 2026)</w:t>
            </w:r>
          </w:p>
        </w:tc>
        <w:tc>
          <w:tcPr>
            <w:tcW w:type="dxa" w:w="3960"/>
          </w:tcPr>
          <w:p>
            <w:pPr>
              <w:jc w:val="left"/>
            </w:pPr>
            <w:r/>
            <w:r>
              <w:rPr>
                <w:rFonts w:ascii="Times New Roman" w:hAnsi="Times New Roman" w:eastAsia="Times New Roman"/>
                <w:sz w:val="18"/>
              </w:rPr>
              <w:t>Price falls when capacity becomes ample relative to demand (Proposition 3, Figure 1). The model’s decline from scarce to ample states is about 45% in the base case.</w:t>
            </w:r>
          </w:p>
        </w:tc>
        <w:tc>
          <w:tcPr>
            <w:tcW w:type="dxa" w:w="1728"/>
          </w:tcPr>
          <w:p>
            <w:pPr>
              <w:jc w:val="left"/>
            </w:pPr>
            <w:r/>
            <w:r>
              <w:rPr>
                <w:rFonts w:ascii="Times New Roman" w:hAnsi="Times New Roman" w:eastAsia="Times New Roman"/>
                <w:sz w:val="18"/>
              </w:rPr>
              <w:t>Direction consistent; magnitude not targeted</w:t>
            </w:r>
          </w:p>
        </w:tc>
      </w:tr>
      <w:tr>
        <w:tc>
          <w:tcPr>
            <w:tcW w:type="dxa" w:w="3672"/>
          </w:tcPr>
          <w:p>
            <w:pPr>
              <w:jc w:val="left"/>
            </w:pPr>
            <w:r/>
            <w:r>
              <w:rPr>
                <w:rFonts w:ascii="Times New Roman" w:hAnsi="Times New Roman" w:eastAsia="Times New Roman"/>
                <w:sz w:val="18"/>
              </w:rPr>
              <w:t>Hyperscaler price remains about 3.2 times the marketplace price in 2025 H2 (Silicon Data 2026)</w:t>
            </w:r>
          </w:p>
        </w:tc>
        <w:tc>
          <w:tcPr>
            <w:tcW w:type="dxa" w:w="3960"/>
          </w:tcPr>
          <w:p>
            <w:pPr>
              <w:jc w:val="left"/>
            </w:pPr>
            <w:r/>
            <w:r>
              <w:rPr>
                <w:rFonts w:ascii="Times New Roman" w:hAnsi="Times New Roman" w:eastAsia="Times New Roman"/>
                <w:sz w:val="18"/>
              </w:rPr>
              <w:t>With homogeneous service and frictionless switching, ample capacity implies a single price (Proposition 3). A persistent gap implies differentiation, commitment contracts, or switching frictions that the model omits.</w:t>
            </w:r>
          </w:p>
        </w:tc>
        <w:tc>
          <w:tcPr>
            <w:tcW w:type="dxa" w:w="1728"/>
          </w:tcPr>
          <w:p>
            <w:pPr>
              <w:jc w:val="left"/>
            </w:pPr>
            <w:r/>
            <w:r>
              <w:rPr>
                <w:rFonts w:ascii="Times New Roman" w:hAnsi="Times New Roman" w:eastAsia="Times New Roman"/>
                <w:sz w:val="18"/>
              </w:rPr>
              <w:t>Inconsistent with the homogeneous-good benchmark</w:t>
            </w:r>
          </w:p>
        </w:tc>
      </w:tr>
      <w:tr>
        <w:tc>
          <w:tcPr>
            <w:tcW w:type="dxa" w:w="3672"/>
          </w:tcPr>
          <w:p>
            <w:pPr>
              <w:jc w:val="left"/>
            </w:pPr>
            <w:r/>
            <w:r>
              <w:rPr>
                <w:rFonts w:ascii="Times New Roman" w:hAnsi="Times New Roman" w:eastAsia="Times New Roman"/>
                <w:sz w:val="18"/>
              </w:rPr>
              <w:t>Token prices at fixed capability fall 9 to 900 times per year (Epoch AI 2025)</w:t>
            </w:r>
          </w:p>
        </w:tc>
        <w:tc>
          <w:tcPr>
            <w:tcW w:type="dxa" w:w="3960"/>
          </w:tcPr>
          <w:p>
            <w:pPr>
              <w:jc w:val="left"/>
            </w:pPr>
            <w:r/>
            <w:r>
              <w:rPr>
                <w:rFonts w:ascii="Times New Roman" w:hAnsi="Times New Roman" w:eastAsia="Times New Roman"/>
                <w:sz w:val="18"/>
              </w:rPr>
              <w:t>Largely a cost-side and product-quality phenomenon (smaller models, better hardware). The model holds marginal cost fixed, so this is outside its explanatory scope.</w:t>
            </w:r>
          </w:p>
        </w:tc>
        <w:tc>
          <w:tcPr>
            <w:tcW w:type="dxa" w:w="1728"/>
          </w:tcPr>
          <w:p>
            <w:pPr>
              <w:jc w:val="left"/>
            </w:pPr>
            <w:r/>
            <w:r>
              <w:rPr>
                <w:rFonts w:ascii="Times New Roman" w:hAnsi="Times New Roman" w:eastAsia="Times New Roman"/>
                <w:sz w:val="18"/>
              </w:rPr>
              <w:t>Not addressed</w:t>
            </w:r>
          </w:p>
        </w:tc>
      </w:tr>
      <w:tr>
        <w:tc>
          <w:tcPr>
            <w:tcW w:type="dxa" w:w="3672"/>
          </w:tcPr>
          <w:p>
            <w:pPr>
              <w:jc w:val="left"/>
            </w:pPr>
            <w:r/>
            <w:r>
              <w:rPr>
                <w:rFonts w:ascii="Times New Roman" w:hAnsi="Times New Roman" w:eastAsia="Times New Roman"/>
                <w:sz w:val="18"/>
              </w:rPr>
              <w:t>Four hyperscalers’ capital expenditure of roughly $410–435 billion in 2025 and higher 2026 guidance (Platformonomics 2026)</w:t>
            </w:r>
          </w:p>
        </w:tc>
        <w:tc>
          <w:tcPr>
            <w:tcW w:type="dxa" w:w="3960"/>
          </w:tcPr>
          <w:p>
            <w:pPr>
              <w:jc w:val="left"/>
            </w:pPr>
            <w:r/>
            <w:r>
              <w:rPr>
                <w:rFonts w:ascii="Times New Roman" w:hAnsi="Times New Roman" w:eastAsia="Times New Roman"/>
                <w:sz w:val="18"/>
              </w:rPr>
              <w:t>Expansion occurs mainly when capacity is short relative to demand (Table 2). The demand process here is stationary, so a secular rise in demand, which probably drives this spending, is outside the model.</w:t>
            </w:r>
          </w:p>
        </w:tc>
        <w:tc>
          <w:tcPr>
            <w:tcW w:type="dxa" w:w="1728"/>
          </w:tcPr>
          <w:p>
            <w:pPr>
              <w:jc w:val="left"/>
            </w:pPr>
            <w:r/>
            <w:r>
              <w:rPr>
                <w:rFonts w:ascii="Times New Roman" w:hAnsi="Times New Roman" w:eastAsia="Times New Roman"/>
                <w:sz w:val="18"/>
              </w:rPr>
              <w:t>Qualitatively compatible; not testable</w:t>
            </w:r>
          </w:p>
        </w:tc>
      </w:tr>
      <w:tr>
        <w:tc>
          <w:tcPr>
            <w:tcW w:type="dxa" w:w="3672"/>
            <w:tcBorders>
              <w:bottom w:val="single" w:sz="8" w:space="0" w:color="000000"/>
            </w:tcBorders>
          </w:tcPr>
          <w:p>
            <w:pPr>
              <w:jc w:val="left"/>
            </w:pPr>
            <w:r/>
            <w:r>
              <w:rPr>
                <w:rFonts w:ascii="Times New Roman" w:hAnsi="Times New Roman" w:eastAsia="Times New Roman"/>
                <w:sz w:val="18"/>
              </w:rPr>
              <w:t>Lowest-to-highest price ratio: marketplace / hyperscaler = 1.95/6.26 = 0.31 (Silicon Data 2026)</w:t>
            </w:r>
          </w:p>
        </w:tc>
        <w:tc>
          <w:tcPr>
            <w:tcW w:type="dxa" w:w="3960"/>
            <w:tcBorders>
              <w:bottom w:val="single" w:sz="8" w:space="0" w:color="000000"/>
            </w:tcBorders>
          </w:tcPr>
          <w:p>
            <w:pPr>
              <w:jc w:val="left"/>
            </w:pPr>
            <w:r/>
            <w:r>
              <w:rPr>
                <w:rFonts w:ascii="Times New Roman" w:hAnsi="Times New Roman" w:eastAsia="Times New Roman"/>
                <w:sz w:val="18"/>
              </w:rPr>
              <w:t>Used to set the price floor-to-ceiling ratio in one scenario (floor 0.465, ceiling 1.5, eight prices).</w:t>
            </w:r>
          </w:p>
        </w:tc>
        <w:tc>
          <w:tcPr>
            <w:tcW w:type="dxa" w:w="1728"/>
            <w:tcBorders>
              <w:bottom w:val="single" w:sz="8" w:space="0" w:color="000000"/>
            </w:tcBorders>
          </w:tcPr>
          <w:p>
            <w:pPr>
              <w:jc w:val="left"/>
            </w:pPr>
            <w:r/>
            <w:r>
              <w:rPr>
                <w:rFonts w:ascii="Times New Roman" w:hAnsi="Times New Roman" w:eastAsia="Times New Roman"/>
                <w:sz w:val="18"/>
              </w:rPr>
              <w:t>Calibrated (single parameter)</w:t>
            </w:r>
          </w:p>
        </w:tc>
      </w:tr>
    </w:tbl>
    <w:p>
      <w:pPr>
        <w:spacing w:after="240"/>
      </w:pPr>
      <w:r>
        <w:rPr>
          <w:rFonts w:ascii="Times New Roman" w:hAnsi="Times New Roman" w:eastAsia="Times New Roman"/>
          <w:sz w:val="20"/>
        </w:rPr>
        <w:t>Note. The sources are vendor and tracker publications, not audited data. See the discussion in the text and the references.</w:t>
      </w:r>
    </w:p>
    <w:p>
      <w:pPr>
        <w:keepNext/>
        <w:spacing w:line="480" w:lineRule="auto"/>
      </w:pPr>
      <w:r>
        <w:rPr>
          <w:rFonts w:ascii="Times New Roman" w:hAnsi="Times New Roman" w:eastAsia="Times New Roman"/>
          <w:b/>
          <w:i/>
        </w:rPr>
        <w:t>8.2 The price-ratio scenario</w:t>
      </w:r>
    </w:p>
    <w:p>
      <w:pPr>
        <w:spacing w:line="480" w:lineRule="auto" w:after="0"/>
        <w:ind w:firstLine="720"/>
        <w:jc w:val="left"/>
      </w:pPr>
      <w:r>
        <w:rPr>
          <w:rFonts w:ascii="Times New Roman" w:hAnsi="Times New Roman" w:eastAsia="Times New Roman"/>
        </w:rPr>
        <w:t>Setting the price floor to 0.31 of the ceiling, with eight price points, yields a single equilibrium outcome in all four runs. Mean capacity equals the joint-profit level (45.0), the average price is 1.22, consumer surplus is 7.16, and industry profit is 68% of the joint-profit benchmark. This is the same qualitative outcome as in the other refined-grid scenarios of Section 6, and it confirms that the capacity-heavy equilibrium of the coarse base grid does not survive a more realistic price range.</w:t>
      </w:r>
    </w:p>
    <w:p>
      <w:pPr>
        <w:spacing w:line="480" w:lineRule="auto" w:after="0"/>
        <w:ind w:firstLine="720"/>
        <w:jc w:val="left"/>
      </w:pPr>
      <w:r>
        <w:rPr>
          <w:rFonts w:ascii="Times New Roman" w:hAnsi="Times New Roman" w:eastAsia="Times New Roman"/>
        </w:rPr>
        <w:t>What this check shows, and what it does not show, should be stated plainly. The model reproduces the sign of the price response to capacity expansion, and its prediction that excess capacity should be limited under price competition is not contradicted by the data. It does not reproduce the persistent dispersion in prices across provider types, and it cannot be taken as evidence on the level of any parameter. A serious test would estimate the model on panel data on prices, capacity, and utilization by provider, using the two-step methods of Aguirregabiria and Mira (2007) or Bajari, Benkard, and Levin (2007). Our separation result simplifies the second step of such an exercise, because the pricing game can be taken to data separately from the investment game.</w:t>
      </w:r>
    </w:p>
    <w:p>
      <w:pPr>
        <w:keepNext/>
        <w:spacing w:line="480" w:lineRule="auto"/>
      </w:pPr>
      <w:r>
        <w:rPr>
          <w:rFonts w:ascii="Times New Roman" w:hAnsi="Times New Roman" w:eastAsia="Times New Roman"/>
          <w:b/>
        </w:rPr>
        <w:t>9. Implications for Platform Design and Policy</w:t>
      </w:r>
    </w:p>
    <w:p>
      <w:pPr>
        <w:spacing w:line="480" w:lineRule="auto" w:after="0"/>
        <w:ind w:firstLine="720"/>
        <w:jc w:val="left"/>
      </w:pPr>
      <w:r>
        <w:rPr>
          <w:rFonts w:ascii="Times New Roman" w:hAnsi="Times New Roman" w:eastAsia="Times New Roman"/>
        </w:rPr>
        <w:t>The model is stylized, and its implications are therefore conditional. In what follows we separate what the computed results support from what they only suggest.</w:t>
      </w:r>
    </w:p>
    <w:p>
      <w:pPr>
        <w:keepNext/>
        <w:spacing w:line="480" w:lineRule="auto"/>
      </w:pPr>
      <w:r>
        <w:rPr>
          <w:rFonts w:ascii="Times New Roman" w:hAnsi="Times New Roman" w:eastAsia="Times New Roman"/>
          <w:b/>
          <w:i/>
        </w:rPr>
        <w:t>9.1 Supported by the computed results</w:t>
      </w:r>
    </w:p>
    <w:p>
      <w:pPr>
        <w:spacing w:line="480" w:lineRule="auto" w:after="0"/>
        <w:ind w:firstLine="720"/>
        <w:jc w:val="left"/>
      </w:pPr>
      <w:r>
        <w:rPr>
          <w:rFonts w:ascii="Times New Roman" w:hAnsi="Times New Roman" w:eastAsia="Times New Roman"/>
          <w:i/>
        </w:rPr>
        <w:t>Price levels follow scarcity, not adjustment costs.</w:t>
      </w:r>
      <w:r>
        <w:rPr>
          <w:rFonts w:ascii="Times New Roman" w:hAnsi="Times New Roman" w:eastAsia="Times New Roman"/>
        </w:rPr>
        <w:t xml:space="preserve"> Across the scenarios, price is high where installed capacity falls short of demand and low where it is ample, as Propositions 2 and 3 say. Changing the cost of adjusting capacity has little effect on prices. Halving adjustment costs gives an average price of 1.17–1.25 and doubling them 1.17–1.25, compared with 1.13–1.25 in the base case, and the associated capacity ranges overlap. For a platform operator or a regulator, this suggests that policies that make provisioning cheaper, by themselves, are unlikely to lower prices if total capacity remains short of peak demand. Policies that change the aggregate capacity relative to demand matter more.</w:t>
      </w:r>
    </w:p>
    <w:p>
      <w:pPr>
        <w:spacing w:line="480" w:lineRule="auto" w:after="0"/>
        <w:ind w:firstLine="720"/>
        <w:jc w:val="left"/>
      </w:pPr>
      <w:r>
        <w:rPr>
          <w:rFonts w:ascii="Times New Roman" w:hAnsi="Times New Roman" w:eastAsia="Times New Roman"/>
          <w:i/>
        </w:rPr>
        <w:t>Equilibrium selection is a policy variable.</w:t>
      </w:r>
      <w:r>
        <w:rPr>
          <w:rFonts w:ascii="Times New Roman" w:hAnsi="Times New Roman" w:eastAsia="Times New Roman"/>
        </w:rPr>
        <w:t xml:space="preserve"> When equilibria are multiple, which one a market lands in is shaped by expectations and by what firms can observe about each other. In the base scenario the capacity-heavy equilibrium raises consumer surplus by 3.23 per period and lowers total surplus by 1.01, which is about 4.3% of the total. Whether that is a good trade depends on how a decision-maker weights consumers and firms, and the model gives no reason to think that the answer is the same for a competition authority and for a platform.</w:t>
      </w:r>
    </w:p>
    <w:p>
      <w:pPr>
        <w:spacing w:line="480" w:lineRule="auto" w:after="0"/>
        <w:ind w:firstLine="720"/>
        <w:jc w:val="left"/>
      </w:pPr>
      <w:r>
        <w:rPr>
          <w:rFonts w:ascii="Times New Roman" w:hAnsi="Times New Roman" w:eastAsia="Times New Roman"/>
          <w:i/>
        </w:rPr>
        <w:t>Share-based competition invites overbuilding.</w:t>
      </w:r>
      <w:r>
        <w:rPr>
          <w:rFonts w:ascii="Times New Roman" w:hAnsi="Times New Roman" w:eastAsia="Times New Roman"/>
        </w:rPr>
        <w:t xml:space="preserve"> In every scenario the market-share contest holds more capacity than any Bertrand equilibrium we found, by at least 15 request-units. If customers contract in ways that tie revenue to installed share, for example through long-term reservations that favor the provider with the most committed capacity, the investment race is likely to be more intense than under spot price competition. Our model does not include contracts, so this is an implication of the reduced-form share rule, not a test of any real contract.</w:t>
      </w:r>
    </w:p>
    <w:p>
      <w:pPr>
        <w:keepNext/>
        <w:spacing w:line="480" w:lineRule="auto"/>
      </w:pPr>
      <w:r>
        <w:rPr>
          <w:rFonts w:ascii="Times New Roman" w:hAnsi="Times New Roman" w:eastAsia="Times New Roman"/>
          <w:b/>
          <w:i/>
        </w:rPr>
        <w:t>9.2 Suggestive, not tested</w:t>
      </w:r>
    </w:p>
    <w:p>
      <w:pPr>
        <w:spacing w:line="480" w:lineRule="auto" w:after="0"/>
        <w:ind w:firstLine="720"/>
        <w:jc w:val="left"/>
      </w:pPr>
      <w:r>
        <w:rPr>
          <w:rFonts w:ascii="Times New Roman" w:hAnsi="Times New Roman" w:eastAsia="Times New Roman"/>
          <w:i/>
        </w:rPr>
        <w:t>Capacity disclosure.</w:t>
      </w:r>
      <w:r>
        <w:rPr>
          <w:rFonts w:ascii="Times New Roman" w:hAnsi="Times New Roman" w:eastAsia="Times New Roman"/>
        </w:rPr>
        <w:t xml:space="preserve"> If a market has multiple equilibria, public information on rivals’ capacity and utilization can act as a coordination device. Our results suggest that it could coordinate on either equilibrium, and in the capacity-scarce one prices are higher and consumers are worse off. Regulators who consider mandatory disclosure of capacity and utilization for transparency reasons should therefore weigh the possibility that it facilitates coordination on scarcity. The model cannot say which effect dominates.</w:t>
      </w:r>
    </w:p>
    <w:p>
      <w:pPr>
        <w:spacing w:line="480" w:lineRule="auto" w:after="0"/>
        <w:ind w:firstLine="720"/>
        <w:jc w:val="left"/>
      </w:pPr>
      <w:r>
        <w:rPr>
          <w:rFonts w:ascii="Times New Roman" w:hAnsi="Times New Roman" w:eastAsia="Times New Roman"/>
          <w:i/>
        </w:rPr>
        <w:t>Switching and portability.</w:t>
      </w:r>
      <w:r>
        <w:rPr>
          <w:rFonts w:ascii="Times New Roman" w:hAnsi="Times New Roman" w:eastAsia="Times New Roman"/>
        </w:rPr>
        <w:t xml:space="preserve"> Recent interventions in cloud markets focus on switching frictions: the UK Competition and Markets Authority (2025) found that technical and commercial barriers to switching, including egress fees and licensing practices, weaken competition between the leading providers, the EU Data Act (Regulation (EU) 2023/2854) provides for the removal of switching charges from January 2027, and a Federal Trade Commission staff study (2025) examined how investments by cloud providers in AI developers may raise switching costs for the developers. Our model sits at the frictionless end of this spectrum, since rejected requests spill to the rival at no cost, and it implies that frictionless switching does not discipline prices when aggregate capacity is short of demand (Proposition 2). In the model, portability helps consumers when capacity is ample and does little when it is not. This is a statement about the benchmark and not about the effect of any specific rule: a model with switching costs would be needed to evaluate them, and we make no claim about the size of that effect.</w:t>
      </w:r>
    </w:p>
    <w:p>
      <w:pPr>
        <w:spacing w:line="480" w:lineRule="auto" w:after="0"/>
        <w:ind w:firstLine="720"/>
        <w:jc w:val="left"/>
      </w:pPr>
      <w:r>
        <w:rPr>
          <w:rFonts w:ascii="Times New Roman" w:hAnsi="Times New Roman" w:eastAsia="Times New Roman"/>
          <w:i/>
        </w:rPr>
        <w:t>Design of commitments.</w:t>
      </w:r>
      <w:r>
        <w:rPr>
          <w:rFonts w:ascii="Times New Roman" w:hAnsi="Times New Roman" w:eastAsia="Times New Roman"/>
        </w:rPr>
        <w:t xml:space="preserve"> Because capacity is the only source of margin in the model, platform features that let a provider make its capacity visible and credible, such as reserved capacity and service-level guarantees, have two edges. They reassure customers, and they can soften competition if they let providers hold scarce capacity without losing demand. Whether they do so in practice is an empirical question that our model does not answer.</w:t>
      </w:r>
    </w:p>
    <w:p>
      <w:pPr>
        <w:keepNext/>
        <w:spacing w:line="480" w:lineRule="auto"/>
      </w:pPr>
      <w:r>
        <w:rPr>
          <w:rFonts w:ascii="Times New Roman" w:hAnsi="Times New Roman" w:eastAsia="Times New Roman"/>
          <w:b/>
        </w:rPr>
        <w:t>10. Limitations and Extensions</w:t>
      </w:r>
    </w:p>
    <w:p>
      <w:pPr>
        <w:spacing w:line="480" w:lineRule="auto" w:after="0"/>
        <w:ind w:firstLine="720"/>
        <w:jc w:val="left"/>
      </w:pPr>
      <w:r>
        <w:rPr>
          <w:rFonts w:ascii="Times New Roman" w:hAnsi="Times New Roman" w:eastAsia="Times New Roman"/>
        </w:rPr>
        <w:t>Several limitations deserve emphasis. The pricing stage is static by construction, so the model does not generate price cycles or tacit collusion, and it would be natural to let last period’s price enter the state, as in Maskin and Tirole (1988). Demand is inelastic up to a reservation price and products are homogeneous, which is why the model cannot explain the persistent price gap between hyperscalers and marketplaces; differentiation by latency, reliability, or bundled services is the obvious extension. We study two symmetric-information firms and do not allow entry, even though entry appears to have been important in this market. Marginal cost is constant, whereas costs per token have fallen quickly. The price grid is coarse and the extreme-value shocks smooth the undercutting logic, so the exact price levels should not be taken literally. Equilibria are found by iteration from a limited number of starting points, and we cannot rule out other equilibria, or confirm uniqueness in scenarios in which we found one. The market-share benchmark was solved from the uniform starting point only. Finally, three of the 80 solver runs did not converge to the tolerance, as noted above.</w:t>
      </w:r>
    </w:p>
    <w:p>
      <w:pPr>
        <w:spacing w:line="480" w:lineRule="auto" w:after="0"/>
        <w:ind w:firstLine="720"/>
        <w:jc w:val="left"/>
      </w:pPr>
      <w:r>
        <w:rPr>
          <w:rFonts w:ascii="Times New Roman" w:hAnsi="Times New Roman" w:eastAsia="Times New Roman"/>
        </w:rPr>
        <w:t>Extensions that we think are most valuable are an estimated version with panel data on provider prices and capacity, a model with differentiated products and switching costs that can be used to evaluate portability rules, and a version with sticky prices that can generate cycles.</w:t>
      </w:r>
    </w:p>
    <w:p>
      <w:pPr>
        <w:keepNext/>
        <w:spacing w:line="480" w:lineRule="auto"/>
      </w:pPr>
      <w:r>
        <w:rPr>
          <w:rFonts w:ascii="Times New Roman" w:hAnsi="Times New Roman" w:eastAsia="Times New Roman"/>
          <w:b/>
        </w:rPr>
        <w:t>11. Conclusion</w:t>
      </w:r>
    </w:p>
    <w:p>
      <w:pPr>
        <w:spacing w:line="480" w:lineRule="auto" w:after="0"/>
        <w:ind w:firstLine="720"/>
        <w:jc w:val="left"/>
      </w:pPr>
      <w:r>
        <w:rPr>
          <w:rFonts w:ascii="Times New Roman" w:hAnsi="Times New Roman" w:eastAsia="Times New Roman"/>
        </w:rPr>
        <w:t>We have studied capacity investment and price competition in a market in which capacity arrives with a lag and at a sunk cost, and in which providers compete on price. The analysis yields a separation of pricing and capacity, and it shows that scarcity makes the reservation price dominant while abundance leaves only markups bounded by the price grid. Numerically, price competition keeps capacity below the level induced by a market-share contest and never below the joint-profit level, but equilibria are often multiple and consumers and total surplus rank them differently. The main practical lesson is that in a market like this one, whether prices are high depends less on the cost of adjusting capacity than on whether total capacity is scarce relative to peak demand, and that remedies that help customers move between providers matter most when capacity is ample. These conclusions come from a stylized model, and the comparison with public data is qualitative. We hope the model and the code that accompanies it are a useful starting point for estimation.</w:t>
      </w:r>
    </w:p>
    <w:p>
      <w:pPr>
        <w:keepNext/>
        <w:spacing w:line="480" w:lineRule="auto"/>
      </w:pPr>
      <w:r>
        <w:rPr>
          <w:rFonts w:ascii="Times New Roman" w:hAnsi="Times New Roman" w:eastAsia="Times New Roman"/>
          <w:b/>
        </w:rPr>
        <w:t>Replication Note</w:t>
      </w:r>
    </w:p>
    <w:p>
      <w:pPr>
        <w:spacing w:line="480" w:lineRule="auto" w:after="0"/>
        <w:ind w:firstLine="720"/>
        <w:jc w:val="left"/>
      </w:pPr>
      <w:r>
        <w:rPr>
          <w:rFonts w:ascii="Times New Roman" w:hAnsi="Times New Roman" w:eastAsia="Times New Roman"/>
        </w:rPr>
        <w:t>All code, parameter files, and result files are in the repository directory dynamic_bertrand (bertrand_mpe.py for the model, sensitivity.py for the scenario and equilibrium-selection runs, make_sens_tables.py for the tables; alternating.py, price_game.py, joint_dynamic*.py and make_price_figs.py for Section 7). The base run takes about two minutes on a laptop-class CPU; the full sensitivity analysis takes roughly one hour on four cores.</w:t>
      </w:r>
    </w:p>
    <w:p>
      <w:r>
        <w:br w:type="page"/>
      </w:r>
    </w:p>
    <w:p>
      <w:pPr>
        <w:keepNext/>
        <w:spacing w:line="480" w:lineRule="auto"/>
      </w:pPr>
      <w:r>
        <w:rPr>
          <w:rFonts w:ascii="Times New Roman" w:hAnsi="Times New Roman" w:eastAsia="Times New Roman"/>
          <w:b/>
        </w:rPr>
        <w:t>Appendix A. Proofs</w:t>
      </w:r>
    </w:p>
    <w:p>
      <w:pPr>
        <w:spacing w:line="480" w:lineRule="auto" w:after="0"/>
        <w:ind w:firstLine="720"/>
        <w:jc w:val="left"/>
      </w:pPr>
      <w:r>
        <w:rPr>
          <w:rFonts w:ascii="Times New Roman" w:hAnsi="Times New Roman" w:eastAsia="Times New Roman"/>
          <w:i/>
        </w:rPr>
        <w:t>Proof of Proposition 1.</w:t>
      </w:r>
      <w:r>
        <w:rPr>
          <w:rFonts w:ascii="Times New Roman" w:hAnsi="Times New Roman" w:eastAsia="Times New Roman"/>
        </w:rPr>
        <w:t xml:space="preserve"> Fix a state </w:t>
      </w:r>
      <w:r>
        <w:rPr>
          <w:rFonts w:ascii="Times New Roman" w:hAnsi="Times New Roman" w:eastAsia="Times New Roman"/>
          <w:i/>
        </w:rPr>
        <w:t>S</w:t>
      </w:r>
      <w:r>
        <w:rPr>
          <w:rFonts w:ascii="Times New Roman" w:hAnsi="Times New Roman" w:eastAsia="Times New Roman"/>
        </w:rPr>
        <w:t xml:space="preserve"> and rival strategy σ</w:t>
      </w:r>
      <w:r>
        <w:rPr>
          <w:rFonts w:ascii="Times New Roman" w:hAnsi="Times New Roman" w:eastAsia="Times New Roman"/>
          <w:vertAlign w:val="subscript"/>
        </w:rPr>
        <w:t>j</w:t>
      </w:r>
      <w:r>
        <w:rPr>
          <w:rFonts w:ascii="Times New Roman" w:hAnsi="Times New Roman" w:eastAsia="Times New Roman"/>
        </w:rPr>
        <w:t>. Because rival’s price affects Π</w:t>
      </w:r>
      <w:r>
        <w:rPr>
          <w:rFonts w:ascii="Times New Roman" w:hAnsi="Times New Roman" w:eastAsia="Times New Roman"/>
          <w:vertAlign w:val="subscript"/>
        </w:rPr>
        <w:t>i</w:t>
      </w:r>
      <w:r>
        <w:rPr>
          <w:rFonts w:ascii="Times New Roman" w:hAnsi="Times New Roman" w:eastAsia="Times New Roman"/>
        </w:rPr>
        <w:t xml:space="preserve"> only through the stage profit (4), and rival’s capacity action affects the continuation state only through the transition (2), the expected payoff in (5) of action (</w:t>
      </w:r>
      <w:r>
        <w:rPr>
          <w:rFonts w:ascii="Times New Roman" w:hAnsi="Times New Roman" w:eastAsia="Times New Roman"/>
          <w:i/>
        </w:rPr>
        <w:t>p</w:t>
      </w:r>
      <w:r>
        <w:rPr>
          <w:rFonts w:ascii="Times New Roman" w:hAnsi="Times New Roman" w:eastAsia="Times New Roman"/>
        </w:rPr>
        <w:t xml:space="preserve">, </w:t>
      </w:r>
      <w:r>
        <w:rPr>
          <w:rFonts w:ascii="Times New Roman" w:hAnsi="Times New Roman" w:eastAsia="Times New Roman"/>
          <w:i/>
        </w:rPr>
        <w:t>k</w:t>
      </w:r>
      <w:r>
        <w:rPr>
          <w:rFonts w:ascii="Times New Roman" w:hAnsi="Times New Roman" w:eastAsia="Times New Roman"/>
        </w:rPr>
        <w:t xml:space="preserve">) is </w:t>
      </w:r>
      <w:r>
        <w:rPr>
          <w:rFonts w:ascii="Times New Roman" w:hAnsi="Times New Roman" w:eastAsia="Times New Roman"/>
          <w:i/>
        </w:rPr>
        <w:t>v</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rPr>
        <w:t xml:space="preserve">, </w:t>
      </w:r>
      <w:r>
        <w:rPr>
          <w:rFonts w:ascii="Times New Roman" w:hAnsi="Times New Roman" w:eastAsia="Times New Roman"/>
          <w:i/>
        </w:rPr>
        <w:t>k</w:t>
      </w:r>
      <w:r>
        <w:rPr>
          <w:rFonts w:ascii="Times New Roman" w:hAnsi="Times New Roman" w:eastAsia="Times New Roman"/>
        </w:rPr>
        <w:t xml:space="preserve"> | </w:t>
      </w:r>
      <w:r>
        <w:rPr>
          <w:rFonts w:ascii="Times New Roman" w:hAnsi="Times New Roman" w:eastAsia="Times New Roman"/>
          <w:i/>
        </w:rPr>
        <w:t>S</w:t>
      </w:r>
      <w:r>
        <w:rPr>
          <w:rFonts w:ascii="Times New Roman" w:hAnsi="Times New Roman" w:eastAsia="Times New Roman"/>
        </w:rPr>
        <w:t xml:space="preserve">) = </w:t>
      </w:r>
      <w:r>
        <w:rPr>
          <w:rFonts w:ascii="Times New Roman" w:hAnsi="Times New Roman" w:eastAsia="Times New Roman"/>
          <w:i/>
        </w:rPr>
        <w:t>f</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S</w:t>
      </w:r>
      <w:r>
        <w:rPr>
          <w:rFonts w:ascii="Times New Roman" w:hAnsi="Times New Roman" w:eastAsia="Times New Roman"/>
        </w:rPr>
        <w:t xml:space="preserve">) + </w:t>
      </w:r>
      <w:r>
        <w:rPr>
          <w:rFonts w:ascii="Times New Roman" w:hAnsi="Times New Roman" w:eastAsia="Times New Roman"/>
          <w:i/>
        </w:rPr>
        <w:t>g</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rPr>
        <w:t xml:space="preserve"> | </w:t>
      </w:r>
      <w:r>
        <w:rPr>
          <w:rFonts w:ascii="Times New Roman" w:hAnsi="Times New Roman" w:eastAsia="Times New Roman"/>
          <w:i/>
        </w:rPr>
        <w:t>S</w:t>
      </w:r>
      <w:r>
        <w:rPr>
          <w:rFonts w:ascii="Times New Roman" w:hAnsi="Times New Roman" w:eastAsia="Times New Roman"/>
        </w:rPr>
        <w:t xml:space="preserve">), where </w:t>
      </w:r>
      <w:r>
        <w:rPr>
          <w:rFonts w:ascii="Times New Roman" w:hAnsi="Times New Roman" w:eastAsia="Times New Roman"/>
          <w:i/>
        </w:rPr>
        <w:t>f</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S</w:t>
      </w:r>
      <w:r>
        <w:rPr>
          <w:rFonts w:ascii="Times New Roman" w:hAnsi="Times New Roman" w:eastAsia="Times New Roman"/>
        </w:rPr>
        <w:t>) = Σ</w:t>
      </w:r>
      <w:r>
        <w:rPr>
          <w:rFonts w:ascii="Times New Roman" w:hAnsi="Times New Roman" w:eastAsia="Times New Roman"/>
          <w:vertAlign w:val="subscript"/>
        </w:rPr>
        <w:t>p_{j</w:t>
      </w:r>
      <w:r>
        <w:rPr>
          <w:rFonts w:ascii="Times New Roman" w:hAnsi="Times New Roman" w:eastAsia="Times New Roman"/>
        </w:rPr>
        <w:t>} σ</w:t>
      </w:r>
      <w:r>
        <w:rPr>
          <w:rFonts w:ascii="Times New Roman" w:hAnsi="Times New Roman" w:eastAsia="Times New Roman"/>
          <w:vertAlign w:val="subscript"/>
        </w:rPr>
        <w:t>j</w:t>
      </w:r>
      <w:r>
        <w:rPr>
          <w:rFonts w:ascii="Times New Roman" w:hAnsi="Times New Roman" w:eastAsia="Times New Roman"/>
          <w:vertAlign w:val="superscript"/>
        </w:rPr>
        <w:t>P</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xml:space="preserve"> | </w:t>
      </w:r>
      <w:r>
        <w:rPr>
          <w:rFonts w:ascii="Times New Roman" w:hAnsi="Times New Roman" w:eastAsia="Times New Roman"/>
          <w:i/>
        </w:rPr>
        <w:t>S</w:t>
      </w:r>
      <w:r>
        <w:rPr>
          <w:rFonts w:ascii="Times New Roman" w:hAnsi="Times New Roman" w:eastAsia="Times New Roman"/>
        </w:rPr>
        <w:t>) Π</w:t>
      </w:r>
      <w:r>
        <w:rPr>
          <w:rFonts w:ascii="Times New Roman" w:hAnsi="Times New Roman" w:eastAsia="Times New Roman"/>
          <w:vertAlign w:val="subscript"/>
        </w:rPr>
        <w:t>i</w:t>
      </w:r>
      <w:r>
        <w:rPr>
          <w:rFonts w:ascii="Times New Roman" w:hAnsi="Times New Roman" w:eastAsia="Times New Roman"/>
          <w:vertAlign w:val="superscript"/>
        </w:rPr>
        <w:t>0</w:t>
      </w:r>
      <w:r>
        <w:rPr>
          <w:rFonts w:ascii="Times New Roman" w:hAnsi="Times New Roman" w:eastAsia="Times New Roman"/>
        </w:rPr>
        <w:t>(</w:t>
      </w:r>
      <w:r>
        <w:rPr>
          <w:rFonts w:ascii="Times New Roman" w:hAnsi="Times New Roman" w:eastAsia="Times New Roman"/>
          <w:i/>
        </w:rPr>
        <w:t>S</w:t>
      </w:r>
      <w:r>
        <w:rPr>
          <w:rFonts w:ascii="Times New Roman" w:hAnsi="Times New Roman" w:eastAsia="Times New Roman"/>
        </w:rPr>
        <w:t xml:space="preserve">, </w:t>
      </w:r>
      <w:r>
        <w:rPr>
          <w:rFonts w:ascii="Times New Roman" w:hAnsi="Times New Roman" w:eastAsia="Times New Roman"/>
          <w:i/>
        </w:rPr>
        <w:t>p</w:t>
      </w:r>
      <w:r>
        <w:rPr>
          <w:rFonts w:ascii="Times New Roman" w:hAnsi="Times New Roman" w:eastAsia="Times New Roman"/>
        </w:rPr>
        <w:t xml:space="preserve">,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xml:space="preserve">) and </w:t>
      </w:r>
      <w:r>
        <w:rPr>
          <w:rFonts w:ascii="Times New Roman" w:hAnsi="Times New Roman" w:eastAsia="Times New Roman"/>
          <w:i/>
        </w:rPr>
        <w:t>g</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rPr>
        <w:t xml:space="preserve"> | </w:t>
      </w:r>
      <w:r>
        <w:rPr>
          <w:rFonts w:ascii="Times New Roman" w:hAnsi="Times New Roman" w:eastAsia="Times New Roman"/>
          <w:i/>
        </w:rPr>
        <w:t>S</w:t>
      </w:r>
      <w:r>
        <w:rPr>
          <w:rFonts w:ascii="Times New Roman" w:hAnsi="Times New Roman" w:eastAsia="Times New Roman"/>
        </w:rPr>
        <w:t>) = −AC</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rPr>
        <w:t>) + β Σ</w:t>
      </w:r>
      <w:r>
        <w:rPr>
          <w:rFonts w:ascii="Times New Roman" w:hAnsi="Times New Roman" w:eastAsia="Times New Roman"/>
          <w:vertAlign w:val="subscript"/>
        </w:rPr>
        <w:t>k_{j</w:t>
      </w:r>
      <w:r>
        <w:rPr>
          <w:rFonts w:ascii="Times New Roman" w:hAnsi="Times New Roman" w:eastAsia="Times New Roman"/>
        </w:rPr>
        <w:t>} σ</w:t>
      </w:r>
      <w:r>
        <w:rPr>
          <w:rFonts w:ascii="Times New Roman" w:hAnsi="Times New Roman" w:eastAsia="Times New Roman"/>
          <w:vertAlign w:val="subscript"/>
        </w:rPr>
        <w:t>j</w:t>
      </w:r>
      <w:r>
        <w:rPr>
          <w:rFonts w:ascii="Times New Roman" w:hAnsi="Times New Roman" w:eastAsia="Times New Roman"/>
          <w:vertAlign w:val="superscript"/>
        </w:rPr>
        <w:t>K</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vertAlign w:val="subscript"/>
        </w:rPr>
        <w:t>j</w:t>
      </w:r>
      <w:r>
        <w:rPr>
          <w:rFonts w:ascii="Times New Roman" w:hAnsi="Times New Roman" w:eastAsia="Times New Roman"/>
        </w:rPr>
        <w:t xml:space="preserve"> | </w:t>
      </w:r>
      <w:r>
        <w:rPr>
          <w:rFonts w:ascii="Times New Roman" w:hAnsi="Times New Roman" w:eastAsia="Times New Roman"/>
          <w:i/>
        </w:rPr>
        <w:t>S</w:t>
      </w:r>
      <w:r>
        <w:rPr>
          <w:rFonts w:ascii="Times New Roman" w:hAnsi="Times New Roman" w:eastAsia="Times New Roman"/>
        </w:rPr>
        <w:t>) Σ</w:t>
      </w:r>
      <w:r>
        <w:rPr>
          <w:rFonts w:ascii="Times New Roman" w:hAnsi="Times New Roman" w:eastAsia="Times New Roman"/>
          <w:vertAlign w:val="subscript"/>
        </w:rPr>
        <w:t>λ′</w:t>
      </w:r>
      <w:r>
        <w:rPr>
          <w:rFonts w:ascii="Times New Roman" w:hAnsi="Times New Roman" w:eastAsia="Times New Roman"/>
        </w:rPr>
        <w:t xml:space="preserve"> </w:t>
      </w:r>
      <w:r>
        <w:rPr>
          <w:rFonts w:ascii="Times New Roman" w:hAnsi="Times New Roman" w:eastAsia="Times New Roman"/>
          <w:i/>
        </w:rPr>
        <w:t>P</w:t>
      </w:r>
      <w:r>
        <w:rPr>
          <w:rFonts w:ascii="Times New Roman" w:hAnsi="Times New Roman" w:eastAsia="Times New Roman"/>
          <w:vertAlign w:val="subscript"/>
        </w:rPr>
        <w:t>λ</w:t>
      </w:r>
      <w:r>
        <w:rPr>
          <w:rFonts w:ascii="Times New Roman" w:hAnsi="Times New Roman" w:eastAsia="Times New Roman"/>
        </w:rPr>
        <w:t xml:space="preserve">(λ′ | λ) </w:t>
      </w:r>
      <w:r>
        <w:rPr>
          <w:rFonts w:ascii="Times New Roman" w:hAnsi="Times New Roman" w:eastAsia="Times New Roman"/>
          <w:i/>
        </w:rPr>
        <w:t>V</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m</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rPr>
        <w:t xml:space="preserve">), </w:t>
      </w:r>
      <w:r>
        <w:rPr>
          <w:rFonts w:ascii="Times New Roman" w:hAnsi="Times New Roman" w:eastAsia="Times New Roman"/>
          <w:i/>
        </w:rPr>
        <w:t>m</w:t>
      </w:r>
      <w:r>
        <w:rPr>
          <w:rFonts w:ascii="Times New Roman" w:hAnsi="Times New Roman" w:eastAsia="Times New Roman"/>
          <w:vertAlign w:val="subscript"/>
        </w:rPr>
        <w:t>j</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vertAlign w:val="subscript"/>
        </w:rPr>
        <w:t>j</w:t>
      </w:r>
      <w:r>
        <w:rPr>
          <w:rFonts w:ascii="Times New Roman" w:hAnsi="Times New Roman" w:eastAsia="Times New Roman"/>
        </w:rPr>
        <w:t>), λ′). Here Π</w:t>
      </w:r>
      <w:r>
        <w:rPr>
          <w:rFonts w:ascii="Times New Roman" w:hAnsi="Times New Roman" w:eastAsia="Times New Roman"/>
          <w:vertAlign w:val="superscript"/>
        </w:rPr>
        <w:t>0</w:t>
      </w:r>
      <w:r>
        <w:rPr>
          <w:rFonts w:ascii="Times New Roman" w:hAnsi="Times New Roman" w:eastAsia="Times New Roman"/>
        </w:rPr>
        <w:t xml:space="preserve"> is the stage profit excluding adjustment costs, and σ</w:t>
      </w:r>
      <w:r>
        <w:rPr>
          <w:rFonts w:ascii="Times New Roman" w:hAnsi="Times New Roman" w:eastAsia="Times New Roman"/>
          <w:vertAlign w:val="subscript"/>
        </w:rPr>
        <w:t>j</w:t>
      </w:r>
      <w:r>
        <w:rPr>
          <w:rFonts w:ascii="Times New Roman" w:hAnsi="Times New Roman" w:eastAsia="Times New Roman"/>
          <w:vertAlign w:val="superscript"/>
        </w:rPr>
        <w:t>P</w:t>
      </w:r>
      <w:r>
        <w:rPr>
          <w:rFonts w:ascii="Times New Roman" w:hAnsi="Times New Roman" w:eastAsia="Times New Roman"/>
        </w:rPr>
        <w:t>, σ</w:t>
      </w:r>
      <w:r>
        <w:rPr>
          <w:rFonts w:ascii="Times New Roman" w:hAnsi="Times New Roman" w:eastAsia="Times New Roman"/>
          <w:vertAlign w:val="subscript"/>
        </w:rPr>
        <w:t>j</w:t>
      </w:r>
      <w:r>
        <w:rPr>
          <w:rFonts w:ascii="Times New Roman" w:hAnsi="Times New Roman" w:eastAsia="Times New Roman"/>
          <w:vertAlign w:val="superscript"/>
        </w:rPr>
        <w:t>K</w:t>
      </w:r>
      <w:r>
        <w:rPr>
          <w:rFonts w:ascii="Times New Roman" w:hAnsi="Times New Roman" w:eastAsia="Times New Roman"/>
        </w:rPr>
        <w:t xml:space="preserve"> are the marginals of σ</w:t>
      </w:r>
      <w:r>
        <w:rPr>
          <w:rFonts w:ascii="Times New Roman" w:hAnsi="Times New Roman" w:eastAsia="Times New Roman"/>
          <w:vertAlign w:val="subscript"/>
        </w:rPr>
        <w:t>j</w:t>
      </w:r>
      <w:r>
        <w:rPr>
          <w:rFonts w:ascii="Times New Roman" w:hAnsi="Times New Roman" w:eastAsia="Times New Roman"/>
        </w:rPr>
        <w:t xml:space="preserve">; only the marginals enter, whatever the correlation between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xml:space="preserve"> and </w:t>
      </w:r>
      <w:r>
        <w:rPr>
          <w:rFonts w:ascii="Times New Roman" w:hAnsi="Times New Roman" w:eastAsia="Times New Roman"/>
          <w:i/>
        </w:rPr>
        <w:t>k</w:t>
      </w:r>
      <w:r>
        <w:rPr>
          <w:rFonts w:ascii="Times New Roman" w:hAnsi="Times New Roman" w:eastAsia="Times New Roman"/>
          <w:vertAlign w:val="subscript"/>
        </w:rPr>
        <w:t>j</w:t>
      </w:r>
      <w:r>
        <w:rPr>
          <w:rFonts w:ascii="Times New Roman" w:hAnsi="Times New Roman" w:eastAsia="Times New Roman"/>
        </w:rPr>
        <w:t>. The logit form of (6) with an additively separable index gives σ</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rPr>
        <w:t xml:space="preserve">, </w:t>
      </w:r>
      <w:r>
        <w:rPr>
          <w:rFonts w:ascii="Times New Roman" w:hAnsi="Times New Roman" w:eastAsia="Times New Roman"/>
          <w:i/>
        </w:rPr>
        <w:t>k</w:t>
      </w:r>
      <w:r>
        <w:rPr>
          <w:rFonts w:ascii="Times New Roman" w:hAnsi="Times New Roman" w:eastAsia="Times New Roman"/>
        </w:rPr>
        <w:t xml:space="preserve"> | </w:t>
      </w:r>
      <w:r>
        <w:rPr>
          <w:rFonts w:ascii="Times New Roman" w:hAnsi="Times New Roman" w:eastAsia="Times New Roman"/>
          <w:i/>
        </w:rPr>
        <w:t>S</w:t>
      </w:r>
      <w:r>
        <w:rPr>
          <w:rFonts w:ascii="Times New Roman" w:hAnsi="Times New Roman" w:eastAsia="Times New Roman"/>
        </w:rPr>
        <w:t>) = [exp(</w:t>
      </w:r>
      <w:r>
        <w:rPr>
          <w:rFonts w:ascii="Times New Roman" w:hAnsi="Times New Roman" w:eastAsia="Times New Roman"/>
          <w:i/>
        </w:rPr>
        <w:t>f</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rPr>
        <w:t>)/ρ) / Σ</w:t>
      </w:r>
      <w:r>
        <w:rPr>
          <w:rFonts w:ascii="Times New Roman" w:hAnsi="Times New Roman" w:eastAsia="Times New Roman"/>
          <w:vertAlign w:val="subscript"/>
        </w:rPr>
        <w:t>p′</w:t>
      </w:r>
      <w:r>
        <w:rPr>
          <w:rFonts w:ascii="Times New Roman" w:hAnsi="Times New Roman" w:eastAsia="Times New Roman"/>
        </w:rPr>
        <w:t xml:space="preserve"> exp(</w:t>
      </w:r>
      <w:r>
        <w:rPr>
          <w:rFonts w:ascii="Times New Roman" w:hAnsi="Times New Roman" w:eastAsia="Times New Roman"/>
          <w:i/>
        </w:rPr>
        <w:t>f</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rPr>
        <w:t>′)/ρ)] × [exp(</w:t>
      </w:r>
      <w:r>
        <w:rPr>
          <w:rFonts w:ascii="Times New Roman" w:hAnsi="Times New Roman" w:eastAsia="Times New Roman"/>
          <w:i/>
        </w:rPr>
        <w:t>g</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rPr>
        <w:t>)/ρ) / Σ</w:t>
      </w:r>
      <w:r>
        <w:rPr>
          <w:rFonts w:ascii="Times New Roman" w:hAnsi="Times New Roman" w:eastAsia="Times New Roman"/>
          <w:vertAlign w:val="subscript"/>
        </w:rPr>
        <w:t>k′</w:t>
      </w:r>
      <w:r>
        <w:rPr>
          <w:rFonts w:ascii="Times New Roman" w:hAnsi="Times New Roman" w:eastAsia="Times New Roman"/>
        </w:rPr>
        <w:t xml:space="preserve"> exp(</w:t>
      </w:r>
      <w:r>
        <w:rPr>
          <w:rFonts w:ascii="Times New Roman" w:hAnsi="Times New Roman" w:eastAsia="Times New Roman"/>
          <w:i/>
        </w:rPr>
        <w:t>g</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rPr>
        <w:t>′)/ρ)], which is a product of marginals. Applying this to both firms, the marginals of σ</w:t>
      </w:r>
      <w:r>
        <w:rPr>
          <w:rFonts w:ascii="Times New Roman" w:hAnsi="Times New Roman" w:eastAsia="Times New Roman"/>
          <w:vertAlign w:val="subscript"/>
        </w:rPr>
        <w:t>j</w:t>
      </w:r>
      <w:r>
        <w:rPr>
          <w:rFonts w:ascii="Times New Roman" w:hAnsi="Times New Roman" w:eastAsia="Times New Roman"/>
        </w:rPr>
        <w:t xml:space="preserve"> in the expressions for </w:t>
      </w:r>
      <w:r>
        <w:rPr>
          <w:rFonts w:ascii="Times New Roman" w:hAnsi="Times New Roman" w:eastAsia="Times New Roman"/>
          <w:i/>
        </w:rPr>
        <w:t>f</w:t>
      </w:r>
      <w:r>
        <w:rPr>
          <w:rFonts w:ascii="Times New Roman" w:hAnsi="Times New Roman" w:eastAsia="Times New Roman"/>
          <w:vertAlign w:val="subscript"/>
        </w:rPr>
        <w:t>i</w:t>
      </w:r>
      <w:r>
        <w:rPr>
          <w:rFonts w:ascii="Times New Roman" w:hAnsi="Times New Roman" w:eastAsia="Times New Roman"/>
        </w:rPr>
        <w:t xml:space="preserve"> and </w:t>
      </w:r>
      <w:r>
        <w:rPr>
          <w:rFonts w:ascii="Times New Roman" w:hAnsi="Times New Roman" w:eastAsia="Times New Roman"/>
          <w:i/>
        </w:rPr>
        <w:t>g</w:t>
      </w:r>
      <w:r>
        <w:rPr>
          <w:rFonts w:ascii="Times New Roman" w:hAnsi="Times New Roman" w:eastAsia="Times New Roman"/>
          <w:vertAlign w:val="subscript"/>
        </w:rPr>
        <w:t>i</w:t>
      </w:r>
      <w:r>
        <w:rPr>
          <w:rFonts w:ascii="Times New Roman" w:hAnsi="Times New Roman" w:eastAsia="Times New Roman"/>
        </w:rPr>
        <w:t xml:space="preserve"> are the logit marginals, so σ</w:t>
      </w:r>
      <w:r>
        <w:rPr>
          <w:rFonts w:ascii="Times New Roman" w:hAnsi="Times New Roman" w:eastAsia="Times New Roman"/>
          <w:vertAlign w:val="superscript"/>
        </w:rPr>
        <w:t>P</w:t>
      </w:r>
      <w:r>
        <w:rPr>
          <w:rFonts w:ascii="Times New Roman" w:hAnsi="Times New Roman" w:eastAsia="Times New Roman"/>
        </w:rPr>
        <w:t xml:space="preserve"> is a logit quantal-response equilibrium of the stage game, and σ</w:t>
      </w:r>
      <w:r>
        <w:rPr>
          <w:rFonts w:ascii="Times New Roman" w:hAnsi="Times New Roman" w:eastAsia="Times New Roman"/>
          <w:vertAlign w:val="superscript"/>
        </w:rPr>
        <w:t>K</w:t>
      </w:r>
      <w:r>
        <w:rPr>
          <w:rFonts w:ascii="Times New Roman" w:hAnsi="Times New Roman" w:eastAsia="Times New Roman"/>
        </w:rPr>
        <w:t xml:space="preserve"> is a logit equilibrium of the capacity game with continuation values </w:t>
      </w:r>
      <w:r>
        <w:rPr>
          <w:rFonts w:ascii="Times New Roman" w:hAnsi="Times New Roman" w:eastAsia="Times New Roman"/>
          <w:i/>
        </w:rPr>
        <w:t>V</w:t>
      </w:r>
      <w:r>
        <w:rPr>
          <w:rFonts w:ascii="Times New Roman" w:hAnsi="Times New Roman" w:eastAsia="Times New Roman"/>
          <w:vertAlign w:val="subscript"/>
        </w:rPr>
        <w:t>i</w:t>
      </w:r>
      <w:r>
        <w:rPr>
          <w:rFonts w:ascii="Times New Roman" w:hAnsi="Times New Roman" w:eastAsia="Times New Roman"/>
        </w:rPr>
        <w:t>. Finally, ln Σ</w:t>
      </w:r>
      <w:r>
        <w:rPr>
          <w:rFonts w:ascii="Times New Roman" w:hAnsi="Times New Roman" w:eastAsia="Times New Roman"/>
          <w:vertAlign w:val="subscript"/>
        </w:rPr>
        <w:t>p,k</w:t>
      </w:r>
      <w:r>
        <w:rPr>
          <w:rFonts w:ascii="Times New Roman" w:hAnsi="Times New Roman" w:eastAsia="Times New Roman"/>
        </w:rPr>
        <w:t xml:space="preserve"> exp((</w:t>
      </w:r>
      <w:r>
        <w:rPr>
          <w:rFonts w:ascii="Times New Roman" w:hAnsi="Times New Roman" w:eastAsia="Times New Roman"/>
          <w:i/>
        </w:rPr>
        <w:t>f</w:t>
      </w:r>
      <w:r>
        <w:rPr>
          <w:rFonts w:ascii="Times New Roman" w:hAnsi="Times New Roman" w:eastAsia="Times New Roman"/>
        </w:rPr>
        <w:t xml:space="preserve"> + </w:t>
      </w:r>
      <w:r>
        <w:rPr>
          <w:rFonts w:ascii="Times New Roman" w:hAnsi="Times New Roman" w:eastAsia="Times New Roman"/>
          <w:i/>
        </w:rPr>
        <w:t>g</w:t>
      </w:r>
      <w:r>
        <w:rPr>
          <w:rFonts w:ascii="Times New Roman" w:hAnsi="Times New Roman" w:eastAsia="Times New Roman"/>
        </w:rPr>
        <w:t>)/ρ) = ln Σ</w:t>
      </w:r>
      <w:r>
        <w:rPr>
          <w:rFonts w:ascii="Times New Roman" w:hAnsi="Times New Roman" w:eastAsia="Times New Roman"/>
          <w:vertAlign w:val="subscript"/>
        </w:rPr>
        <w:t>p</w:t>
      </w:r>
      <w:r>
        <w:rPr>
          <w:rFonts w:ascii="Times New Roman" w:hAnsi="Times New Roman" w:eastAsia="Times New Roman"/>
        </w:rPr>
        <w:t xml:space="preserve"> exp(</w:t>
      </w:r>
      <w:r>
        <w:rPr>
          <w:rFonts w:ascii="Times New Roman" w:hAnsi="Times New Roman" w:eastAsia="Times New Roman"/>
          <w:i/>
        </w:rPr>
        <w:t>f</w:t>
      </w:r>
      <w:r>
        <w:rPr>
          <w:rFonts w:ascii="Times New Roman" w:hAnsi="Times New Roman" w:eastAsia="Times New Roman"/>
        </w:rPr>
        <w:t>/ρ) + ln Σ</w:t>
      </w:r>
      <w:r>
        <w:rPr>
          <w:rFonts w:ascii="Times New Roman" w:hAnsi="Times New Roman" w:eastAsia="Times New Roman"/>
          <w:vertAlign w:val="subscript"/>
        </w:rPr>
        <w:t>k</w:t>
      </w:r>
      <w:r>
        <w:rPr>
          <w:rFonts w:ascii="Times New Roman" w:hAnsi="Times New Roman" w:eastAsia="Times New Roman"/>
        </w:rPr>
        <w:t xml:space="preserve"> exp(</w:t>
      </w:r>
      <w:r>
        <w:rPr>
          <w:rFonts w:ascii="Times New Roman" w:hAnsi="Times New Roman" w:eastAsia="Times New Roman"/>
          <w:i/>
        </w:rPr>
        <w:t>g</w:t>
      </w:r>
      <w:r>
        <w:rPr>
          <w:rFonts w:ascii="Times New Roman" w:hAnsi="Times New Roman" w:eastAsia="Times New Roman"/>
        </w:rPr>
        <w:t xml:space="preserve">/ρ), so </w:t>
      </w:r>
      <w:r>
        <w:rPr>
          <w:rFonts w:ascii="Times New Roman" w:hAnsi="Times New Roman" w:eastAsia="Times New Roman"/>
          <w:i/>
        </w:rPr>
        <w:t>V</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S</w:t>
      </w:r>
      <w:r>
        <w:rPr>
          <w:rFonts w:ascii="Times New Roman" w:hAnsi="Times New Roman" w:eastAsia="Times New Roman"/>
        </w:rPr>
        <w:t>) = ργ + ρ ln Σ</w:t>
      </w:r>
      <w:r>
        <w:rPr>
          <w:rFonts w:ascii="Times New Roman" w:hAnsi="Times New Roman" w:eastAsia="Times New Roman"/>
          <w:vertAlign w:val="subscript"/>
        </w:rPr>
        <w:t>p</w:t>
      </w:r>
      <w:r>
        <w:rPr>
          <w:rFonts w:ascii="Times New Roman" w:hAnsi="Times New Roman" w:eastAsia="Times New Roman"/>
        </w:rPr>
        <w:t xml:space="preserve"> exp(</w:t>
      </w:r>
      <w:r>
        <w:rPr>
          <w:rFonts w:ascii="Times New Roman" w:hAnsi="Times New Roman" w:eastAsia="Times New Roman"/>
          <w:i/>
        </w:rPr>
        <w:t>f</w:t>
      </w:r>
      <w:r>
        <w:rPr>
          <w:rFonts w:ascii="Times New Roman" w:hAnsi="Times New Roman" w:eastAsia="Times New Roman"/>
          <w:vertAlign w:val="subscript"/>
        </w:rPr>
        <w:t>i</w:t>
      </w:r>
      <w:r>
        <w:rPr>
          <w:rFonts w:ascii="Times New Roman" w:hAnsi="Times New Roman" w:eastAsia="Times New Roman"/>
        </w:rPr>
        <w:t>/ρ) + ρ ln Σ</w:t>
      </w:r>
      <w:r>
        <w:rPr>
          <w:rFonts w:ascii="Times New Roman" w:hAnsi="Times New Roman" w:eastAsia="Times New Roman"/>
          <w:vertAlign w:val="subscript"/>
        </w:rPr>
        <w:t>k</w:t>
      </w:r>
      <w:r>
        <w:rPr>
          <w:rFonts w:ascii="Times New Roman" w:hAnsi="Times New Roman" w:eastAsia="Times New Roman"/>
        </w:rPr>
        <w:t xml:space="preserve"> exp(</w:t>
      </w:r>
      <w:r>
        <w:rPr>
          <w:rFonts w:ascii="Times New Roman" w:hAnsi="Times New Roman" w:eastAsia="Times New Roman"/>
          <w:i/>
        </w:rPr>
        <w:t>g</w:t>
      </w:r>
      <w:r>
        <w:rPr>
          <w:rFonts w:ascii="Times New Roman" w:hAnsi="Times New Roman" w:eastAsia="Times New Roman"/>
          <w:vertAlign w:val="subscript"/>
        </w:rPr>
        <w:t>i</w:t>
      </w:r>
      <w:r>
        <w:rPr>
          <w:rFonts w:ascii="Times New Roman" w:hAnsi="Times New Roman" w:eastAsia="Times New Roman"/>
        </w:rPr>
        <w:t xml:space="preserve">/ρ); the first logsum is a function of the state alone and enters the capacity game only through </w:t>
      </w:r>
      <w:r>
        <w:rPr>
          <w:rFonts w:ascii="Times New Roman" w:hAnsi="Times New Roman" w:eastAsia="Times New Roman"/>
          <w:i/>
        </w:rPr>
        <w:t>V</w:t>
      </w:r>
      <w:r>
        <w:rPr>
          <w:rFonts w:ascii="Times New Roman" w:hAnsi="Times New Roman" w:eastAsia="Times New Roman"/>
        </w:rPr>
        <w:t>. □</w:t>
      </w:r>
    </w:p>
    <w:p>
      <w:pPr>
        <w:spacing w:line="480" w:lineRule="auto" w:after="0"/>
        <w:ind w:firstLine="720"/>
        <w:jc w:val="left"/>
      </w:pPr>
      <w:r>
        <w:rPr>
          <w:rFonts w:ascii="Times New Roman" w:hAnsi="Times New Roman" w:eastAsia="Times New Roman"/>
          <w:i/>
        </w:rPr>
        <w:t>Proof of Proposition 2.</w:t>
      </w:r>
      <w:r>
        <w:rPr>
          <w:rFonts w:ascii="Times New Roman" w:hAnsi="Times New Roman" w:eastAsia="Times New Roman"/>
        </w:rPr>
        <w:t xml:space="preserve"> Let </w:t>
      </w:r>
      <w:r>
        <w:rPr>
          <w:rFonts w:ascii="Times New Roman" w:hAnsi="Times New Roman" w:eastAsia="Times New Roman"/>
          <w:i/>
        </w:rPr>
        <w:t>K</w:t>
      </w:r>
      <w:r>
        <w:rPr>
          <w:rFonts w:ascii="Times New Roman" w:hAnsi="Times New Roman" w:eastAsia="Times New Roman"/>
          <w:vertAlign w:val="subscript"/>
        </w:rPr>
        <w:t>A</w:t>
      </w:r>
      <w:r>
        <w:rPr>
          <w:rFonts w:ascii="Times New Roman" w:hAnsi="Times New Roman" w:eastAsia="Times New Roman"/>
        </w:rPr>
        <w:t xml:space="preserve"> + </w:t>
      </w:r>
      <w:r>
        <w:rPr>
          <w:rFonts w:ascii="Times New Roman" w:hAnsi="Times New Roman" w:eastAsia="Times New Roman"/>
          <w:i/>
        </w:rPr>
        <w:t>K</w:t>
      </w:r>
      <w:r>
        <w:rPr>
          <w:rFonts w:ascii="Times New Roman" w:hAnsi="Times New Roman" w:eastAsia="Times New Roman"/>
          <w:vertAlign w:val="subscript"/>
        </w:rPr>
        <w:t>B</w:t>
      </w:r>
      <w:r>
        <w:rPr>
          <w:rFonts w:ascii="Times New Roman" w:hAnsi="Times New Roman" w:eastAsia="Times New Roman"/>
        </w:rPr>
        <w:t xml:space="preserve"> ≤ λ and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&gt; 0, and fix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xml:space="preserve">. We first show that </w:t>
      </w:r>
      <w:r>
        <w:rPr>
          <w:rFonts w:ascii="Times New Roman" w:hAnsi="Times New Roman" w:eastAsia="Times New Roman"/>
          <w:i/>
        </w:rPr>
        <w:t>q</w:t>
      </w:r>
      <w:r>
        <w:rPr>
          <w:rFonts w:ascii="Times New Roman" w:hAnsi="Times New Roman" w:eastAsia="Times New Roman"/>
          <w:vertAlign w:val="subscript"/>
        </w:rPr>
        <w:t>i</w:t>
      </w:r>
      <w:r>
        <w:rPr>
          <w:rFonts w:ascii="Times New Roman" w:hAnsi="Times New Roman" w:eastAsia="Times New Roman"/>
        </w:rPr>
        <w:t xml:space="preserve"> =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for every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If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&lt;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xml:space="preserve">, then </w:t>
      </w:r>
      <w:r>
        <w:rPr>
          <w:rFonts w:ascii="Times New Roman" w:hAnsi="Times New Roman" w:eastAsia="Times New Roman"/>
          <w:i/>
        </w:rPr>
        <w:t>d</w:t>
      </w:r>
      <w:r>
        <w:rPr>
          <w:rFonts w:ascii="Times New Roman" w:hAnsi="Times New Roman" w:eastAsia="Times New Roman"/>
          <w:vertAlign w:val="subscript"/>
        </w:rPr>
        <w:t>i</w:t>
      </w:r>
      <w:r>
        <w:rPr>
          <w:rFonts w:ascii="Times New Roman" w:hAnsi="Times New Roman" w:eastAsia="Times New Roman"/>
        </w:rPr>
        <w:t xml:space="preserve"> = λ ≥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so </w:t>
      </w:r>
      <w:r>
        <w:rPr>
          <w:rFonts w:ascii="Times New Roman" w:hAnsi="Times New Roman" w:eastAsia="Times New Roman"/>
          <w:i/>
        </w:rPr>
        <w:t>q</w:t>
      </w:r>
      <w:r>
        <w:rPr>
          <w:rFonts w:ascii="Times New Roman" w:hAnsi="Times New Roman" w:eastAsia="Times New Roman"/>
          <w:vertAlign w:val="subscript"/>
        </w:rPr>
        <w:t>i</w:t>
      </w:r>
      <w:r>
        <w:rPr>
          <w:rFonts w:ascii="Times New Roman" w:hAnsi="Times New Roman" w:eastAsia="Times New Roman"/>
        </w:rPr>
        <w:t xml:space="preserve"> =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If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&gt;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xml:space="preserve">, then </w:t>
      </w:r>
      <w:r>
        <w:rPr>
          <w:rFonts w:ascii="Times New Roman" w:hAnsi="Times New Roman" w:eastAsia="Times New Roman"/>
          <w:i/>
        </w:rPr>
        <w:t>d</w:t>
      </w:r>
      <w:r>
        <w:rPr>
          <w:rFonts w:ascii="Times New Roman" w:hAnsi="Times New Roman" w:eastAsia="Times New Roman"/>
          <w:vertAlign w:val="subscript"/>
        </w:rPr>
        <w:t>i</w:t>
      </w:r>
      <w:r>
        <w:rPr>
          <w:rFonts w:ascii="Times New Roman" w:hAnsi="Times New Roman" w:eastAsia="Times New Roman"/>
        </w:rPr>
        <w:t xml:space="preserve"> = 0 and </w:t>
      </w:r>
      <w:r>
        <w:rPr>
          <w:rFonts w:ascii="Times New Roman" w:hAnsi="Times New Roman" w:eastAsia="Times New Roman"/>
          <w:i/>
        </w:rPr>
        <w:t>d</w:t>
      </w:r>
      <w:r>
        <w:rPr>
          <w:rFonts w:ascii="Times New Roman" w:hAnsi="Times New Roman" w:eastAsia="Times New Roman"/>
          <w:vertAlign w:val="subscript"/>
        </w:rPr>
        <w:t>j</w:t>
      </w:r>
      <w:r>
        <w:rPr>
          <w:rFonts w:ascii="Times New Roman" w:hAnsi="Times New Roman" w:eastAsia="Times New Roman"/>
        </w:rPr>
        <w:t xml:space="preserve"> = λ, so </w:t>
      </w:r>
      <w:r>
        <w:rPr>
          <w:rFonts w:ascii="Times New Roman" w:hAnsi="Times New Roman" w:eastAsia="Times New Roman"/>
          <w:i/>
        </w:rPr>
        <w:t>q</w:t>
      </w:r>
      <w:r>
        <w:rPr>
          <w:rFonts w:ascii="Times New Roman" w:hAnsi="Times New Roman" w:eastAsia="Times New Roman"/>
          <w:vertAlign w:val="subscript"/>
        </w:rPr>
        <w:t>i</w:t>
      </w:r>
      <w:r>
        <w:rPr>
          <w:rFonts w:ascii="Times New Roman" w:hAnsi="Times New Roman" w:eastAsia="Times New Roman"/>
        </w:rPr>
        <w:t xml:space="preserve"> = min{</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max(0, λ − </w:t>
      </w:r>
      <w:r>
        <w:rPr>
          <w:rFonts w:ascii="Times New Roman" w:hAnsi="Times New Roman" w:eastAsia="Times New Roman"/>
          <w:i/>
        </w:rPr>
        <w:t>K</w:t>
      </w:r>
      <w:r>
        <w:rPr>
          <w:rFonts w:ascii="Times New Roman" w:hAnsi="Times New Roman" w:eastAsia="Times New Roman"/>
          <w:vertAlign w:val="subscript"/>
        </w:rPr>
        <w:t>j</w:t>
      </w:r>
      <w:r>
        <w:rPr>
          <w:rFonts w:ascii="Times New Roman" w:hAnsi="Times New Roman" w:eastAsia="Times New Roman"/>
        </w:rPr>
        <w:t xml:space="preserve">)} =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because λ − </w:t>
      </w:r>
      <w:r>
        <w:rPr>
          <w:rFonts w:ascii="Times New Roman" w:hAnsi="Times New Roman" w:eastAsia="Times New Roman"/>
          <w:i/>
        </w:rPr>
        <w:t>K</w:t>
      </w:r>
      <w:r>
        <w:rPr>
          <w:rFonts w:ascii="Times New Roman" w:hAnsi="Times New Roman" w:eastAsia="Times New Roman"/>
          <w:vertAlign w:val="subscript"/>
        </w:rPr>
        <w:t>j</w:t>
      </w:r>
      <w:r>
        <w:rPr>
          <w:rFonts w:ascii="Times New Roman" w:hAnsi="Times New Roman" w:eastAsia="Times New Roman"/>
        </w:rPr>
        <w:t xml:space="preserve"> ≥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If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xml:space="preserve">, then </w:t>
      </w:r>
      <w:r>
        <w:rPr>
          <w:rFonts w:ascii="Times New Roman" w:hAnsi="Times New Roman" w:eastAsia="Times New Roman"/>
          <w:i/>
        </w:rPr>
        <w:t>d</w:t>
      </w:r>
      <w:r>
        <w:rPr>
          <w:rFonts w:ascii="Times New Roman" w:hAnsi="Times New Roman" w:eastAsia="Times New Roman"/>
          <w:vertAlign w:val="subscript"/>
        </w:rPr>
        <w:t>i</w:t>
      </w:r>
      <w:r>
        <w:rPr>
          <w:rFonts w:ascii="Times New Roman" w:hAnsi="Times New Roman" w:eastAsia="Times New Roman"/>
        </w:rPr>
        <w:t xml:space="preserve"> = </w:t>
      </w:r>
      <w:r>
        <w:rPr>
          <w:rFonts w:ascii="Times New Roman" w:hAnsi="Times New Roman" w:eastAsia="Times New Roman"/>
          <w:i/>
        </w:rPr>
        <w:t>d</w:t>
      </w:r>
      <w:r>
        <w:rPr>
          <w:rFonts w:ascii="Times New Roman" w:hAnsi="Times New Roman" w:eastAsia="Times New Roman"/>
          <w:vertAlign w:val="subscript"/>
        </w:rPr>
        <w:t>j</w:t>
      </w:r>
      <w:r>
        <w:rPr>
          <w:rFonts w:ascii="Times New Roman" w:hAnsi="Times New Roman" w:eastAsia="Times New Roman"/>
        </w:rPr>
        <w:t xml:space="preserve"> = λ/2; if </w:t>
      </w:r>
      <w:r>
        <w:rPr>
          <w:rFonts w:ascii="Times New Roman" w:hAnsi="Times New Roman" w:eastAsia="Times New Roman"/>
          <w:i/>
        </w:rPr>
        <w:t>K</w:t>
      </w:r>
      <w:r>
        <w:rPr>
          <w:rFonts w:ascii="Times New Roman" w:hAnsi="Times New Roman" w:eastAsia="Times New Roman"/>
          <w:vertAlign w:val="subscript"/>
        </w:rPr>
        <w:t>j</w:t>
      </w:r>
      <w:r>
        <w:rPr>
          <w:rFonts w:ascii="Times New Roman" w:hAnsi="Times New Roman" w:eastAsia="Times New Roman"/>
        </w:rPr>
        <w:t xml:space="preserve"> ≤ λ/2 then </w:t>
      </w:r>
      <w:r>
        <w:rPr>
          <w:rFonts w:ascii="Times New Roman" w:hAnsi="Times New Roman" w:eastAsia="Times New Roman"/>
          <w:i/>
        </w:rPr>
        <w:t>q</w:t>
      </w:r>
      <w:r>
        <w:rPr>
          <w:rFonts w:ascii="Times New Roman" w:hAnsi="Times New Roman" w:eastAsia="Times New Roman"/>
          <w:vertAlign w:val="subscript"/>
        </w:rPr>
        <w:t>i</w:t>
      </w:r>
      <w:r>
        <w:rPr>
          <w:rFonts w:ascii="Times New Roman" w:hAnsi="Times New Roman" w:eastAsia="Times New Roman"/>
        </w:rPr>
        <w:t xml:space="preserve"> = min{</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λ − </w:t>
      </w:r>
      <w:r>
        <w:rPr>
          <w:rFonts w:ascii="Times New Roman" w:hAnsi="Times New Roman" w:eastAsia="Times New Roman"/>
          <w:i/>
        </w:rPr>
        <w:t>K</w:t>
      </w:r>
      <w:r>
        <w:rPr>
          <w:rFonts w:ascii="Times New Roman" w:hAnsi="Times New Roman" w:eastAsia="Times New Roman"/>
          <w:vertAlign w:val="subscript"/>
        </w:rPr>
        <w:t>j</w:t>
      </w:r>
      <w:r>
        <w:rPr>
          <w:rFonts w:ascii="Times New Roman" w:hAnsi="Times New Roman" w:eastAsia="Times New Roman"/>
        </w:rPr>
        <w:t xml:space="preserve">} =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and if </w:t>
      </w:r>
      <w:r>
        <w:rPr>
          <w:rFonts w:ascii="Times New Roman" w:hAnsi="Times New Roman" w:eastAsia="Times New Roman"/>
          <w:i/>
        </w:rPr>
        <w:t>K</w:t>
      </w:r>
      <w:r>
        <w:rPr>
          <w:rFonts w:ascii="Times New Roman" w:hAnsi="Times New Roman" w:eastAsia="Times New Roman"/>
          <w:vertAlign w:val="subscript"/>
        </w:rPr>
        <w:t>j</w:t>
      </w:r>
      <w:r>
        <w:rPr>
          <w:rFonts w:ascii="Times New Roman" w:hAnsi="Times New Roman" w:eastAsia="Times New Roman"/>
        </w:rPr>
        <w:t xml:space="preserve"> &gt; λ/2 then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 λ − </w:t>
      </w:r>
      <w:r>
        <w:rPr>
          <w:rFonts w:ascii="Times New Roman" w:hAnsi="Times New Roman" w:eastAsia="Times New Roman"/>
          <w:i/>
        </w:rPr>
        <w:t>K</w:t>
      </w:r>
      <w:r>
        <w:rPr>
          <w:rFonts w:ascii="Times New Roman" w:hAnsi="Times New Roman" w:eastAsia="Times New Roman"/>
          <w:vertAlign w:val="subscript"/>
        </w:rPr>
        <w:t>j</w:t>
      </w:r>
      <w:r>
        <w:rPr>
          <w:rFonts w:ascii="Times New Roman" w:hAnsi="Times New Roman" w:eastAsia="Times New Roman"/>
        </w:rPr>
        <w:t xml:space="preserve"> &lt; λ/2 and </w:t>
      </w:r>
      <w:r>
        <w:rPr>
          <w:rFonts w:ascii="Times New Roman" w:hAnsi="Times New Roman" w:eastAsia="Times New Roman"/>
          <w:i/>
        </w:rPr>
        <w:t>q</w:t>
      </w:r>
      <w:r>
        <w:rPr>
          <w:rFonts w:ascii="Times New Roman" w:hAnsi="Times New Roman" w:eastAsia="Times New Roman"/>
          <w:vertAlign w:val="subscript"/>
        </w:rPr>
        <w:t>i</w:t>
      </w:r>
      <w:r>
        <w:rPr>
          <w:rFonts w:ascii="Times New Roman" w:hAnsi="Times New Roman" w:eastAsia="Times New Roman"/>
        </w:rPr>
        <w:t xml:space="preserve"> = min{</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λ/2} =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Quantity is therefore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regardless of prices. Directed demand </w:t>
      </w:r>
      <w:r>
        <w:rPr>
          <w:rFonts w:ascii="Times New Roman" w:hAnsi="Times New Roman" w:eastAsia="Times New Roman"/>
          <w:i/>
        </w:rPr>
        <w:t>d</w:t>
      </w:r>
      <w:r>
        <w:rPr>
          <w:rFonts w:ascii="Times New Roman" w:hAnsi="Times New Roman" w:eastAsia="Times New Roman"/>
          <w:vertAlign w:val="subscript"/>
        </w:rPr>
        <w:t>i</w:t>
      </w:r>
      <w:r>
        <w:rPr>
          <w:rFonts w:ascii="Times New Roman" w:hAnsi="Times New Roman" w:eastAsia="Times New Roman"/>
        </w:rPr>
        <w:t xml:space="preserve"> is weakly decreasing in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so the service-level penalty is weakly smaller at a higher price. Hence Π</w:t>
      </w:r>
      <w:r>
        <w:rPr>
          <w:rFonts w:ascii="Times New Roman" w:hAnsi="Times New Roman" w:eastAsia="Times New Roman"/>
          <w:vertAlign w:val="subscript"/>
        </w:rPr>
        <w:t>i</w:t>
      </w:r>
      <w:r>
        <w:rPr>
          <w:rFonts w:ascii="Times New Roman" w:hAnsi="Times New Roman" w:eastAsia="Times New Roman"/>
        </w:rPr>
        <w:t xml:space="preserve">(p̄,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 Π</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rPr>
        <w:t xml:space="preserve">,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xml:space="preserve">) ≥ (p̄ − </w:t>
      </w:r>
      <w:r>
        <w:rPr>
          <w:rFonts w:ascii="Times New Roman" w:hAnsi="Times New Roman" w:eastAsia="Times New Roman"/>
          <w:i/>
        </w:rPr>
        <w:t>p</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&gt; 0 for every </w:t>
      </w:r>
      <w:r>
        <w:rPr>
          <w:rFonts w:ascii="Times New Roman" w:hAnsi="Times New Roman" w:eastAsia="Times New Roman"/>
          <w:i/>
        </w:rPr>
        <w:t>p</w:t>
      </w:r>
      <w:r>
        <w:rPr>
          <w:rFonts w:ascii="Times New Roman" w:hAnsi="Times New Roman" w:eastAsia="Times New Roman"/>
        </w:rPr>
        <w:t xml:space="preserve"> &lt; p̄ and every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xml:space="preserve">. Since </w:t>
      </w:r>
      <w:r>
        <w:rPr>
          <w:rFonts w:ascii="Times New Roman" w:hAnsi="Times New Roman" w:eastAsia="Times New Roman"/>
          <w:i/>
        </w:rPr>
        <w:t>f</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rPr>
        <w:t xml:space="preserve">) is an expectation of stage profits, </w:t>
      </w:r>
      <w:r>
        <w:rPr>
          <w:rFonts w:ascii="Times New Roman" w:hAnsi="Times New Roman" w:eastAsia="Times New Roman"/>
          <w:i/>
        </w:rPr>
        <w:t>f</w:t>
      </w:r>
      <w:r>
        <w:rPr>
          <w:rFonts w:ascii="Times New Roman" w:hAnsi="Times New Roman" w:eastAsia="Times New Roman"/>
          <w:vertAlign w:val="subscript"/>
        </w:rPr>
        <w:t>i</w:t>
      </w:r>
      <w:r>
        <w:rPr>
          <w:rFonts w:ascii="Times New Roman" w:hAnsi="Times New Roman" w:eastAsia="Times New Roman"/>
        </w:rPr>
        <w:t xml:space="preserve">(p̄) − </w:t>
      </w:r>
      <w:r>
        <w:rPr>
          <w:rFonts w:ascii="Times New Roman" w:hAnsi="Times New Roman" w:eastAsia="Times New Roman"/>
          <w:i/>
        </w:rPr>
        <w:t>f</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rPr>
        <w:t xml:space="preserve">) ≥ (p̄ − </w:t>
      </w:r>
      <w:r>
        <w:rPr>
          <w:rFonts w:ascii="Times New Roman" w:hAnsi="Times New Roman" w:eastAsia="Times New Roman"/>
          <w:i/>
        </w:rPr>
        <w:t>p</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&gt; 0, so by Proposition 1 σ</w:t>
      </w:r>
      <w:r>
        <w:rPr>
          <w:rFonts w:ascii="Times New Roman" w:hAnsi="Times New Roman" w:eastAsia="Times New Roman"/>
          <w:vertAlign w:val="subscript"/>
        </w:rPr>
        <w:t>i</w:t>
      </w:r>
      <w:r>
        <w:rPr>
          <w:rFonts w:ascii="Times New Roman" w:hAnsi="Times New Roman" w:eastAsia="Times New Roman"/>
          <w:vertAlign w:val="superscript"/>
        </w:rPr>
        <w:t>P</w:t>
      </w:r>
      <w:r>
        <w:rPr>
          <w:rFonts w:ascii="Times New Roman" w:hAnsi="Times New Roman" w:eastAsia="Times New Roman"/>
        </w:rPr>
        <w:t>(p̄) &gt; σ</w:t>
      </w:r>
      <w:r>
        <w:rPr>
          <w:rFonts w:ascii="Times New Roman" w:hAnsi="Times New Roman" w:eastAsia="Times New Roman"/>
          <w:vertAlign w:val="subscript"/>
        </w:rPr>
        <w:t>i</w:t>
      </w:r>
      <w:r>
        <w:rPr>
          <w:rFonts w:ascii="Times New Roman" w:hAnsi="Times New Roman" w:eastAsia="Times New Roman"/>
          <w:vertAlign w:val="superscript"/>
        </w:rPr>
        <w:t>P</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rPr>
        <w:t>), and the ratio σ</w:t>
      </w:r>
      <w:r>
        <w:rPr>
          <w:rFonts w:ascii="Times New Roman" w:hAnsi="Times New Roman" w:eastAsia="Times New Roman"/>
          <w:vertAlign w:val="subscript"/>
        </w:rPr>
        <w:t>i</w:t>
      </w:r>
      <w:r>
        <w:rPr>
          <w:rFonts w:ascii="Times New Roman" w:hAnsi="Times New Roman" w:eastAsia="Times New Roman"/>
          <w:vertAlign w:val="superscript"/>
        </w:rPr>
        <w:t>P</w:t>
      </w:r>
      <w:r>
        <w:rPr>
          <w:rFonts w:ascii="Times New Roman" w:hAnsi="Times New Roman" w:eastAsia="Times New Roman"/>
        </w:rPr>
        <w:t>(p̄)/σ</w:t>
      </w:r>
      <w:r>
        <w:rPr>
          <w:rFonts w:ascii="Times New Roman" w:hAnsi="Times New Roman" w:eastAsia="Times New Roman"/>
          <w:vertAlign w:val="subscript"/>
        </w:rPr>
        <w:t>i</w:t>
      </w:r>
      <w:r>
        <w:rPr>
          <w:rFonts w:ascii="Times New Roman" w:hAnsi="Times New Roman" w:eastAsia="Times New Roman"/>
          <w:vertAlign w:val="superscript"/>
        </w:rPr>
        <w:t>P</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rPr>
        <w:t xml:space="preserve">) ≥ exp((p̄ − </w:t>
      </w:r>
      <w:r>
        <w:rPr>
          <w:rFonts w:ascii="Times New Roman" w:hAnsi="Times New Roman" w:eastAsia="Times New Roman"/>
          <w:i/>
        </w:rPr>
        <w:t>p</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/ρ), which diverges as ρ → 0. □</w:t>
      </w:r>
    </w:p>
    <w:p>
      <w:pPr>
        <w:spacing w:line="480" w:lineRule="auto" w:after="0"/>
        <w:ind w:firstLine="720"/>
        <w:jc w:val="left"/>
      </w:pPr>
      <w:r>
        <w:rPr>
          <w:rFonts w:ascii="Times New Roman" w:hAnsi="Times New Roman" w:eastAsia="Times New Roman"/>
          <w:i/>
        </w:rPr>
        <w:t>Proof of Proposition 3.</w:t>
      </w:r>
      <w:r>
        <w:rPr>
          <w:rFonts w:ascii="Times New Roman" w:hAnsi="Times New Roman" w:eastAsia="Times New Roman"/>
        </w:rPr>
        <w:t xml:space="preserve"> Let </w:t>
      </w:r>
      <w:r>
        <w:rPr>
          <w:rFonts w:ascii="Times New Roman" w:hAnsi="Times New Roman" w:eastAsia="Times New Roman"/>
          <w:i/>
        </w:rPr>
        <w:t>K</w:t>
      </w:r>
      <w:r>
        <w:rPr>
          <w:rFonts w:ascii="Times New Roman" w:hAnsi="Times New Roman" w:eastAsia="Times New Roman"/>
          <w:vertAlign w:val="subscript"/>
        </w:rPr>
        <w:t>A</w:t>
      </w:r>
      <w:r>
        <w:rPr>
          <w:rFonts w:ascii="Times New Roman" w:hAnsi="Times New Roman" w:eastAsia="Times New Roman"/>
        </w:rPr>
        <w:t xml:space="preserve">, </w:t>
      </w:r>
      <w:r>
        <w:rPr>
          <w:rFonts w:ascii="Times New Roman" w:hAnsi="Times New Roman" w:eastAsia="Times New Roman"/>
          <w:i/>
        </w:rPr>
        <w:t>K</w:t>
      </w:r>
      <w:r>
        <w:rPr>
          <w:rFonts w:ascii="Times New Roman" w:hAnsi="Times New Roman" w:eastAsia="Times New Roman"/>
          <w:vertAlign w:val="subscript"/>
        </w:rPr>
        <w:t>B</w:t>
      </w:r>
      <w:r>
        <w:rPr>
          <w:rFonts w:ascii="Times New Roman" w:hAnsi="Times New Roman" w:eastAsia="Times New Roman"/>
        </w:rPr>
        <w:t xml:space="preserve"> ≥ λ and consider a pure profile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xml:space="preserve">). Suppose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&lt;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xml:space="preserve">. Then </w:t>
      </w:r>
      <w:r>
        <w:rPr>
          <w:rFonts w:ascii="Times New Roman" w:hAnsi="Times New Roman" w:eastAsia="Times New Roman"/>
          <w:i/>
        </w:rPr>
        <w:t>d</w:t>
      </w:r>
      <w:r>
        <w:rPr>
          <w:rFonts w:ascii="Times New Roman" w:hAnsi="Times New Roman" w:eastAsia="Times New Roman"/>
          <w:vertAlign w:val="subscript"/>
        </w:rPr>
        <w:t>i</w:t>
      </w:r>
      <w:r>
        <w:rPr>
          <w:rFonts w:ascii="Times New Roman" w:hAnsi="Times New Roman" w:eastAsia="Times New Roman"/>
        </w:rPr>
        <w:t xml:space="preserve"> = λ ≤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so firm </w:t>
      </w:r>
      <w:r>
        <w:rPr>
          <w:rFonts w:ascii="Times New Roman" w:hAnsi="Times New Roman" w:eastAsia="Times New Roman"/>
          <w:i/>
        </w:rPr>
        <w:t>i</w:t>
      </w:r>
      <w:r>
        <w:rPr>
          <w:rFonts w:ascii="Times New Roman" w:hAnsi="Times New Roman" w:eastAsia="Times New Roman"/>
        </w:rPr>
        <w:t xml:space="preserve"> serves everyone and </w:t>
      </w:r>
      <w:r>
        <w:rPr>
          <w:rFonts w:ascii="Times New Roman" w:hAnsi="Times New Roman" w:eastAsia="Times New Roman"/>
          <w:i/>
        </w:rPr>
        <w:t>q</w:t>
      </w:r>
      <w:r>
        <w:rPr>
          <w:rFonts w:ascii="Times New Roman" w:hAnsi="Times New Roman" w:eastAsia="Times New Roman"/>
          <w:vertAlign w:val="subscript"/>
        </w:rPr>
        <w:t>j</w:t>
      </w:r>
      <w:r>
        <w:rPr>
          <w:rFonts w:ascii="Times New Roman" w:hAnsi="Times New Roman" w:eastAsia="Times New Roman"/>
        </w:rPr>
        <w:t xml:space="preserve"> = min{</w:t>
      </w:r>
      <w:r>
        <w:rPr>
          <w:rFonts w:ascii="Times New Roman" w:hAnsi="Times New Roman" w:eastAsia="Times New Roman"/>
          <w:i/>
        </w:rPr>
        <w:t>K</w:t>
      </w:r>
      <w:r>
        <w:rPr>
          <w:rFonts w:ascii="Times New Roman" w:hAnsi="Times New Roman" w:eastAsia="Times New Roman"/>
          <w:vertAlign w:val="subscript"/>
        </w:rPr>
        <w:t>j</w:t>
      </w:r>
      <w:r>
        <w:rPr>
          <w:rFonts w:ascii="Times New Roman" w:hAnsi="Times New Roman" w:eastAsia="Times New Roman"/>
        </w:rPr>
        <w:t xml:space="preserve">, 0 + max(0, λ −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 0, and firm </w:t>
      </w:r>
      <w:r>
        <w:rPr>
          <w:rFonts w:ascii="Times New Roman" w:hAnsi="Times New Roman" w:eastAsia="Times New Roman"/>
          <w:i/>
        </w:rPr>
        <w:t>j</w:t>
      </w:r>
      <w:r>
        <w:rPr>
          <w:rFonts w:ascii="Times New Roman" w:hAnsi="Times New Roman" w:eastAsia="Times New Roman"/>
        </w:rPr>
        <w:t xml:space="preserve"> earns zero. By matching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firm </w:t>
      </w:r>
      <w:r>
        <w:rPr>
          <w:rFonts w:ascii="Times New Roman" w:hAnsi="Times New Roman" w:eastAsia="Times New Roman"/>
          <w:i/>
        </w:rPr>
        <w:t>j</w:t>
      </w:r>
      <w:r>
        <w:rPr>
          <w:rFonts w:ascii="Times New Roman" w:hAnsi="Times New Roman" w:eastAsia="Times New Roman"/>
        </w:rPr>
        <w:t xml:space="preserve"> earns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 </w:t>
      </w:r>
      <w:r>
        <w:rPr>
          <w:rFonts w:ascii="Times New Roman" w:hAnsi="Times New Roman" w:eastAsia="Times New Roman"/>
          <w:i/>
        </w:rPr>
        <w:t>c</w:t>
      </w:r>
      <w:r>
        <w:rPr>
          <w:rFonts w:ascii="Times New Roman" w:hAnsi="Times New Roman" w:eastAsia="Times New Roman"/>
        </w:rPr>
        <w:t xml:space="preserve">)λ/2 &gt; 0, since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 </w:t>
      </w:r>
      <w:r>
        <w:rPr>
          <w:rFonts w:ascii="Times New Roman" w:hAnsi="Times New Roman" w:eastAsia="Times New Roman"/>
          <w:i/>
        </w:rPr>
        <w:t>p</w:t>
      </w:r>
      <w:r>
        <w:rPr>
          <w:rFonts w:ascii="Times New Roman" w:hAnsi="Times New Roman" w:eastAsia="Times New Roman"/>
          <w:vertAlign w:val="subscript"/>
        </w:rPr>
        <w:t>min</w:t>
      </w:r>
      <w:r>
        <w:rPr>
          <w:rFonts w:ascii="Times New Roman" w:hAnsi="Times New Roman" w:eastAsia="Times New Roman"/>
        </w:rPr>
        <w:t xml:space="preserve"> &gt; </w:t>
      </w:r>
      <w:r>
        <w:rPr>
          <w:rFonts w:ascii="Times New Roman" w:hAnsi="Times New Roman" w:eastAsia="Times New Roman"/>
          <w:i/>
        </w:rPr>
        <w:t>c</w:t>
      </w:r>
      <w:r>
        <w:rPr>
          <w:rFonts w:ascii="Times New Roman" w:hAnsi="Times New Roman" w:eastAsia="Times New Roman"/>
        </w:rPr>
        <w:t xml:space="preserve"> and λ/2 ≤ </w:t>
      </w:r>
      <w:r>
        <w:rPr>
          <w:rFonts w:ascii="Times New Roman" w:hAnsi="Times New Roman" w:eastAsia="Times New Roman"/>
          <w:i/>
        </w:rPr>
        <w:t>K</w:t>
      </w:r>
      <w:r>
        <w:rPr>
          <w:rFonts w:ascii="Times New Roman" w:hAnsi="Times New Roman" w:eastAsia="Times New Roman"/>
          <w:vertAlign w:val="subscript"/>
        </w:rPr>
        <w:t>j</w:t>
      </w:r>
      <w:r>
        <w:rPr>
          <w:rFonts w:ascii="Times New Roman" w:hAnsi="Times New Roman" w:eastAsia="Times New Roman"/>
        </w:rPr>
        <w:t>, so no asymmetric profile is an equilibrium. At a symmetric profile (</w:t>
      </w:r>
      <w:r>
        <w:rPr>
          <w:rFonts w:ascii="Times New Roman" w:hAnsi="Times New Roman" w:eastAsia="Times New Roman"/>
          <w:i/>
        </w:rPr>
        <w:t>p</w:t>
      </w:r>
      <w:r>
        <w:rPr>
          <w:rFonts w:ascii="Times New Roman" w:hAnsi="Times New Roman" w:eastAsia="Times New Roman"/>
        </w:rPr>
        <w:t xml:space="preserve">, </w:t>
      </w:r>
      <w:r>
        <w:rPr>
          <w:rFonts w:ascii="Times New Roman" w:hAnsi="Times New Roman" w:eastAsia="Times New Roman"/>
          <w:i/>
        </w:rPr>
        <w:t>p</w:t>
      </w:r>
      <w:r>
        <w:rPr>
          <w:rFonts w:ascii="Times New Roman" w:hAnsi="Times New Roman" w:eastAsia="Times New Roman"/>
        </w:rPr>
        <w:t>) each firm earns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c</w:t>
      </w:r>
      <w:r>
        <w:rPr>
          <w:rFonts w:ascii="Times New Roman" w:hAnsi="Times New Roman" w:eastAsia="Times New Roman"/>
        </w:rPr>
        <w:t xml:space="preserve">)λ/2, raising the price yields zero, and the best downward deviation is to the next lower grid price </w:t>
      </w:r>
      <w:r>
        <w:rPr>
          <w:rFonts w:ascii="Times New Roman" w:hAnsi="Times New Roman" w:eastAsia="Times New Roman"/>
          <w:i/>
        </w:rPr>
        <w:t>p</w:t>
      </w:r>
      <w:r>
        <w:rPr>
          <w:rFonts w:ascii="Times New Roman" w:hAnsi="Times New Roman" w:eastAsia="Times New Roman"/>
        </w:rPr>
        <w:t>⁻, which yields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c</w:t>
      </w:r>
      <w:r>
        <w:rPr>
          <w:rFonts w:ascii="Times New Roman" w:hAnsi="Times New Roman" w:eastAsia="Times New Roman"/>
        </w:rPr>
        <w:t xml:space="preserve">)λ because then </w:t>
      </w:r>
      <w:r>
        <w:rPr>
          <w:rFonts w:ascii="Times New Roman" w:hAnsi="Times New Roman" w:eastAsia="Times New Roman"/>
          <w:i/>
        </w:rPr>
        <w:t>d</w:t>
      </w:r>
      <w:r>
        <w:rPr>
          <w:rFonts w:ascii="Times New Roman" w:hAnsi="Times New Roman" w:eastAsia="Times New Roman"/>
          <w:vertAlign w:val="subscript"/>
        </w:rPr>
        <w:t>i</w:t>
      </w:r>
      <w:r>
        <w:rPr>
          <w:rFonts w:ascii="Times New Roman" w:hAnsi="Times New Roman" w:eastAsia="Times New Roman"/>
        </w:rPr>
        <w:t xml:space="preserve"> = λ ≤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and no penalty is incurred. The deviation is unprofitable if and only if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c</w:t>
      </w:r>
      <w:r>
        <w:rPr>
          <w:rFonts w:ascii="Times New Roman" w:hAnsi="Times New Roman" w:eastAsia="Times New Roman"/>
        </w:rPr>
        <w:t>) ≤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c</w:t>
      </w:r>
      <w:r>
        <w:rPr>
          <w:rFonts w:ascii="Times New Roman" w:hAnsi="Times New Roman" w:eastAsia="Times New Roman"/>
        </w:rPr>
        <w:t xml:space="preserve">)/2, and if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p</w:t>
      </w:r>
      <w:r>
        <w:rPr>
          <w:rFonts w:ascii="Times New Roman" w:hAnsi="Times New Roman" w:eastAsia="Times New Roman"/>
          <w:vertAlign w:val="subscript"/>
        </w:rPr>
        <w:t>min</w:t>
      </w:r>
      <w:r>
        <w:rPr>
          <w:rFonts w:ascii="Times New Roman" w:hAnsi="Times New Roman" w:eastAsia="Times New Roman"/>
        </w:rPr>
        <w:t xml:space="preserve"> there is no lower price. For the bound, write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h</w:t>
      </w:r>
      <w:r>
        <w:rPr>
          <w:rFonts w:ascii="Times New Roman" w:hAnsi="Times New Roman" w:eastAsia="Times New Roman"/>
        </w:rPr>
        <w:t xml:space="preserve">. The condition becomes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c</w:t>
      </w:r>
      <w:r>
        <w:rPr>
          <w:rFonts w:ascii="Times New Roman" w:hAnsi="Times New Roman" w:eastAsia="Times New Roman"/>
        </w:rPr>
        <w:t xml:space="preserve"> − </w:t>
      </w:r>
      <w:r>
        <w:rPr>
          <w:rFonts w:ascii="Times New Roman" w:hAnsi="Times New Roman" w:eastAsia="Times New Roman"/>
          <w:i/>
        </w:rPr>
        <w:t>h</w:t>
      </w:r>
      <w:r>
        <w:rPr>
          <w:rFonts w:ascii="Times New Roman" w:hAnsi="Times New Roman" w:eastAsia="Times New Roman"/>
        </w:rPr>
        <w:t xml:space="preserve"> ≤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c</w:t>
      </w:r>
      <w:r>
        <w:rPr>
          <w:rFonts w:ascii="Times New Roman" w:hAnsi="Times New Roman" w:eastAsia="Times New Roman"/>
        </w:rPr>
        <w:t xml:space="preserve">)/2, that is,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c</w:t>
      </w:r>
      <w:r>
        <w:rPr>
          <w:rFonts w:ascii="Times New Roman" w:hAnsi="Times New Roman" w:eastAsia="Times New Roman"/>
        </w:rPr>
        <w:t xml:space="preserve"> ≤ 2</w:t>
      </w:r>
      <w:r>
        <w:rPr>
          <w:rFonts w:ascii="Times New Roman" w:hAnsi="Times New Roman" w:eastAsia="Times New Roman"/>
          <w:i/>
        </w:rPr>
        <w:t>h</w:t>
      </w:r>
      <w:r>
        <w:rPr>
          <w:rFonts w:ascii="Times New Roman" w:hAnsi="Times New Roman" w:eastAsia="Times New Roman"/>
        </w:rPr>
        <w:t>. □</w:t>
      </w:r>
    </w:p>
    <w:p>
      <w:pPr>
        <w:spacing w:line="480" w:lineRule="auto" w:after="0"/>
        <w:ind w:firstLine="720"/>
        <w:jc w:val="left"/>
      </w:pPr>
      <w:r>
        <w:rPr>
          <w:rFonts w:ascii="Times New Roman" w:hAnsi="Times New Roman" w:eastAsia="Times New Roman"/>
          <w:i/>
        </w:rPr>
        <w:t>Remark.</w:t>
      </w:r>
      <w:r>
        <w:rPr>
          <w:rFonts w:ascii="Times New Roman" w:hAnsi="Times New Roman" w:eastAsia="Times New Roman"/>
        </w:rPr>
        <w:t xml:space="preserve"> Proposition 3 describes pure-strategy equilibria. We do not claim that the stage game has no mixed-strategy equilibria in these states, and in the logit equilibrium with ρ &gt; 0 the price distribution is spread over the grid. By McKelvey and Palfrey (1995), limit points of logit equilibria as ρ → 0 are Nash equilibria of the stage game.</w:t>
      </w:r>
    </w:p>
    <w:p>
      <w:pPr>
        <w:keepNext/>
        <w:spacing w:line="480" w:lineRule="auto"/>
      </w:pPr>
      <w:r>
        <w:rPr>
          <w:rFonts w:ascii="Times New Roman" w:hAnsi="Times New Roman" w:eastAsia="Times New Roman"/>
          <w:b/>
        </w:rPr>
        <w:t>Appendix B. Computation</w:t>
      </w:r>
    </w:p>
    <w:p>
      <w:pPr>
        <w:spacing w:line="480" w:lineRule="auto" w:after="0"/>
        <w:ind w:firstLine="720"/>
        <w:jc w:val="left"/>
      </w:pPr>
      <w:r>
        <w:rPr>
          <w:rFonts w:ascii="Times New Roman" w:hAnsi="Times New Roman" w:eastAsia="Times New Roman"/>
          <w:i/>
        </w:rPr>
        <w:t>Algorithm.</w:t>
      </w:r>
      <w:r>
        <w:rPr>
          <w:rFonts w:ascii="Times New Roman" w:hAnsi="Times New Roman" w:eastAsia="Times New Roman"/>
        </w:rPr>
        <w:t xml:space="preserve"> (i) For each of the 75 states, solve the 4 × 4 logit pricing game by damped best-response iteration (damping 0.1, tolerance 10</w:t>
      </w:r>
      <w:r>
        <w:rPr>
          <w:rFonts w:ascii="Times New Roman" w:hAnsi="Times New Roman" w:eastAsia="Times New Roman"/>
          <w:vertAlign w:val="superscript"/>
        </w:rPr>
        <w:t>−12</w:t>
      </w:r>
      <w:r>
        <w:rPr>
          <w:rFonts w:ascii="Times New Roman" w:hAnsi="Times New Roman" w:eastAsia="Times New Roman"/>
        </w:rPr>
        <w:t>). (ii) Start from value functions equal to zero and uniform capacity strategies (or the random draws described below). In each outer iteration, form the 3 × 3 payoff matrices from the current continuation values and solve each state’s game by damped iteration (damping 0.3, tolerance 10</w:t>
      </w:r>
      <w:r>
        <w:rPr>
          <w:rFonts w:ascii="Times New Roman" w:hAnsi="Times New Roman" w:eastAsia="Times New Roman"/>
          <w:vertAlign w:val="superscript"/>
        </w:rPr>
        <w:t>−10</w:t>
      </w:r>
      <w:r>
        <w:rPr>
          <w:rFonts w:ascii="Times New Roman" w:hAnsi="Times New Roman" w:eastAsia="Times New Roman"/>
        </w:rPr>
        <w:t xml:space="preserve">), then update </w:t>
      </w:r>
      <w:r>
        <w:rPr>
          <w:rFonts w:ascii="Times New Roman" w:hAnsi="Times New Roman" w:eastAsia="Times New Roman"/>
          <w:i/>
        </w:rPr>
        <w:t>V</w:t>
      </w:r>
      <w:r>
        <w:rPr>
          <w:rFonts w:ascii="Times New Roman" w:hAnsi="Times New Roman" w:eastAsia="Times New Roman"/>
        </w:rPr>
        <w:t xml:space="preserve"> with step 0.3, adding the pricing component’s inclusive value. (iii) Stop when the maximum change in any value is below 10</w:t>
      </w:r>
      <w:r>
        <w:rPr>
          <w:rFonts w:ascii="Times New Roman" w:hAnsi="Times New Roman" w:eastAsia="Times New Roman"/>
          <w:vertAlign w:val="superscript"/>
        </w:rPr>
        <w:t>−4</w:t>
      </w:r>
      <w:r>
        <w:rPr>
          <w:rFonts w:ascii="Times New Roman" w:hAnsi="Times New Roman" w:eastAsia="Times New Roman"/>
        </w:rPr>
        <w:t>. We use the stage-game solutions from the final iteration to compute the stationary distribution of the induced Markov chain exactly, by power iteration, and report ergodic averages.</w:t>
      </w:r>
    </w:p>
    <w:p>
      <w:pPr>
        <w:spacing w:line="480" w:lineRule="auto" w:after="0"/>
        <w:ind w:firstLine="720"/>
        <w:jc w:val="left"/>
      </w:pPr>
      <w:r>
        <w:rPr>
          <w:rFonts w:ascii="Times New Roman" w:hAnsi="Times New Roman" w:eastAsia="Times New Roman"/>
          <w:i/>
        </w:rPr>
        <w:t>Verification.</w:t>
      </w:r>
      <w:r>
        <w:rPr>
          <w:rFonts w:ascii="Times New Roman" w:hAnsi="Times New Roman" w:eastAsia="Times New Roman"/>
        </w:rPr>
        <w:t xml:space="preserve"> A reference implementation solves the full 12 × 12 game in each state without using Proposition 1. In the base scenario it reproduces the decoupled solution to five decimals (average price 1.12607, industry profit 12.9059, consumer surplus 9.47719, mean capacity 59.77984, excess capacity 34.43501). The reference implementation is several times slower (a base-scenario solve took about five minutes, against under two for the decoupled solver) and was not used for the sensitivity analysis.</w:t>
      </w:r>
    </w:p>
    <w:p>
      <w:pPr>
        <w:spacing w:line="480" w:lineRule="auto" w:after="0"/>
        <w:ind w:firstLine="720"/>
        <w:jc w:val="left"/>
      </w:pPr>
      <w:r>
        <w:rPr>
          <w:rFonts w:ascii="Times New Roman" w:hAnsi="Times New Roman" w:eastAsia="Times New Roman"/>
          <w:i/>
        </w:rPr>
        <w:t>Starting points.</w:t>
      </w:r>
      <w:r>
        <w:rPr>
          <w:rFonts w:ascii="Times New Roman" w:hAnsi="Times New Roman" w:eastAsia="Times New Roman"/>
        </w:rPr>
        <w:t xml:space="preserve"> Start 0 uses uniform strategies and zero values. Starts 1 to 3 draw each state’s capacity strategies from a Dirichlet(1, 1, 1) distribution and initial values uniformly from [0, 150]; the draws are seeded and reproducible. Twelve further random starts in the base scenario are described in Section 6.</w:t>
      </w:r>
    </w:p>
    <w:p>
      <w:pPr>
        <w:spacing w:line="480" w:lineRule="auto" w:after="0"/>
        <w:ind w:firstLine="720"/>
        <w:jc w:val="left"/>
      </w:pPr>
      <w:r>
        <w:rPr>
          <w:rFonts w:ascii="Times New Roman" w:hAnsi="Times New Roman" w:eastAsia="Times New Roman"/>
          <w:i/>
        </w:rPr>
        <w:t>Alternating-move game.</w:t>
      </w:r>
      <w:r>
        <w:rPr>
          <w:rFonts w:ascii="Times New Roman" w:hAnsi="Times New Roman" w:eastAsia="Times New Roman"/>
        </w:rPr>
        <w:t xml:space="preserve"> The fixed-capacity game has 96 value-function unknowns (4 value arrays over 3 demand regimes and 8 rival prices). We solve it by damped value iteration at ρ = 4 and then by Newton continuation in ρ (finite-difference Jacobian, backtracking line search, step bisection on failure) down to ρ = 0.1; the case with two nodes each stalled at ρ ≈ 0.32. The joint game with capacity has 2,400 unknowns; it is solved by damped value iteration (step 0.5, tolerance 10</w:t>
      </w:r>
      <w:r>
        <w:rPr>
          <w:rFonts w:ascii="Times New Roman" w:hAnsi="Times New Roman" w:eastAsia="Times New Roman"/>
          <w:vertAlign w:val="superscript"/>
        </w:rPr>
        <w:t>−9</w:t>
      </w:r>
      <w:r>
        <w:rPr>
          <w:rFonts w:ascii="Times New Roman" w:hAnsi="Times New Roman" w:eastAsia="Times New Roman"/>
        </w:rPr>
        <w:t>) at ρ = 2 and 3, and by Newton continuation from ρ = 2 to 1.7 in one run. Nine starting points (eight random value functions and one zero start) give the same outcome at ρ = 2. For ρ ≤ 1 value iteration does not converge in either game, which is why Section 7 reports moderate noise.</w:t>
      </w:r>
    </w:p>
    <w:p>
      <w:pPr>
        <w:spacing w:line="480" w:lineRule="auto" w:after="0"/>
        <w:ind w:firstLine="720"/>
        <w:jc w:val="left"/>
      </w:pPr>
      <w:r>
        <w:rPr>
          <w:rFonts w:ascii="Times New Roman" w:hAnsi="Times New Roman" w:eastAsia="Times New Roman"/>
          <w:i/>
        </w:rPr>
        <w:t>Propositions as numerical checks.</w:t>
      </w:r>
      <w:r>
        <w:rPr>
          <w:rFonts w:ascii="Times New Roman" w:hAnsi="Times New Roman" w:eastAsia="Times New Roman"/>
        </w:rPr>
        <w:t xml:space="preserve"> In each scenario, we verify Proposition 2 directly by comparing the payoff of the reservation price against every lower price against every rival price in all states with </w:t>
      </w:r>
      <w:r>
        <w:rPr>
          <w:rFonts w:ascii="Times New Roman" w:hAnsi="Times New Roman" w:eastAsia="Times New Roman"/>
          <w:i/>
        </w:rPr>
        <w:t>K</w:t>
      </w:r>
      <w:r>
        <w:rPr>
          <w:rFonts w:ascii="Times New Roman" w:hAnsi="Times New Roman" w:eastAsia="Times New Roman"/>
          <w:vertAlign w:val="subscript"/>
        </w:rPr>
        <w:t>A</w:t>
      </w:r>
      <w:r>
        <w:rPr>
          <w:rFonts w:ascii="Times New Roman" w:hAnsi="Times New Roman" w:eastAsia="Times New Roman"/>
        </w:rPr>
        <w:t xml:space="preserve"> + </w:t>
      </w:r>
      <w:r>
        <w:rPr>
          <w:rFonts w:ascii="Times New Roman" w:hAnsi="Times New Roman" w:eastAsia="Times New Roman"/>
          <w:i/>
        </w:rPr>
        <w:t>K</w:t>
      </w:r>
      <w:r>
        <w:rPr>
          <w:rFonts w:ascii="Times New Roman" w:hAnsi="Times New Roman" w:eastAsia="Times New Roman"/>
          <w:vertAlign w:val="subscript"/>
        </w:rPr>
        <w:t>B</w:t>
      </w:r>
      <w:r>
        <w:rPr>
          <w:rFonts w:ascii="Times New Roman" w:hAnsi="Times New Roman" w:eastAsia="Times New Roman"/>
        </w:rPr>
        <w:t xml:space="preserve"> ≤ λ and both capacities positive, and by checking that it is the modal price. We also check for monotonicity of the equilibrium expected price in rival capacity.</w:t>
      </w:r>
    </w:p>
    <w:p>
      <w:r>
        <w:br w:type="page"/>
      </w:r>
    </w:p>
    <w:p>
      <w:pPr>
        <w:keepNext/>
        <w:spacing w:line="480" w:lineRule="auto"/>
      </w:pPr>
      <w:r>
        <w:rPr>
          <w:rFonts w:ascii="Times New Roman" w:hAnsi="Times New Roman" w:eastAsia="Times New Roman"/>
          <w:b/>
        </w:rPr>
        <w:t>References</w:t>
      </w:r>
    </w:p>
    <w:p>
      <w:pPr>
        <w:spacing w:line="480" w:lineRule="auto"/>
        <w:ind w:left="720" w:hanging="720"/>
      </w:pPr>
      <w:r>
        <w:rPr>
          <w:rFonts w:ascii="Times New Roman" w:hAnsi="Times New Roman" w:eastAsia="Times New Roman"/>
        </w:rPr>
        <w:t xml:space="preserve">Aguirregabiria V, Mira P (2007) Sequential estimation of dynamic discrete games. </w:t>
      </w:r>
      <w:r>
        <w:rPr>
          <w:rFonts w:ascii="Times New Roman" w:hAnsi="Times New Roman" w:eastAsia="Times New Roman"/>
          <w:i/>
        </w:rPr>
        <w:t>Econometrica</w:t>
      </w:r>
      <w:r>
        <w:rPr>
          <w:rFonts w:ascii="Times New Roman" w:hAnsi="Times New Roman" w:eastAsia="Times New Roman"/>
        </w:rPr>
        <w:t xml:space="preserve"> 75(1):1–53.</w:t>
      </w:r>
    </w:p>
    <w:p>
      <w:pPr>
        <w:spacing w:line="480" w:lineRule="auto"/>
        <w:ind w:left="720" w:hanging="720"/>
      </w:pPr>
      <w:r>
        <w:rPr>
          <w:rFonts w:ascii="Times New Roman" w:hAnsi="Times New Roman" w:eastAsia="Times New Roman"/>
        </w:rPr>
        <w:t xml:space="preserve">Allon G, Federgruen A (2007) Competition in service industries. </w:t>
      </w:r>
      <w:r>
        <w:rPr>
          <w:rFonts w:ascii="Times New Roman" w:hAnsi="Times New Roman" w:eastAsia="Times New Roman"/>
          <w:i/>
        </w:rPr>
        <w:t>Oper. Res.</w:t>
      </w:r>
      <w:r>
        <w:rPr>
          <w:rFonts w:ascii="Times New Roman" w:hAnsi="Times New Roman" w:eastAsia="Times New Roman"/>
        </w:rPr>
        <w:t xml:space="preserve"> 55(1):37–55.</w:t>
      </w:r>
    </w:p>
    <w:p>
      <w:pPr>
        <w:spacing w:line="480" w:lineRule="auto"/>
        <w:ind w:left="720" w:hanging="720"/>
      </w:pPr>
      <w:r>
        <w:rPr>
          <w:rFonts w:ascii="Times New Roman" w:hAnsi="Times New Roman" w:eastAsia="Times New Roman"/>
        </w:rPr>
        <w:t xml:space="preserve">Armbrust M, Fox A, Griffith R, Joseph AD, Katz R, Konwinski A, Lee G, Patterson D, Rabkin A, Stoica I, Zaharia M (2010) A view of cloud computing. </w:t>
      </w:r>
      <w:r>
        <w:rPr>
          <w:rFonts w:ascii="Times New Roman" w:hAnsi="Times New Roman" w:eastAsia="Times New Roman"/>
          <w:i/>
        </w:rPr>
        <w:t>Commun. ACM</w:t>
      </w:r>
      <w:r>
        <w:rPr>
          <w:rFonts w:ascii="Times New Roman" w:hAnsi="Times New Roman" w:eastAsia="Times New Roman"/>
        </w:rPr>
        <w:t xml:space="preserve"> 53(4):50–58.</w:t>
      </w:r>
    </w:p>
    <w:p>
      <w:pPr>
        <w:spacing w:line="480" w:lineRule="auto"/>
        <w:ind w:left="720" w:hanging="720"/>
      </w:pPr>
      <w:r>
        <w:rPr>
          <w:rFonts w:ascii="Times New Roman" w:hAnsi="Times New Roman" w:eastAsia="Times New Roman"/>
        </w:rPr>
        <w:t xml:space="preserve">Bajari P, Benkard CL, Levin J (2007) Estimating dynamic models of imperfect competition. </w:t>
      </w:r>
      <w:r>
        <w:rPr>
          <w:rFonts w:ascii="Times New Roman" w:hAnsi="Times New Roman" w:eastAsia="Times New Roman"/>
          <w:i/>
        </w:rPr>
        <w:t>Econometrica</w:t>
      </w:r>
      <w:r>
        <w:rPr>
          <w:rFonts w:ascii="Times New Roman" w:hAnsi="Times New Roman" w:eastAsia="Times New Roman"/>
        </w:rPr>
        <w:t xml:space="preserve"> 75(5):1331–1370.</w:t>
      </w:r>
    </w:p>
    <w:p>
      <w:pPr>
        <w:spacing w:line="480" w:lineRule="auto"/>
        <w:ind w:left="720" w:hanging="720"/>
      </w:pPr>
      <w:r>
        <w:rPr>
          <w:rFonts w:ascii="Times New Roman" w:hAnsi="Times New Roman" w:eastAsia="Times New Roman"/>
        </w:rPr>
        <w:t xml:space="preserve">Bapna R, Das S, Garfinkel R, Stallaert J (2008) A market design for grid computing. </w:t>
      </w:r>
      <w:r>
        <w:rPr>
          <w:rFonts w:ascii="Times New Roman" w:hAnsi="Times New Roman" w:eastAsia="Times New Roman"/>
          <w:i/>
        </w:rPr>
        <w:t>INFORMS J. Comput.</w:t>
      </w:r>
      <w:r>
        <w:rPr>
          <w:rFonts w:ascii="Times New Roman" w:hAnsi="Times New Roman" w:eastAsia="Times New Roman"/>
        </w:rPr>
        <w:t xml:space="preserve"> 20(1):100–111.</w:t>
      </w:r>
    </w:p>
    <w:p>
      <w:pPr>
        <w:spacing w:line="480" w:lineRule="auto"/>
        <w:ind w:left="720" w:hanging="720"/>
      </w:pPr>
      <w:r>
        <w:rPr>
          <w:rFonts w:ascii="Times New Roman" w:hAnsi="Times New Roman" w:eastAsia="Times New Roman"/>
        </w:rPr>
        <w:t xml:space="preserve">Besanko D, Doraszelski U (2004) Capacity dynamics and endogenous asymmetries in firm size. </w:t>
      </w:r>
      <w:r>
        <w:rPr>
          <w:rFonts w:ascii="Times New Roman" w:hAnsi="Times New Roman" w:eastAsia="Times New Roman"/>
          <w:i/>
        </w:rPr>
        <w:t>RAND J. Econom.</w:t>
      </w:r>
      <w:r>
        <w:rPr>
          <w:rFonts w:ascii="Times New Roman" w:hAnsi="Times New Roman" w:eastAsia="Times New Roman"/>
        </w:rPr>
        <w:t xml:space="preserve"> 35(1):23–49.</w:t>
      </w:r>
    </w:p>
    <w:p>
      <w:pPr>
        <w:spacing w:line="480" w:lineRule="auto"/>
        <w:ind w:left="720" w:hanging="720"/>
      </w:pPr>
      <w:r>
        <w:rPr>
          <w:rFonts w:ascii="Times New Roman" w:hAnsi="Times New Roman" w:eastAsia="Times New Roman"/>
        </w:rPr>
        <w:t xml:space="preserve">Besanko D, Doraszelski U, Kryukov Y, Satterthwaite M (2010) Learning-by-doing, organizational forgetting, and industry dynamics. </w:t>
      </w:r>
      <w:r>
        <w:rPr>
          <w:rFonts w:ascii="Times New Roman" w:hAnsi="Times New Roman" w:eastAsia="Times New Roman"/>
          <w:i/>
        </w:rPr>
        <w:t>Econometrica</w:t>
      </w:r>
      <w:r>
        <w:rPr>
          <w:rFonts w:ascii="Times New Roman" w:hAnsi="Times New Roman" w:eastAsia="Times New Roman"/>
        </w:rPr>
        <w:t xml:space="preserve"> 78(2):453–508.</w:t>
      </w:r>
    </w:p>
    <w:p>
      <w:pPr>
        <w:spacing w:line="480" w:lineRule="auto"/>
        <w:ind w:left="720" w:hanging="720"/>
      </w:pPr>
      <w:r>
        <w:rPr>
          <w:rFonts w:ascii="Times New Roman" w:hAnsi="Times New Roman" w:eastAsia="Times New Roman"/>
        </w:rPr>
        <w:t xml:space="preserve">Cachon GP, Harker PT (2002) Competition and outsourcing with scale economies. </w:t>
      </w:r>
      <w:r>
        <w:rPr>
          <w:rFonts w:ascii="Times New Roman" w:hAnsi="Times New Roman" w:eastAsia="Times New Roman"/>
          <w:i/>
        </w:rPr>
        <w:t>Management Sci.</w:t>
      </w:r>
      <w:r>
        <w:rPr>
          <w:rFonts w:ascii="Times New Roman" w:hAnsi="Times New Roman" w:eastAsia="Times New Roman"/>
        </w:rPr>
        <w:t xml:space="preserve"> 48(10):1314–1333.</w:t>
      </w:r>
    </w:p>
    <w:p>
      <w:pPr>
        <w:spacing w:line="480" w:lineRule="auto"/>
        <w:ind w:left="720" w:hanging="720"/>
      </w:pPr>
      <w:r>
        <w:rPr>
          <w:rFonts w:ascii="Times New Roman" w:hAnsi="Times New Roman" w:eastAsia="Times New Roman"/>
        </w:rPr>
        <w:t>Competition and Markets Authority (2025) Cloud services market investigation: Final decision. July 2025, United Kingdom.</w:t>
      </w:r>
    </w:p>
    <w:p>
      <w:pPr>
        <w:spacing w:line="480" w:lineRule="auto"/>
        <w:ind w:left="720" w:hanging="720"/>
      </w:pPr>
      <w:r>
        <w:rPr>
          <w:rFonts w:ascii="Times New Roman" w:hAnsi="Times New Roman" w:eastAsia="Times New Roman"/>
        </w:rPr>
        <w:t xml:space="preserve">Davidson C, Deneckere R (1986) Long-run competition in capacity, short-run competition in price, and the Cournot model. </w:t>
      </w:r>
      <w:r>
        <w:rPr>
          <w:rFonts w:ascii="Times New Roman" w:hAnsi="Times New Roman" w:eastAsia="Times New Roman"/>
          <w:i/>
        </w:rPr>
        <w:t>RAND J. Econom.</w:t>
      </w:r>
      <w:r>
        <w:rPr>
          <w:rFonts w:ascii="Times New Roman" w:hAnsi="Times New Roman" w:eastAsia="Times New Roman"/>
        </w:rPr>
        <w:t xml:space="preserve"> 17(3):404–415.</w:t>
      </w:r>
    </w:p>
    <w:p>
      <w:pPr>
        <w:spacing w:line="480" w:lineRule="auto"/>
        <w:ind w:left="720" w:hanging="720"/>
      </w:pPr>
      <w:r>
        <w:rPr>
          <w:rFonts w:ascii="Times New Roman" w:hAnsi="Times New Roman" w:eastAsia="Times New Roman"/>
        </w:rPr>
        <w:t xml:space="preserve">Dewan S, Mendelson H (1990) User delay costs and internal pricing for a service facility. </w:t>
      </w:r>
      <w:r>
        <w:rPr>
          <w:rFonts w:ascii="Times New Roman" w:hAnsi="Times New Roman" w:eastAsia="Times New Roman"/>
          <w:i/>
        </w:rPr>
        <w:t>Management Sci.</w:t>
      </w:r>
      <w:r>
        <w:rPr>
          <w:rFonts w:ascii="Times New Roman" w:hAnsi="Times New Roman" w:eastAsia="Times New Roman"/>
        </w:rPr>
        <w:t xml:space="preserve"> 36(12):1502–1517.</w:t>
      </w:r>
    </w:p>
    <w:p>
      <w:pPr>
        <w:spacing w:line="480" w:lineRule="auto"/>
        <w:ind w:left="720" w:hanging="720"/>
      </w:pPr>
      <w:r>
        <w:rPr>
          <w:rFonts w:ascii="Times New Roman" w:hAnsi="Times New Roman" w:eastAsia="Times New Roman"/>
        </w:rPr>
        <w:t xml:space="preserve">Doraszelski U, Satterthwaite M (2010) Computable Markov-perfect industry dynamics. </w:t>
      </w:r>
      <w:r>
        <w:rPr>
          <w:rFonts w:ascii="Times New Roman" w:hAnsi="Times New Roman" w:eastAsia="Times New Roman"/>
          <w:i/>
        </w:rPr>
        <w:t>RAND J. Econom.</w:t>
      </w:r>
      <w:r>
        <w:rPr>
          <w:rFonts w:ascii="Times New Roman" w:hAnsi="Times New Roman" w:eastAsia="Times New Roman"/>
        </w:rPr>
        <w:t xml:space="preserve"> 41(2):215–243.</w:t>
      </w:r>
    </w:p>
    <w:p>
      <w:pPr>
        <w:spacing w:line="480" w:lineRule="auto"/>
        <w:ind w:left="720" w:hanging="720"/>
      </w:pPr>
      <w:r>
        <w:rPr>
          <w:rFonts w:ascii="Times New Roman" w:hAnsi="Times New Roman" w:eastAsia="Times New Roman"/>
        </w:rPr>
        <w:t>Epoch AI (2025) LLM inference price trends. Data insight, March 12, 2025. https://epoch.ai/data-insights/llm-inference-price-trends (accessed October 13, 2026).</w:t>
      </w:r>
    </w:p>
    <w:p>
      <w:pPr>
        <w:spacing w:line="480" w:lineRule="auto"/>
        <w:ind w:left="720" w:hanging="720"/>
      </w:pPr>
      <w:r>
        <w:rPr>
          <w:rFonts w:ascii="Times New Roman" w:hAnsi="Times New Roman" w:eastAsia="Times New Roman"/>
        </w:rPr>
        <w:t xml:space="preserve">Ericson R, Pakes A (1995) Markov-perfect industry dynamics: A framework for empirical work. </w:t>
      </w:r>
      <w:r>
        <w:rPr>
          <w:rFonts w:ascii="Times New Roman" w:hAnsi="Times New Roman" w:eastAsia="Times New Roman"/>
          <w:i/>
        </w:rPr>
        <w:t>Rev. Econom. Stud.</w:t>
      </w:r>
      <w:r>
        <w:rPr>
          <w:rFonts w:ascii="Times New Roman" w:hAnsi="Times New Roman" w:eastAsia="Times New Roman"/>
        </w:rPr>
        <w:t xml:space="preserve"> 62(1):53–82.</w:t>
      </w:r>
    </w:p>
    <w:p>
      <w:pPr>
        <w:spacing w:line="480" w:lineRule="auto"/>
        <w:ind w:left="720" w:hanging="720"/>
      </w:pPr>
      <w:r>
        <w:rPr>
          <w:rFonts w:ascii="Times New Roman" w:hAnsi="Times New Roman" w:eastAsia="Times New Roman"/>
        </w:rPr>
        <w:t xml:space="preserve">European Parliament and Council (2023) Regulation (EU) 2023/2854 on harmonised rules on fair access to and use of data (Data Act). </w:t>
      </w:r>
      <w:r>
        <w:rPr>
          <w:rFonts w:ascii="Times New Roman" w:hAnsi="Times New Roman" w:eastAsia="Times New Roman"/>
          <w:i/>
        </w:rPr>
        <w:t>Official Journal of the European Union</w:t>
      </w:r>
      <w:r>
        <w:rPr>
          <w:rFonts w:ascii="Times New Roman" w:hAnsi="Times New Roman" w:eastAsia="Times New Roman"/>
        </w:rPr>
        <w:t>, December 22, 2023.</w:t>
      </w:r>
    </w:p>
    <w:p>
      <w:pPr>
        <w:spacing w:line="480" w:lineRule="auto"/>
        <w:ind w:left="720" w:hanging="720"/>
      </w:pPr>
      <w:r>
        <w:rPr>
          <w:rFonts w:ascii="Times New Roman" w:hAnsi="Times New Roman" w:eastAsia="Times New Roman"/>
        </w:rPr>
        <w:t>Federal Trade Commission (2025) Staff report on AI partnerships and investments 6(b) study. January 17, 2025, Washington, DC.</w:t>
      </w:r>
    </w:p>
    <w:p>
      <w:pPr>
        <w:spacing w:line="480" w:lineRule="auto"/>
        <w:ind w:left="720" w:hanging="720"/>
      </w:pPr>
      <w:r>
        <w:rPr>
          <w:rFonts w:ascii="Times New Roman" w:hAnsi="Times New Roman" w:eastAsia="Times New Roman"/>
        </w:rPr>
        <w:t xml:space="preserve">Kreps DM, Scheinkman JA (1983) Quantity precommitment and Bertrand competition yield Cournot outcomes. </w:t>
      </w:r>
      <w:r>
        <w:rPr>
          <w:rFonts w:ascii="Times New Roman" w:hAnsi="Times New Roman" w:eastAsia="Times New Roman"/>
          <w:i/>
        </w:rPr>
        <w:t>Bell J. Econom.</w:t>
      </w:r>
      <w:r>
        <w:rPr>
          <w:rFonts w:ascii="Times New Roman" w:hAnsi="Times New Roman" w:eastAsia="Times New Roman"/>
        </w:rPr>
        <w:t xml:space="preserve"> 14(2):326–337.</w:t>
      </w:r>
    </w:p>
    <w:p>
      <w:pPr>
        <w:spacing w:line="480" w:lineRule="auto"/>
        <w:ind w:left="720" w:hanging="720"/>
      </w:pPr>
      <w:r>
        <w:rPr>
          <w:rFonts w:ascii="Times New Roman" w:hAnsi="Times New Roman" w:eastAsia="Times New Roman"/>
        </w:rPr>
        <w:t xml:space="preserve">Levitan R, Shubik M (1972) Price duopoly and capacity constraints. </w:t>
      </w:r>
      <w:r>
        <w:rPr>
          <w:rFonts w:ascii="Times New Roman" w:hAnsi="Times New Roman" w:eastAsia="Times New Roman"/>
          <w:i/>
        </w:rPr>
        <w:t>Internat. Econom. Rev.</w:t>
      </w:r>
      <w:r>
        <w:rPr>
          <w:rFonts w:ascii="Times New Roman" w:hAnsi="Times New Roman" w:eastAsia="Times New Roman"/>
        </w:rPr>
        <w:t xml:space="preserve"> 13(1):111–122.</w:t>
      </w:r>
    </w:p>
    <w:p>
      <w:pPr>
        <w:spacing w:line="480" w:lineRule="auto"/>
        <w:ind w:left="720" w:hanging="720"/>
      </w:pPr>
      <w:r>
        <w:rPr>
          <w:rFonts w:ascii="Times New Roman" w:hAnsi="Times New Roman" w:eastAsia="Times New Roman"/>
        </w:rPr>
        <w:t xml:space="preserve">Maskin E, Tirole J (1988) A theory of dynamic oligopoly, II: Price competition, kinked demand curves, and Edgeworth cycles. </w:t>
      </w:r>
      <w:r>
        <w:rPr>
          <w:rFonts w:ascii="Times New Roman" w:hAnsi="Times New Roman" w:eastAsia="Times New Roman"/>
          <w:i/>
        </w:rPr>
        <w:t>Econometrica</w:t>
      </w:r>
      <w:r>
        <w:rPr>
          <w:rFonts w:ascii="Times New Roman" w:hAnsi="Times New Roman" w:eastAsia="Times New Roman"/>
        </w:rPr>
        <w:t xml:space="preserve"> 56(3):571–599.</w:t>
      </w:r>
    </w:p>
    <w:p>
      <w:pPr>
        <w:spacing w:line="480" w:lineRule="auto"/>
        <w:ind w:left="720" w:hanging="720"/>
      </w:pPr>
      <w:r>
        <w:rPr>
          <w:rFonts w:ascii="Times New Roman" w:hAnsi="Times New Roman" w:eastAsia="Times New Roman"/>
        </w:rPr>
        <w:t xml:space="preserve">McKelvey RD, Palfrey TR (1995) Quantal response equilibria for normal form games. </w:t>
      </w:r>
      <w:r>
        <w:rPr>
          <w:rFonts w:ascii="Times New Roman" w:hAnsi="Times New Roman" w:eastAsia="Times New Roman"/>
          <w:i/>
        </w:rPr>
        <w:t>Games Econom. Behav.</w:t>
      </w:r>
      <w:r>
        <w:rPr>
          <w:rFonts w:ascii="Times New Roman" w:hAnsi="Times New Roman" w:eastAsia="Times New Roman"/>
        </w:rPr>
        <w:t xml:space="preserve"> 10(1):6–38.</w:t>
      </w:r>
    </w:p>
    <w:p>
      <w:pPr>
        <w:spacing w:line="480" w:lineRule="auto"/>
        <w:ind w:left="720" w:hanging="720"/>
      </w:pPr>
      <w:r>
        <w:rPr>
          <w:rFonts w:ascii="Times New Roman" w:hAnsi="Times New Roman" w:eastAsia="Times New Roman"/>
        </w:rPr>
        <w:t xml:space="preserve">Mendelson H (1985) Pricing computer services: Queueing effects. </w:t>
      </w:r>
      <w:r>
        <w:rPr>
          <w:rFonts w:ascii="Times New Roman" w:hAnsi="Times New Roman" w:eastAsia="Times New Roman"/>
          <w:i/>
        </w:rPr>
        <w:t>Commun. ACM</w:t>
      </w:r>
      <w:r>
        <w:rPr>
          <w:rFonts w:ascii="Times New Roman" w:hAnsi="Times New Roman" w:eastAsia="Times New Roman"/>
        </w:rPr>
        <w:t xml:space="preserve"> 28(3):312–321.</w:t>
      </w:r>
    </w:p>
    <w:p>
      <w:pPr>
        <w:spacing w:line="480" w:lineRule="auto"/>
        <w:ind w:left="720" w:hanging="720"/>
      </w:pPr>
      <w:r>
        <w:rPr>
          <w:rFonts w:ascii="Times New Roman" w:hAnsi="Times New Roman" w:eastAsia="Times New Roman"/>
        </w:rPr>
        <w:t xml:space="preserve">Osborne MJ, Pitchik C (1986) Price competition in a capacity-constrained duopoly. </w:t>
      </w:r>
      <w:r>
        <w:rPr>
          <w:rFonts w:ascii="Times New Roman" w:hAnsi="Times New Roman" w:eastAsia="Times New Roman"/>
          <w:i/>
        </w:rPr>
        <w:t>J. Econom. Theory</w:t>
      </w:r>
      <w:r>
        <w:rPr>
          <w:rFonts w:ascii="Times New Roman" w:hAnsi="Times New Roman" w:eastAsia="Times New Roman"/>
        </w:rPr>
        <w:t xml:space="preserve"> 38(2):238–260.</w:t>
      </w:r>
    </w:p>
    <w:p>
      <w:pPr>
        <w:spacing w:line="480" w:lineRule="auto"/>
        <w:ind w:left="720" w:hanging="720"/>
      </w:pPr>
      <w:r>
        <w:rPr>
          <w:rFonts w:ascii="Times New Roman" w:hAnsi="Times New Roman" w:eastAsia="Times New Roman"/>
        </w:rPr>
        <w:t xml:space="preserve">Pakes A, McGuire P (1994) Computing Markov-perfect Nash equilibria: Numerical implications of a dynamic differentiated product model. </w:t>
      </w:r>
      <w:r>
        <w:rPr>
          <w:rFonts w:ascii="Times New Roman" w:hAnsi="Times New Roman" w:eastAsia="Times New Roman"/>
          <w:i/>
        </w:rPr>
        <w:t>RAND J. Econom.</w:t>
      </w:r>
      <w:r>
        <w:rPr>
          <w:rFonts w:ascii="Times New Roman" w:hAnsi="Times New Roman" w:eastAsia="Times New Roman"/>
        </w:rPr>
        <w:t xml:space="preserve"> 25(4):555–589.</w:t>
      </w:r>
    </w:p>
    <w:p>
      <w:pPr>
        <w:spacing w:line="480" w:lineRule="auto"/>
        <w:ind w:left="720" w:hanging="720"/>
      </w:pPr>
      <w:r>
        <w:rPr>
          <w:rFonts w:ascii="Times New Roman" w:hAnsi="Times New Roman" w:eastAsia="Times New Roman"/>
        </w:rPr>
        <w:t>Platformonomics (2026) Follow the CAPEX: 2025 retrospective. Accessed October 13, 2026, https://platformonomics.com.</w:t>
      </w:r>
    </w:p>
    <w:p>
      <w:pPr>
        <w:spacing w:line="480" w:lineRule="auto"/>
        <w:ind w:left="720" w:hanging="720"/>
      </w:pPr>
      <w:r>
        <w:rPr>
          <w:rFonts w:ascii="Times New Roman" w:hAnsi="Times New Roman" w:eastAsia="Times New Roman"/>
        </w:rPr>
        <w:t xml:space="preserve">Rust J (1987) Optimal replacement of GMC bus engines: An empirical model of Harold Zurcher. </w:t>
      </w:r>
      <w:r>
        <w:rPr>
          <w:rFonts w:ascii="Times New Roman" w:hAnsi="Times New Roman" w:eastAsia="Times New Roman"/>
          <w:i/>
        </w:rPr>
        <w:t>Econometrica</w:t>
      </w:r>
      <w:r>
        <w:rPr>
          <w:rFonts w:ascii="Times New Roman" w:hAnsi="Times New Roman" w:eastAsia="Times New Roman"/>
        </w:rPr>
        <w:t xml:space="preserve"> 55(5):999–1033.</w:t>
      </w:r>
    </w:p>
    <w:p>
      <w:pPr>
        <w:spacing w:line="480" w:lineRule="auto"/>
        <w:ind w:left="720" w:hanging="720"/>
      </w:pPr>
      <w:r>
        <w:rPr>
          <w:rFonts w:ascii="Times New Roman" w:hAnsi="Times New Roman" w:eastAsia="Times New Roman"/>
        </w:rPr>
        <w:t>Silicon Data (2026) H100 rental price over time. Accessed October 13, 2026, https://www.silicondata.com/blog/h100-rental-price-over-time.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