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480" w:lineRule="auto"/>
        <w:jc w:val="both"/>
      </w:pPr>
      <w:r>
        <w:rPr>
          <w:rFonts w:ascii="Times New Roman" w:cs="Times New Roman" w:eastAsia="Times New Roman" w:hAnsi="Times New Roman"/>
        </w:rPr>
        <w:t>Statistics showing that firms use generative visual AI are read as evidence that creative work is being displaced. Macroeconomic theory of general-purpose technologies and information systems research on assimilation both predict that adoption runs ahead of effects. We model a firm that reassigns a visual task to a generator only when output acceptance exceeds a cost threshold; review is a bottleneck whose cost depends on organizational complements, and employers adjust through attrition. Eurostat data show that 9.6 percent of EU firms use AI that generates pictures, video, or audio, and that non-adopters cite missing expertise (70 percent) and legal uncertainty (54 percent) far more than lack of usefulness (18 percent). A detectability bound shows that European and Canadian job-advert designs could not detect even complete assimilation at platform-sized effects; the small gradients found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480" w:lineRule="auto"/>
        <w:jc w:val="both"/>
      </w:pPr>
      <w:r>
        <w:rPr>
          <w:rFonts w:ascii="Times New Roman" w:cs="Times New Roman" w:eastAsia="Times New Roman" w:hAnsi="Times New Roman"/>
        </w:rPr>
        <w:t>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The natural reading is that the people who used to produce such content are being redeployed, and a growing body of exposure-based labor-market research looks for that redeployment in hiring data.</w:t>
      </w:r>
    </w:p>
    <w:p>
      <w:pPr>
        <w:spacing w:after="160" w:line="480" w:lineRule="auto"/>
        <w:jc w:val="both"/>
      </w:pPr>
      <w:r>
        <w:rPr>
          <w:rFonts w:ascii="Times New Roman" w:cs="Times New Roman" w:eastAsia="Times New Roman" w:hAnsi="Times New Roman"/>
        </w:rPr>
        <w:t>Information systems research gives reason for caution. Implementation research has long treated adoption as one stage in a sequence that runs through adaptation, acceptance, routinization, and infusion (Cooper and Zmud 1990). Fichman and Kemerer (1999) showed that organizations can acquire an innovation well before they deploy it, so diffusion statistics overstate use; they called the wedge an assimilation gap and found it widest where knowledge barriers were high. Work on IT business value adds that returns depend on complementary organizational investments (Brynjolfsson and Hitt 2000; Melville, Kraemer, and Gurbaxani 2004; Aral and Weill 2007). Macroeconomics points the same way. General-purpose technologies take effect only after complementary investments, labor markets adjust through attrition and reallocation rather than immediate job loss, and technology often accelerates structural change already under way (David 1990; Brynjolfsson, Rock, and Syverson 2021; Acemoglu and Restrepo 2018). For generative visual AI, then, the question is not only whether it substitutes for creative labor but also whether reported use reflects assimilation into tasks at all, and whether the evidence researchers currently rely on could tell the difference.</w:t>
      </w:r>
    </w:p>
    <w:p>
      <w:pPr>
        <w:spacing w:after="160" w:line="480" w:lineRule="auto"/>
        <w:jc w:val="both"/>
      </w:pPr>
      <w:r>
        <w:rPr>
          <w:rFonts w:ascii="Times New Roman" w:cs="Times New Roman" w:eastAsia="Times New Roman" w:hAnsi="Times New Roman"/>
        </w:rPr>
        <w:t>The paper has three parts. First, we develop a task-level theory in which a firm reassigns a visual task to a generator only when the acceptance rate of output exceeds a threshold set by generation cost, review cost, and the cost of human production. Complementary assets enter through review cost: expertise to specify and check output, capacity to run review as a routine, and procedures that keep copyright and personal-data exposure manageable. We embed review in a task-based model of labor demand that separates displacement, reinstatement, and scale effects (Acemoglu and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deriving a detectability bound that compares the hiring response implied by complete assimilation with the minimum detectable effect of standard exposure designs. Third, we assemble the descriptive evidence that exists on the acquisition margin and on the barriers firms report.</w:t>
      </w:r>
    </w:p>
    <w:p>
      <w:pPr>
        <w:spacing w:after="160" w:line="480" w:lineRule="auto"/>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480" w:lineRule="auto"/>
        <w:jc w:val="both"/>
      </w:pPr>
      <w:r>
        <w:rPr>
          <w:rFonts w:ascii="Times New Roman" w:cs="Times New Roman" w:eastAsia="Times New Roman" w:hAnsi="Times New Roman"/>
        </w:rPr>
        <w:t>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spacing w:after="160" w:line="480" w:lineRule="auto"/>
        <w:jc w:val="both"/>
      </w:pPr>
      <w:r>
        <w:rPr>
          <w:rFonts w:ascii="Times New Roman" w:cs="Times New Roman" w:eastAsia="Times New Roman" w:hAnsi="Times New Roman"/>
        </w:rPr>
        <w:t>The paper contributes to information systems research in three ways. First,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Embedding review cost in a task-based model of labor demand shows that review sets a floor on the labor that assimilation can save, that cheaper generation raises employment only if demand for visual output is elastic, and that employers who adjust through attrition make adverts the earlier and employment the later signal. Second, it provides a detectability bound that tells researchers when occupation-level hiring designs can and cannot be informative about assimilation, and it shows how the bound changes the reading of exposure gradients: the 2023 European gradient is no larger than the trend that preceded the technology, and the 2024 gradient is too imprecise to separate the scenarios. Third,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480" w:lineRule="auto"/>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480" w:lineRule="auto"/>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480" w:lineRule="auto"/>
        <w:jc w:val="both"/>
      </w:pPr>
      <w:r>
        <w:rPr>
          <w:rFonts w:ascii="Times New Roman" w:cs="Times New Roman" w:eastAsia="Times New Roman" w:hAnsi="Times New Roman"/>
        </w:rPr>
        <w:t>A large literature maps AI capabilities onto occupational tasks (Webb 2020; Felten, Raj, and Seamans 2021; Eloundou et al. 2023). Exposure measures describe where a technology could matter, not where it has been acquired or assimilated. Task-based models separate displacement, reinstatement, and productivity effects of automation (Acemoglu and Restrepo 2018, 2019), and models of unbalanced growth show that tasks that cannot be automated become bottlenecks (Baumol 1967; Aghion, Jones, and Jones 2019); we use both ideas in Section 3.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480" w:lineRule="auto"/>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480" w:lineRule="auto"/>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480" w:lineRule="auto"/>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480" w:lineRule="auto"/>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480" w:lineRule="auto"/>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480" w:lineRule="auto"/>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480" w:lineRule="auto"/>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480" w:lineRule="auto"/>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Cs/>
          <w:color w:val="000000"/>
          <w:sz w:val="24"/>
          <w:szCs w:val="24"/>
        </w:rPr>
        <w:t>3.4 Review as a Bottleneck Task</w:t>
      </w:r>
    </w:p>
    <w:p>
      <w:pPr>
        <w:spacing w:after="160" w:line="480" w:lineRule="auto"/>
        <w:jc w:val="both"/>
      </w:pPr>
      <w:r>
        <w:rPr>
          <w:rFonts w:ascii="Times New Roman" w:cs="Times New Roman" w:eastAsia="Times New Roman" w:hAnsi="Times New Roman"/>
        </w:rPr>
        <w:t xml:space="preserve">Equation (1) says when a firm assimilates a task. To see what assimilation does to labor demand, let a unit of the visual asset require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that </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wh</w:t>
      </w:r>
      <w:r>
        <w:rPr>
          <w:rFonts w:ascii="Times New Roman" w:cs="Times New Roman" w:eastAsia="Times New Roman" w:hAnsi="Times New Roman"/>
        </w:rPr>
        <w:t xml:space="preserve">, and let review require </w:t>
      </w:r>
      <w:r>
        <w:rPr>
          <w:rFonts w:ascii="Times New Roman" w:cs="Times New Roman" w:eastAsia="Times New Roman" w:hAnsi="Times New Roman"/>
          <w:i/>
        </w:rPr>
        <w:t>u</w:t>
      </w:r>
      <w:r>
        <w:rPr>
          <w:rFonts w:ascii="Times New Roman" w:cs="Times New Roman" w:eastAsia="Times New Roman" w:hAnsi="Times New Roman"/>
        </w:rPr>
        <w:t xml:space="preserve"> hours, so that </w:t>
      </w:r>
      <w:r>
        <w:rPr>
          <w:rFonts w:ascii="Times New Roman" w:cs="Times New Roman" w:eastAsia="Times New Roman" w:hAnsi="Times New Roman"/>
          <w:i/>
        </w:rPr>
        <w:t>r</w:t>
      </w:r>
      <w:r>
        <w:rPr>
          <w:rFonts w:ascii="Times New Roman" w:cs="Times New Roman" w:eastAsia="Times New Roman" w:hAnsi="Times New Roman"/>
        </w:rPr>
        <w:t xml:space="preserve"> = </w:t>
      </w:r>
      <w:r>
        <w:rPr>
          <w:rFonts w:ascii="Times New Roman" w:cs="Times New Roman" w:eastAsia="Times New Roman" w:hAnsi="Times New Roman"/>
          <w:i/>
        </w:rPr>
        <w:t>wu</w:t>
      </w:r>
      <w:r>
        <w:rPr>
          <w:rFonts w:ascii="Times New Roman" w:cs="Times New Roman" w:eastAsia="Times New Roman" w:hAnsi="Times New Roman"/>
        </w:rPr>
        <w:t xml:space="preserve">. Write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review cost relative to human production and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c</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generation cost relative to human production, so that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With the generator, a unit of output needs review labor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human production labor, so labor per unit falls from </w:t>
      </w:r>
      <w:r>
        <w:rPr>
          <w:rFonts w:ascii="Times New Roman" w:cs="Times New Roman" w:eastAsia="Times New Roman" w:hAnsi="Times New Roman"/>
          <w:i/>
        </w:rPr>
        <w:t>h</w:t>
      </w:r>
      <w:r>
        <w:rPr>
          <w:rFonts w:ascii="Times New Roman" w:cs="Times New Roman" w:eastAsia="Times New Roman" w:hAnsi="Times New Roman"/>
        </w:rPr>
        <w:t xml:space="preserve"> to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a ratio of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while cost per unit falls by the ratio </w:t>
      </w:r>
      <w:r>
        <w:rPr>
          <w:rFonts w:ascii="Times New Roman" w:cs="Times New Roman" w:eastAsia="Times New Roman" w:hAnsi="Times New Roman"/>
          <w:i/>
        </w:rPr>
        <w:t>κ</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The ratio </w:t>
      </w:r>
      <w:r>
        <w:rPr>
          <w:rFonts w:ascii="Times New Roman" w:cs="Times New Roman" w:eastAsia="Times New Roman" w:hAnsi="Times New Roman"/>
          <w:i/>
        </w:rPr>
        <w:t>κ</w:t>
      </w:r>
      <w:r>
        <w:rPr>
          <w:rFonts w:ascii="Times New Roman" w:cs="Times New Roman" w:eastAsia="Times New Roman" w:hAnsi="Times New Roman"/>
        </w:rPr>
        <w:t xml:space="preserve"> is below one exactly when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Review labor is paid the same wage as production labor; relaxing this changes </w:t>
      </w:r>
      <w:r>
        <w:rPr>
          <w:rFonts w:ascii="Times New Roman" w:cs="Times New Roman" w:eastAsia="Times New Roman" w:hAnsi="Times New Roman"/>
          <w:i/>
        </w:rPr>
        <w:t>ρ</w:t>
      </w:r>
      <w:r>
        <w:rPr>
          <w:rFonts w:ascii="Times New Roman" w:cs="Times New Roman" w:eastAsia="Times New Roman" w:hAnsi="Times New Roman"/>
        </w:rPr>
        <w:t xml:space="preserve"> but not the argument.</w:t>
      </w:r>
    </w:p>
    <w:p>
      <w:pPr>
        <w:spacing w:after="160" w:line="480" w:lineRule="auto"/>
        <w:jc w:val="both"/>
      </w:pPr>
      <w:r>
        <w:rPr>
          <w:rFonts w:ascii="Times New Roman" w:cs="Times New Roman" w:eastAsia="Times New Roman" w:hAnsi="Times New Roman"/>
          <w:b/>
        </w:rPr>
        <w:t>Proposition 1 (review floor).</w:t>
      </w:r>
      <w:r>
        <w:rPr>
          <w:rFonts w:ascii="Times New Roman" w:cs="Times New Roman" w:eastAsia="Times New Roman" w:hAnsi="Times New Roman"/>
        </w:rPr>
        <w:t xml:space="preserve"> Labor per unit of output at an assimilating firm cannot fall below the review share </w:t>
      </w:r>
      <w:r>
        <w:rPr>
          <w:rFonts w:ascii="Times New Roman" w:cs="Times New Roman" w:eastAsia="Times New Roman" w:hAnsi="Times New Roman"/>
          <w:i/>
        </w:rPr>
        <w:t>ρ</w:t>
      </w:r>
      <w:r>
        <w:rPr>
          <w:rFonts w:ascii="Times New Roman" w:cs="Times New Roman" w:eastAsia="Times New Roman" w:hAnsi="Times New Roman"/>
        </w:rPr>
        <w:t xml:space="preserve">, however high the acceptance rate </w:t>
      </w:r>
      <w:r>
        <w:rPr>
          <w:rFonts w:ascii="Times New Roman" w:cs="Times New Roman" w:eastAsia="Times New Roman" w:hAnsi="Times New Roman"/>
          <w:i/>
        </w:rPr>
        <w:t>a</w:t>
      </w:r>
      <w:r>
        <w:rPr>
          <w:rFonts w:ascii="Times New Roman" w:cs="Times New Roman" w:eastAsia="Times New Roman" w:hAnsi="Times New Roman"/>
        </w:rPr>
        <w:t xml:space="preserve">. If review hours do not fall with model quality, improvements in the generator reduce labor per unit only down to this floor, and when </w:t>
      </w:r>
      <w:r>
        <w:rPr>
          <w:rFonts w:ascii="Times New Roman" w:cs="Times New Roman" w:eastAsia="Times New Roman" w:hAnsi="Times New Roman"/>
          <w:i/>
        </w:rPr>
        <w:t>ρ</w:t>
      </w:r>
      <w:r>
        <w:rPr>
          <w:rFonts w:ascii="Times New Roman" w:cs="Times New Roman" w:eastAsia="Times New Roman" w:hAnsi="Times New Roman"/>
        </w:rPr>
        <w:t xml:space="preserve"> is large relative to </w:t>
      </w:r>
      <w:r>
        <w:rPr>
          <w:rFonts w:ascii="Times New Roman" w:cs="Times New Roman" w:eastAsia="Times New Roman" w:hAnsi="Times New Roman"/>
          <w:i/>
        </w:rPr>
        <w:t>a</w:t>
      </w:r>
      <w:r>
        <w:rPr>
          <w:rFonts w:ascii="Times New Roman" w:cs="Times New Roman" w:eastAsia="Times New Roman" w:hAnsi="Times New Roman"/>
        </w:rPr>
        <w:t xml:space="preserve"> the labor saved is small even though the task has been assimilated.</w:t>
      </w:r>
    </w:p>
    <w:p>
      <w:pPr>
        <w:spacing w:after="160" w:line="480" w:lineRule="auto"/>
        <w:jc w:val="both"/>
      </w:pPr>
      <w:r>
        <w:rPr>
          <w:rFonts w:ascii="Times New Roman" w:cs="Times New Roman" w:eastAsia="Times New Roman" w:hAnsi="Times New Roman"/>
        </w:rPr>
        <w:t xml:space="preserve">The floor is a bottleneck in the sense of Baumol (1967) and Aghion, Jones, and Jones (2019): when a task that can be automated is complementary to one that cannot, the task that cannot be automated becomes the binding constraint, and its share of the remaining labor rises as the generator improves. Because </w:t>
      </w:r>
      <w:r>
        <w:rPr>
          <w:rFonts w:ascii="Times New Roman" w:cs="Times New Roman" w:eastAsia="Times New Roman" w:hAnsi="Times New Roman"/>
          <w:i/>
        </w:rPr>
        <w:t>ρ</w:t>
      </w:r>
      <w:r>
        <w:rPr>
          <w:rFonts w:ascii="Times New Roman" w:cs="Times New Roman" w:eastAsia="Times New Roman" w:hAnsi="Times New Roman"/>
        </w:rPr>
        <w:t xml:space="preserve"> depends on the complements </w:t>
      </w:r>
      <w:r>
        <w:rPr>
          <w:rFonts w:ascii="Times New Roman" w:cs="Times New Roman" w:eastAsia="Times New Roman" w:hAnsi="Times New Roman"/>
          <w:i/>
        </w:rPr>
        <w:t>K</w:t>
      </w:r>
      <w:r>
        <w:rPr>
          <w:rFonts w:ascii="Times New Roman" w:cs="Times New Roman" w:eastAsia="Times New Roman" w:hAnsi="Times New Roman"/>
        </w:rPr>
        <w:t xml:space="preserve"> through review cost, the same complements that govern assimilation also govern how much labor assimilation can save.</w:t>
      </w:r>
    </w:p>
    <w:p>
      <w:pPr>
        <w:pStyle w:val="Heading2"/>
        <w:spacing w:after="120" w:before="280"/>
      </w:pPr>
      <w:r>
        <w:rPr>
          <w:rFonts w:ascii="Times New Roman" w:cs="Times New Roman" w:eastAsia="Times New Roman" w:hAnsi="Times New Roman"/>
          <w:bCs/>
          <w:color w:val="000000"/>
          <w:sz w:val="24"/>
          <w:szCs w:val="24"/>
        </w:rPr>
        <w:t>3.5 Displacement, Reinstatement, and Scale</w:t>
      </w:r>
    </w:p>
    <w:p>
      <w:pPr>
        <w:spacing w:after="160" w:line="480" w:lineRule="auto"/>
        <w:jc w:val="both"/>
      </w:pPr>
      <w:r>
        <w:rPr>
          <w:rFonts w:ascii="Times New Roman" w:cs="Times New Roman" w:eastAsia="Times New Roman" w:hAnsi="Times New Roman"/>
        </w:rPr>
        <w:t xml:space="preserve">Equation (2) leaves </w:t>
      </w:r>
      <w:r>
        <w:rPr>
          <w:rFonts w:ascii="Times New Roman" w:cs="Times New Roman" w:eastAsia="Times New Roman" w:hAnsi="Times New Roman"/>
          <w:i/>
        </w:rPr>
        <w:t>β</w:t>
      </w:r>
      <w:r>
        <w:rPr>
          <w:rFonts w:ascii="Times New Roman" w:cs="Times New Roman" w:eastAsia="Times New Roman" w:hAnsi="Times New Roman"/>
        </w:rPr>
        <w:t xml:space="preserve"> unspecified. Let </w:t>
      </w:r>
      <w:r>
        <w:rPr>
          <w:rFonts w:ascii="Times New Roman" w:cs="Times New Roman" w:eastAsia="Times New Roman" w:hAnsi="Times New Roman"/>
          <w:i/>
        </w:rPr>
        <w:t>ε</w:t>
      </w:r>
      <w:r>
        <w:rPr>
          <w:rFonts w:ascii="Times New Roman" w:cs="Times New Roman" w:eastAsia="Times New Roman" w:hAnsi="Times New Roman"/>
        </w:rPr>
        <w:t xml:space="preserve"> be the price elasticity of demand for the occupation’s visual output at the assimilating firm, so that output rises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when cost per unit falls by the ratio </w:t>
      </w:r>
      <w:r>
        <w:rPr>
          <w:rFonts w:ascii="Times New Roman" w:cs="Times New Roman" w:eastAsia="Times New Roman" w:hAnsi="Times New Roman"/>
          <w:i/>
        </w:rPr>
        <w:t>κ</w:t>
      </w:r>
      <w:r>
        <w:rPr>
          <w:rFonts w:ascii="Times New Roman" w:cs="Times New Roman" w:eastAsia="Times New Roman" w:hAnsi="Times New Roman"/>
        </w:rPr>
        <w:t>. The net effect on demand for the occupation’s work at an assimilating employer is</w:t>
      </w:r>
    </w:p>
    <w:p>
      <w:pPr>
        <w:spacing w:after="200" w:before="120"/>
        <w:jc w:val="center"/>
      </w:pPr>
      <w:r>
        <w:rPr>
          <w:rFonts w:ascii="Times New Roman" w:cs="Times New Roman" w:eastAsia="Times New Roman" w:hAnsi="Times New Roman"/>
          <w:i/>
          <w:iCs/>
        </w:rPr>
        <w:t>β</w:t>
      </w:r>
      <w:r>
        <w:rPr>
          <w:rFonts w:ascii="Times New Roman" w:cs="Times New Roman" w:eastAsia="Times New Roman" w:hAnsi="Times New Roman"/>
          <w:iCs/>
        </w:rPr>
        <w:t xml:space="preserve">  =  ln(1 − </w:t>
      </w:r>
      <w:r>
        <w:rPr>
          <w:rFonts w:ascii="Times New Roman" w:cs="Times New Roman" w:eastAsia="Times New Roman" w:hAnsi="Times New Roman"/>
          <w:i/>
          <w:iCs/>
        </w:rPr>
        <w:t>a</w:t>
      </w:r>
      <w:r>
        <w:rPr>
          <w:rFonts w:ascii="Times New Roman" w:cs="Times New Roman" w:eastAsia="Times New Roman" w:hAnsi="Times New Roman"/>
          <w:iCs/>
        </w:rPr>
        <w:t xml:space="preserve"> + </w:t>
      </w:r>
      <w:r>
        <w:rPr>
          <w:rFonts w:ascii="Times New Roman" w:cs="Times New Roman" w:eastAsia="Times New Roman" w:hAnsi="Times New Roman"/>
          <w:i/>
          <w:iCs/>
        </w:rPr>
        <w:t>ρ</w:t>
      </w:r>
      <w:r>
        <w:rPr>
          <w:rFonts w:ascii="Times New Roman" w:cs="Times New Roman" w:eastAsia="Times New Roman" w:hAnsi="Times New Roman"/>
          <w:iCs/>
        </w:rPr>
        <w:t xml:space="preserve">)  −  </w:t>
      </w:r>
      <w:r>
        <w:rPr>
          <w:rFonts w:ascii="Times New Roman" w:cs="Times New Roman" w:eastAsia="Times New Roman" w:hAnsi="Times New Roman"/>
          <w:i/>
          <w:iCs/>
        </w:rPr>
        <w:t>ε</w:t>
      </w:r>
      <w:r>
        <w:rPr>
          <w:rFonts w:ascii="Times New Roman" w:cs="Times New Roman" w:eastAsia="Times New Roman" w:hAnsi="Times New Roman"/>
          <w:iCs/>
        </w:rPr>
        <w:t xml:space="preserve"> ln </w:t>
      </w:r>
      <w:r>
        <w:rPr>
          <w:rFonts w:ascii="Times New Roman" w:cs="Times New Roman" w:eastAsia="Times New Roman" w:hAnsi="Times New Roman"/>
          <w:i/>
          <w:iCs/>
        </w:rPr>
        <w:t>κ</w:t>
      </w:r>
      <w:r>
        <w:rPr>
          <w:rFonts w:ascii="Times New Roman" w:cs="Times New Roman" w:eastAsia="Times New Roman" w:hAnsi="Times New Roman"/>
          <w:iCs/>
        </w:rPr>
        <w:t>.          (3)</w:t>
      </w:r>
    </w:p>
    <w:p>
      <w:pPr>
        <w:spacing w:after="160" w:line="480" w:lineRule="auto"/>
        <w:jc w:val="both"/>
      </w:pPr>
      <w:r>
        <w:rPr>
          <w:rFonts w:ascii="Times New Roman" w:cs="Times New Roman" w:eastAsia="Times New Roman" w:hAnsi="Times New Roman"/>
        </w:rPr>
        <w:t xml:space="preserve">The first term combines displacement, because the generator takes over a share </w:t>
      </w:r>
      <w:r>
        <w:rPr>
          <w:rFonts w:ascii="Times New Roman" w:cs="Times New Roman" w:eastAsia="Times New Roman" w:hAnsi="Times New Roman"/>
          <w:i/>
        </w:rPr>
        <w:t>a</w:t>
      </w:r>
      <w:r>
        <w:rPr>
          <w:rFonts w:ascii="Times New Roman" w:cs="Times New Roman" w:eastAsia="Times New Roman" w:hAnsi="Times New Roman"/>
        </w:rPr>
        <w:t xml:space="preserve"> of human production, with reinstatement, because review and direction create labor </w:t>
      </w:r>
      <w:r>
        <w:rPr>
          <w:rFonts w:ascii="Times New Roman" w:cs="Times New Roman" w:eastAsia="Times New Roman" w:hAnsi="Times New Roman"/>
          <w:i/>
        </w:rPr>
        <w:t>ρ</w:t>
      </w:r>
      <w:r>
        <w:rPr>
          <w:rFonts w:ascii="Times New Roman" w:cs="Times New Roman" w:eastAsia="Times New Roman" w:hAnsi="Times New Roman"/>
        </w:rPr>
        <w:t xml:space="preserve"> that did not exist before; these are the displacement and reinstatement effects of the task-based framework (Acemoglu and Restrepo 2018, 2019). The second term is the productivity or scale effect, which is positive because cheaper output raises the quantity demanded and with it the demand for review and direction. The values </w:t>
      </w:r>
      <w:r>
        <w:rPr>
          <w:rFonts w:ascii="Times New Roman" w:cs="Times New Roman" w:eastAsia="Times New Roman" w:hAnsi="Times New Roman"/>
          <w:i/>
        </w:rPr>
        <w:t>β</w:t>
      </w:r>
      <w:r>
        <w:rPr>
          <w:rFonts w:ascii="Times New Roman" w:cs="Times New Roman" w:eastAsia="Times New Roman" w:hAnsi="Times New Roman"/>
        </w:rPr>
        <w:t xml:space="preserve"> = −0.19 and </w:t>
      </w:r>
      <w:r>
        <w:rPr>
          <w:rFonts w:ascii="Times New Roman" w:cs="Times New Roman" w:eastAsia="Times New Roman" w:hAnsi="Times New Roman"/>
          <w:i/>
        </w:rPr>
        <w:t>β</w:t>
      </w:r>
      <w:r>
        <w:rPr>
          <w:rFonts w:ascii="Times New Roman" w:cs="Times New Roman" w:eastAsia="Times New Roman" w:hAnsi="Times New Roman"/>
        </w:rPr>
        <w:t xml:space="preserve"> = −0.5 used below are therefore reduced-form: each bundles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ρ</w:t>
      </w:r>
      <w:r>
        <w:rPr>
          <w:rFonts w:ascii="Times New Roman" w:cs="Times New Roman" w:eastAsia="Times New Roman" w:hAnsi="Times New Roman"/>
        </w:rPr>
        <w:t xml:space="preserve">, </w:t>
      </w:r>
      <w:r>
        <w:rPr>
          <w:rFonts w:ascii="Times New Roman" w:cs="Times New Roman" w:eastAsia="Times New Roman" w:hAnsi="Times New Roman"/>
          <w:i/>
        </w:rPr>
        <w:t>γ</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For example, with </w:t>
      </w:r>
      <w:r>
        <w:rPr>
          <w:rFonts w:ascii="Times New Roman" w:cs="Times New Roman" w:eastAsia="Times New Roman" w:hAnsi="Times New Roman"/>
          <w:i/>
        </w:rPr>
        <w:t>a</w:t>
      </w:r>
      <w:r>
        <w:rPr>
          <w:rFonts w:ascii="Times New Roman" w:cs="Times New Roman" w:eastAsia="Times New Roman" w:hAnsi="Times New Roman"/>
        </w:rPr>
        <w:t xml:space="preserve"> = 0.8, </w:t>
      </w:r>
      <w:r>
        <w:rPr>
          <w:rFonts w:ascii="Times New Roman" w:cs="Times New Roman" w:eastAsia="Times New Roman" w:hAnsi="Times New Roman"/>
          <w:i/>
        </w:rPr>
        <w:t>ρ</w:t>
      </w:r>
      <w:r>
        <w:rPr>
          <w:rFonts w:ascii="Times New Roman" w:cs="Times New Roman" w:eastAsia="Times New Roman" w:hAnsi="Times New Roman"/>
        </w:rPr>
        <w:t xml:space="preserve"> = 0.3, and </w:t>
      </w:r>
      <w:r>
        <w:rPr>
          <w:rFonts w:ascii="Times New Roman" w:cs="Times New Roman" w:eastAsia="Times New Roman" w:hAnsi="Times New Roman"/>
          <w:i/>
        </w:rPr>
        <w:t>γ</w:t>
      </w:r>
      <w:r>
        <w:rPr>
          <w:rFonts w:ascii="Times New Roman" w:cs="Times New Roman" w:eastAsia="Times New Roman" w:hAnsi="Times New Roman"/>
        </w:rPr>
        <w:t xml:space="preserve"> = 0.05, labor per unit falls to half and cost per unit to 0.55 of its earlier level, and </w:t>
      </w:r>
      <w:r>
        <w:rPr>
          <w:rFonts w:ascii="Times New Roman" w:cs="Times New Roman" w:eastAsia="Times New Roman" w:hAnsi="Times New Roman"/>
          <w:i/>
        </w:rPr>
        <w:t>β</w:t>
      </w:r>
      <w:r>
        <w:rPr>
          <w:rFonts w:ascii="Times New Roman" w:cs="Times New Roman" w:eastAsia="Times New Roman" w:hAnsi="Times New Roman"/>
        </w:rPr>
        <w:t xml:space="preserve"> is −0.39 if </w:t>
      </w:r>
      <w:r>
        <w:rPr>
          <w:rFonts w:ascii="Times New Roman" w:cs="Times New Roman" w:eastAsia="Times New Roman" w:hAnsi="Times New Roman"/>
          <w:i/>
        </w:rPr>
        <w:t>ε</w:t>
      </w:r>
      <w:r>
        <w:rPr>
          <w:rFonts w:ascii="Times New Roman" w:cs="Times New Roman" w:eastAsia="Times New Roman" w:hAnsi="Times New Roman"/>
        </w:rPr>
        <w:t xml:space="preserve"> = 0.5, −0.10 if </w:t>
      </w:r>
      <w:r>
        <w:rPr>
          <w:rFonts w:ascii="Times New Roman" w:cs="Times New Roman" w:eastAsia="Times New Roman" w:hAnsi="Times New Roman"/>
          <w:i/>
        </w:rPr>
        <w:t>ε</w:t>
      </w:r>
      <w:r>
        <w:rPr>
          <w:rFonts w:ascii="Times New Roman" w:cs="Times New Roman" w:eastAsia="Times New Roman" w:hAnsi="Times New Roman"/>
        </w:rPr>
        <w:t xml:space="preserve"> = 1, and +0.02 if </w:t>
      </w:r>
      <w:r>
        <w:rPr>
          <w:rFonts w:ascii="Times New Roman" w:cs="Times New Roman" w:eastAsia="Times New Roman" w:hAnsi="Times New Roman"/>
          <w:i/>
        </w:rPr>
        <w:t>ε</w:t>
      </w:r>
      <w:r>
        <w:rPr>
          <w:rFonts w:ascii="Times New Roman" w:cs="Times New Roman" w:eastAsia="Times New Roman" w:hAnsi="Times New Roman"/>
        </w:rPr>
        <w:t xml:space="preserve"> = 1.2.</w:t>
      </w:r>
    </w:p>
    <w:p>
      <w:pPr>
        <w:spacing w:after="160" w:line="480" w:lineRule="auto"/>
        <w:jc w:val="both"/>
      </w:pPr>
      <w:r>
        <w:rPr>
          <w:rFonts w:ascii="Times New Roman" w:cs="Times New Roman" w:eastAsia="Times New Roman" w:hAnsi="Times New Roman"/>
          <w:b/>
        </w:rPr>
        <w:t>Proposition 2 (scale offset).</w:t>
      </w:r>
      <w:r>
        <w:rPr>
          <w:rFonts w:ascii="Times New Roman" w:cs="Times New Roman" w:eastAsia="Times New Roman" w:hAnsi="Times New Roman"/>
        </w:rPr>
        <w:t xml:space="preserve"> The net effect </w:t>
      </w:r>
      <w:r>
        <w:rPr>
          <w:rFonts w:ascii="Times New Roman" w:cs="Times New Roman" w:eastAsia="Times New Roman" w:hAnsi="Times New Roman"/>
          <w:i/>
        </w:rPr>
        <w:t>β</w:t>
      </w:r>
      <w:r>
        <w:rPr>
          <w:rFonts w:ascii="Times New Roman" w:cs="Times New Roman" w:eastAsia="Times New Roman" w:hAnsi="Times New Roman"/>
        </w:rPr>
        <w:t xml:space="preserve"> is negative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whenever </w:t>
      </w:r>
      <w:r>
        <w:rPr>
          <w:rFonts w:ascii="Times New Roman" w:cs="Times New Roman" w:eastAsia="Times New Roman" w:hAnsi="Times New Roman"/>
          <w:i/>
        </w:rPr>
        <w:t>γ</w:t>
      </w:r>
      <w:r>
        <w:rPr>
          <w:rFonts w:ascii="Times New Roman" w:cs="Times New Roman" w:eastAsia="Times New Roman" w:hAnsi="Times New Roman"/>
        </w:rPr>
        <w:t xml:space="preserve"> &gt; 0. As generation cost falls toward zero, </w:t>
      </w:r>
      <w:r>
        <w:rPr>
          <w:rFonts w:ascii="Times New Roman" w:cs="Times New Roman" w:eastAsia="Times New Roman" w:hAnsi="Times New Roman"/>
          <w:i/>
        </w:rPr>
        <w:t>ε</w:t>
      </w:r>
      <w:r>
        <w:rPr>
          <w:rFonts w:ascii="Times New Roman" w:cs="Times New Roman" w:eastAsia="Times New Roman" w:hAnsi="Times New Roman"/>
        </w:rPr>
        <w:t>* approaches 1: complete assimilation reduces demand for the occupation if demand for visual output is inelastic and can raise it only if demand is elastic.</w:t>
      </w:r>
    </w:p>
    <w:p>
      <w:pPr>
        <w:pStyle w:val="Heading2"/>
        <w:spacing w:after="120" w:before="280"/>
      </w:pPr>
      <w:r>
        <w:rPr>
          <w:rFonts w:ascii="Times New Roman" w:cs="Times New Roman" w:eastAsia="Times New Roman" w:hAnsi="Times New Roman"/>
          <w:bCs/>
          <w:color w:val="000000"/>
          <w:sz w:val="24"/>
          <w:szCs w:val="24"/>
        </w:rPr>
        <w:t>3.6 Adjustment Through Attrition</w:t>
      </w:r>
    </w:p>
    <w:p>
      <w:pPr>
        <w:spacing w:after="160" w:line="480" w:lineRule="auto"/>
        <w:jc w:val="both"/>
      </w:pPr>
      <w:r>
        <w:rPr>
          <w:rFonts w:ascii="Times New Roman" w:cs="Times New Roman" w:eastAsia="Times New Roman" w:hAnsi="Times New Roman"/>
        </w:rPr>
        <w:t xml:space="preserve">Job adverts measure hiring, and hiring is how most employers reduce a workforce without layoffs. Let </w:t>
      </w:r>
      <w:r>
        <w:rPr>
          <w:rFonts w:ascii="Times New Roman" w:cs="Times New Roman" w:eastAsia="Times New Roman" w:hAnsi="Times New Roman"/>
          <w:i/>
        </w:rPr>
        <w:t>L</w:t>
      </w:r>
      <w:r>
        <w:rPr>
          <w:rFonts w:ascii="Times New Roman" w:cs="Times New Roman" w:eastAsia="Times New Roman" w:hAnsi="Times New Roman"/>
        </w:rPr>
        <w:t xml:space="preserve">(t) be an employer’s employment in the occupation, </w:t>
      </w:r>
      <w:r>
        <w:rPr>
          <w:rFonts w:ascii="Times New Roman" w:cs="Times New Roman" w:eastAsia="Times New Roman" w:hAnsi="Times New Roman"/>
          <w:i/>
        </w:rPr>
        <w:t>δ</w:t>
      </w:r>
      <w:r>
        <w:rPr>
          <w:rFonts w:ascii="Times New Roman" w:cs="Times New Roman" w:eastAsia="Times New Roman" w:hAnsi="Times New Roman"/>
        </w:rPr>
        <w:t xml:space="preserve"> the separation rate, and </w:t>
      </w:r>
      <w:r>
        <w:rPr>
          <w:rFonts w:ascii="Times New Roman" w:cs="Times New Roman" w:eastAsia="Times New Roman" w:hAnsi="Times New Roman"/>
          <w:i/>
        </w:rPr>
        <w:t>H</w:t>
      </w:r>
      <w:r>
        <w:rPr>
          <w:rFonts w:ascii="Times New Roman" w:cs="Times New Roman" w:eastAsia="Times New Roman" w:hAnsi="Times New Roman"/>
        </w:rPr>
        <w:t xml:space="preserve">(t) hires, so that </w:t>
      </w:r>
      <w:r>
        <w:rPr>
          <w:rFonts w:ascii="Times New Roman" w:cs="Times New Roman" w:eastAsia="Times New Roman" w:hAnsi="Times New Roman"/>
          <w:i/>
        </w:rPr>
        <w:t>L</w:t>
      </w:r>
      <w:r>
        <w:rPr>
          <w:rFonts w:ascii="Times New Roman" w:cs="Times New Roman" w:eastAsia="Times New Roman" w:hAnsi="Times New Roman"/>
        </w:rPr>
        <w:t xml:space="preserve">(t + 1) = (1 − </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H</w:t>
      </w:r>
      <w:r>
        <w:rPr>
          <w:rFonts w:ascii="Times New Roman" w:cs="Times New Roman" w:eastAsia="Times New Roman" w:hAnsi="Times New Roman"/>
        </w:rPr>
        <w:t xml:space="preserve">(t). Suppose assimilation lowers target employment to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f</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₀ and the employer closes a fraction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of the remaining gap each period by adjusting hiring:</w:t>
      </w:r>
    </w:p>
    <w:p>
      <w:pPr>
        <w:spacing w:after="200" w:before="120"/>
        <w:jc w:val="center"/>
      </w:pPr>
      <w:r>
        <w:rPr>
          <w:rFonts w:ascii="Times New Roman" w:cs="Times New Roman" w:eastAsia="Times New Roman" w:hAnsi="Times New Roman"/>
          <w:i/>
          <w:iCs/>
        </w:rPr>
        <w:t>H</w:t>
      </w:r>
      <w:r>
        <w:rPr>
          <w:rFonts w:ascii="Times New Roman" w:cs="Times New Roman" w:eastAsia="Times New Roman" w:hAnsi="Times New Roman"/>
          <w:iCs/>
        </w:rPr>
        <w:t xml:space="preserve">(t)  =  </w:t>
      </w:r>
      <w:r>
        <w:rPr>
          <w:rFonts w:ascii="Times New Roman" w:cs="Times New Roman" w:eastAsia="Times New Roman" w:hAnsi="Times New Roman"/>
          <w:i/>
          <w:iCs/>
        </w:rPr>
        <w:t>δL</w:t>
      </w:r>
      <w:r>
        <w:rPr>
          <w:rFonts w:ascii="Times New Roman" w:cs="Times New Roman" w:eastAsia="Times New Roman" w:hAnsi="Times New Roman"/>
          <w:iCs/>
        </w:rPr>
        <w:t xml:space="preserve">(t)  +  </w:t>
      </w:r>
      <w:r>
        <w:rPr>
          <w:rFonts w:ascii="Times New Roman" w:cs="Times New Roman" w:eastAsia="Times New Roman" w:hAnsi="Times New Roman"/>
          <w:i/>
          <w:iCs/>
        </w:rPr>
        <w:t>λ</w:t>
      </w:r>
      <w:r>
        <w:rPr>
          <w:rFonts w:ascii="Times New Roman" w:cs="Times New Roman" w:eastAsia="Times New Roman" w:hAnsi="Times New Roman"/>
          <w:iCs/>
        </w:rPr>
        <w:t>(</w:t>
      </w:r>
      <w:r>
        <w:rPr>
          <w:rFonts w:ascii="Times New Roman" w:cs="Times New Roman" w:eastAsia="Times New Roman" w:hAnsi="Times New Roman"/>
          <w:i/>
          <w:iCs/>
        </w:rPr>
        <w:t>L</w:t>
      </w:r>
      <w:r>
        <w:rPr>
          <w:rFonts w:ascii="Times New Roman" w:cs="Times New Roman" w:eastAsia="Times New Roman" w:hAnsi="Times New Roman"/>
          <w:iCs/>
        </w:rPr>
        <w:t xml:space="preserve">*  −  </w:t>
      </w:r>
      <w:r>
        <w:rPr>
          <w:rFonts w:ascii="Times New Roman" w:cs="Times New Roman" w:eastAsia="Times New Roman" w:hAnsi="Times New Roman"/>
          <w:i/>
          <w:iCs/>
        </w:rPr>
        <w:t>L</w:t>
      </w:r>
      <w:r>
        <w:rPr>
          <w:rFonts w:ascii="Times New Roman" w:cs="Times New Roman" w:eastAsia="Times New Roman" w:hAnsi="Times New Roman"/>
          <w:iCs/>
        </w:rPr>
        <w:t>(t)).          (4)</w:t>
      </w:r>
    </w:p>
    <w:p>
      <w:pPr>
        <w:spacing w:after="160" w:line="480" w:lineRule="auto"/>
        <w:jc w:val="both"/>
      </w:pPr>
      <w:r>
        <w:rPr>
          <w:rFonts w:ascii="Times New Roman" w:cs="Times New Roman" w:eastAsia="Times New Roman" w:hAnsi="Times New Roman"/>
          <w:b/>
        </w:rPr>
        <w:t>Proposition 3 (attrition lag).</w:t>
      </w:r>
      <w:r>
        <w:rPr>
          <w:rFonts w:ascii="Times New Roman" w:cs="Times New Roman" w:eastAsia="Times New Roman" w:hAnsi="Times New Roman"/>
        </w:rPr>
        <w:t xml:space="preserve"> Under equation (4), (i) hiring in the first period falls by the fraction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 </w:t>
      </w:r>
      <w:r>
        <w:rPr>
          <w:rFonts w:ascii="Times New Roman" w:cs="Times New Roman" w:eastAsia="Times New Roman" w:hAnsi="Times New Roman"/>
          <w:i/>
        </w:rPr>
        <w:t>f</w:t>
      </w:r>
      <w:r>
        <w:rPr>
          <w:rFonts w:ascii="Times New Roman" w:cs="Times New Roman" w:eastAsia="Times New Roman" w:hAnsi="Times New Roman"/>
        </w:rPr>
        <w:t xml:space="preserve"> and converges to a fall of </w:t>
      </w:r>
      <w:r>
        <w:rPr>
          <w:rFonts w:ascii="Times New Roman" w:cs="Times New Roman" w:eastAsia="Times New Roman" w:hAnsi="Times New Roman"/>
          <w:i/>
        </w:rPr>
        <w:t>f</w:t>
      </w:r>
      <w:r>
        <w:rPr>
          <w:rFonts w:ascii="Times New Roman" w:cs="Times New Roman" w:eastAsia="Times New Roman" w:hAnsi="Times New Roman"/>
        </w:rPr>
        <w:t xml:space="preserve">, so the decline in adverts never exceeds the decline in target employment, and equation (5) below, which gives the coefficient implied by </w:t>
      </w:r>
      <w:r>
        <w:rPr>
          <w:rFonts w:ascii="Times New Roman" w:cs="Times New Roman" w:eastAsia="Times New Roman" w:hAnsi="Times New Roman"/>
          <w:i/>
        </w:rPr>
        <w:t>f</w:t>
      </w:r>
      <w:r>
        <w:rPr>
          <w:rFonts w:ascii="Times New Roman" w:cs="Times New Roman" w:eastAsia="Times New Roman" w:hAnsi="Times New Roman"/>
        </w:rPr>
        <w:t xml:space="preserve">, is an upper bound for adverts as well as for employment; (ii) employment closes only a fraction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of the gap after </w:t>
      </w:r>
      <w:r>
        <w:rPr>
          <w:rFonts w:ascii="Times New Roman" w:cs="Times New Roman" w:eastAsia="Times New Roman" w:hAnsi="Times New Roman"/>
          <w:i/>
        </w:rPr>
        <w:t>T</w:t>
      </w:r>
      <w:r>
        <w:rPr>
          <w:rFonts w:ascii="Times New Roman" w:cs="Times New Roman" w:eastAsia="Times New Roman" w:hAnsi="Times New Roman"/>
        </w:rPr>
        <w:t xml:space="preserve"> periods. With </w:t>
      </w:r>
      <w:r>
        <w:rPr>
          <w:rFonts w:ascii="Times New Roman" w:cs="Times New Roman" w:eastAsia="Times New Roman" w:hAnsi="Times New Roman"/>
          <w:i/>
        </w:rPr>
        <w:t>λ</w:t>
      </w:r>
      <w:r>
        <w:rPr>
          <w:rFonts w:ascii="Times New Roman" w:cs="Times New Roman" w:eastAsia="Times New Roman" w:hAnsi="Times New Roman"/>
        </w:rPr>
        <w:t xml:space="preserve"> = 0.10, for example, 19 percent of the gap is closed after two years and 41 percent after five.</w:t>
      </w:r>
    </w:p>
    <w:p>
      <w:pPr>
        <w:spacing w:after="160" w:line="480" w:lineRule="auto"/>
        <w:jc w:val="both"/>
      </w:pPr>
      <w:r>
        <w:rPr>
          <w:rFonts w:ascii="Times New Roman" w:cs="Times New Roman" w:eastAsia="Times New Roman" w:hAnsi="Times New Roman"/>
        </w:rPr>
        <w:t>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p>
      <w:pPr>
        <w:pStyle w:val="Heading2"/>
        <w:spacing w:after="120" w:before="280"/>
      </w:pPr>
      <w:r>
        <w:rPr>
          <w:rFonts w:ascii="Times New Roman" w:cs="Times New Roman" w:eastAsia="Times New Roman" w:hAnsi="Times New Roman"/>
          <w:bCs/>
          <w:color w:val="000000"/>
          <w:sz w:val="24"/>
          <w:szCs w:val="24"/>
        </w:rPr>
        <w:t>3.7 Competing Accounts</w:t>
      </w:r>
    </w:p>
    <w:p>
      <w:pPr>
        <w:spacing w:after="160" w:line="480" w:lineRule="auto"/>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480" w:lineRule="auto"/>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480" w:lineRule="auto"/>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γ</w:t>
      </w:r>
      <w:r>
        <w:rPr>
          <w:rFonts w:ascii="Times New Roman" w:cs="Times New Roman" w:eastAsia="Times New Roman" w:hAnsi="Times New Roman"/>
          <w:iCs/>
        </w:rPr>
        <w:t xml:space="preserve">*  ≈  </w:t>
      </w:r>
      <w:r>
        <w:rPr>
          <w:rFonts w:ascii="Times New Roman" w:cs="Times New Roman" w:eastAsia="Times New Roman" w:hAnsi="Times New Roman"/>
          <w:i/>
          <w:iCs/>
        </w:rPr>
        <w:t>A</w:t>
      </w:r>
      <w:r>
        <w:rPr>
          <w:rFonts w:ascii="Times New Roman" w:cs="Times New Roman" w:eastAsia="Times New Roman" w:hAnsi="Times New Roman"/>
          <w:iCs/>
        </w:rPr>
        <w:t xml:space="preserve">ᵘ · </w:t>
      </w:r>
      <w:r>
        <w:rPr>
          <w:rFonts w:ascii="Times New Roman" w:cs="Times New Roman" w:eastAsia="Times New Roman" w:hAnsi="Times New Roman"/>
          <w:i/>
          <w:iCs/>
        </w:rPr>
        <w:t>β</w:t>
      </w:r>
      <w:r>
        <w:rPr>
          <w:rFonts w:ascii="Times New Roman" w:cs="Times New Roman" w:eastAsia="Times New Roman" w:hAnsi="Times New Roman"/>
          <w:iCs/>
        </w:rPr>
        <w:t xml:space="preserve"> / </w:t>
      </w:r>
      <w:r>
        <w:rPr>
          <w:rFonts w:ascii="Times New Roman" w:cs="Times New Roman" w:eastAsia="Times New Roman" w:hAnsi="Times New Roman"/>
          <w:i/>
          <w:iCs/>
        </w:rPr>
        <w:t>k</w:t>
      </w:r>
      <w:r>
        <w:rPr>
          <w:rFonts w:ascii="Times New Roman" w:cs="Times New Roman" w:eastAsia="Times New Roman" w:hAnsi="Times New Roman"/>
          <w:iCs/>
        </w:rPr>
        <w:t>.          (5)</w:t>
      </w:r>
    </w:p>
    <w:p>
      <w:pPr>
        <w:spacing w:after="160" w:line="480" w:lineRule="auto"/>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480" w:lineRule="auto"/>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480" w:lineRule="auto"/>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480" w:lineRule="auto"/>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480" w:lineRule="auto"/>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480" w:lineRule="auto"/>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480" w:lineRule="auto"/>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480" w:lineRule="auto"/>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480" w:lineRule="auto"/>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480" w:lineRule="auto"/>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480" w:lineRule="auto"/>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480" w:lineRule="auto"/>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480" w:lineRule="auto"/>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480" w:lineRule="auto"/>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480" w:lineRule="auto"/>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480" w:lineRule="auto"/>
        <w:jc w:val="both"/>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480" w:lineRule="auto"/>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2"/>
        <w:spacing w:after="120" w:before="280"/>
      </w:pPr>
      <w:r>
        <w:rPr>
          <w:rFonts w:ascii="Times New Roman" w:cs="Times New Roman" w:eastAsia="Times New Roman" w:hAnsi="Times New Roman"/>
          <w:bCs/>
          <w:color w:val="000000"/>
          <w:sz w:val="24"/>
          <w:szCs w:val="24"/>
        </w:rPr>
        <w:t>7.5 Sector-Level Acquisition and Employment</w:t>
      </w:r>
    </w:p>
    <w:p>
      <w:pPr>
        <w:spacing w:after="160" w:line="480" w:lineRule="auto"/>
        <w:jc w:val="both"/>
      </w:pPr>
      <w:r>
        <w:rPr>
          <w:rFonts w:ascii="Times New Roman" w:cs="Times New Roman" w:eastAsia="Times New Roman" w:hAnsi="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correlates 0.59 across 20 sectors with the sector’s reported employee-change index (descriptive only).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would imply a coefficient of about −0.053 times </w:t>
      </w:r>
      <w:r>
        <w:rPr>
          <w:rFonts w:ascii="Times New Roman" w:cs="Times New Roman" w:eastAsia="Times New Roman" w:hAnsi="Times New Roman"/>
          <w:i/>
        </w:rPr>
        <w:t>s</w:t>
      </w:r>
      <w:r>
        <w:rPr>
          <w:rFonts w:ascii="Times New Roman" w:cs="Times New Roman" w:eastAsia="Times New Roman" w:hAnsi="Times New Roman"/>
        </w:rPr>
        <w:t xml:space="preserve">, the share of sector employment in visual-production occupations, per standard deviation of acquisition. Because </w:t>
      </w:r>
      <w:r>
        <w:rPr>
          <w:rFonts w:ascii="Times New Roman" w:cs="Times New Roman" w:eastAsia="Times New Roman" w:hAnsi="Times New Roman"/>
          <w:i/>
        </w:rPr>
        <w:t>s</w:t>
      </w:r>
      <w:r>
        <w:rPr>
          <w:rFonts w:ascii="Times New Roman" w:cs="Times New Roman" w:eastAsia="Times New Roman" w:hAnsi="Times New Roman"/>
        </w:rPr>
        <w:t xml:space="preserve"> 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480" w:lineRule="auto"/>
        <w:jc w:val="both"/>
      </w:pPr>
      <w:r>
        <w:rPr>
          <w:rFonts w:ascii="Times New Roman" w:cs="Times New Roman" w:eastAsia="Times New Roman" w:hAnsi="Times New Roman"/>
        </w:rPr>
        <w:t xml:space="preserve">Equation (5)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480" w:lineRule="auto"/>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480" w:lineRule="auto"/>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480" w:lineRule="auto"/>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480" w:lineRule="auto"/>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480" w:lineRule="auto"/>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480" w:lineRule="auto"/>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Cs/>
          <w:color w:val="000000"/>
          <w:sz w:val="24"/>
          <w:szCs w:val="24"/>
        </w:rPr>
        <w:t>10.2 A Macroeconomic Reading</w:t>
      </w:r>
    </w:p>
    <w:p>
      <w:pPr>
        <w:spacing w:after="160" w:line="480" w:lineRule="auto"/>
        <w:jc w:val="both"/>
      </w:pPr>
      <w:r>
        <w:rPr>
          <w:rFonts w:ascii="Times New Roman" w:cs="Times New Roman" w:eastAsia="Times New Roman" w:hAnsi="Times New Roman"/>
        </w:rPr>
        <w:t>The results fit a standard macroeconomic account of technology shocks. General-purpose technologies take effect only after complementary investments in organization and skills, so adoption can run ahead of measured effects (David 1990; Bresnahan and Trajtenberg 1995; Brynjolfsson, Rock, and Syverson 2021). The task-based framework (Acemoglu and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as Eloundou et al. (2023) assess, the experience of earlier general-purpose technologies suggests that its labor-market effects appear after complementary investments accumulate. Our results are consistent with this reading but do not test it.</w:t>
      </w:r>
    </w:p>
    <w:p>
      <w:pPr>
        <w:spacing w:after="160" w:line="480" w:lineRule="auto"/>
        <w:jc w:val="both"/>
      </w:pPr>
      <w:r>
        <w:rPr>
          <w:rFonts w:ascii="Times New Roman" w:cs="Times New Roman" w:eastAsia="Times New Roman" w:hAnsi="Times New Roman"/>
        </w:rPr>
        <w:t>Two features of labor adjustment shape what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spacing w:after="160" w:line="480" w:lineRule="auto"/>
        <w:jc w:val="both"/>
      </w:pPr>
      <w:r>
        <w:rPr>
          <w:rFonts w:ascii="Times New Roman" w:cs="Times New Roman" w:eastAsia="Times New Roman" w:hAnsi="Times New Roman"/>
        </w:rPr>
        <w:t>On timing, the evidence supports neither a prediction that effects will take decades nor the view that the future cannot be known. Table 6 gives earliest detection dates that range from 2025 for very large effects in high-acquisition sectors to 2035 for moderate effects under slow diffusion in the average firm, and never, in this design, for platform-sized effects. What the data cannot say is whether assimilation is occurring now. Answering that requires firm-level data that link use, complementary assets, task reassignment, and hiring.</w:t>
      </w:r>
    </w:p>
    <w:p>
      <w:pPr>
        <w:pStyle w:val="Heading2"/>
        <w:spacing w:after="120" w:before="280"/>
      </w:pPr>
      <w:r>
        <w:rPr>
          <w:rFonts w:ascii="Times New Roman" w:cs="Times New Roman" w:eastAsia="Times New Roman" w:hAnsi="Times New Roman"/>
          <w:bCs/>
          <w:color w:val="000000"/>
          <w:sz w:val="24"/>
          <w:szCs w:val="24"/>
        </w:rPr>
        <w:t>10.3 Implications</w:t>
      </w:r>
    </w:p>
    <w:p>
      <w:pPr>
        <w:spacing w:after="160" w:line="480" w:lineRule="auto"/>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Cs/>
          <w:color w:val="000000"/>
          <w:sz w:val="24"/>
          <w:szCs w:val="24"/>
        </w:rPr>
        <w:t>10.4 Limitations</w:t>
      </w:r>
    </w:p>
    <w:p>
      <w:pPr>
        <w:spacing w:after="160" w:line="480" w:lineRule="auto"/>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480" w:lineRule="auto"/>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480" w:lineRule="auto"/>
        <w:jc w:val="both"/>
      </w:pPr>
      <w:r>
        <w:rPr>
          <w:rFonts w:ascii="Times New Roman" w:cs="Times New Roman" w:eastAsia="Times New Roman" w:hAnsi="Times New Roman"/>
        </w:rPr>
        <w:t>All data are public (Eurostat, Statistics Canada, U.S. Census Bureau,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480" w:lineRule="auto"/>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480" w:lineRule="auto"/>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480" w:lineRule="auto"/>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Cs/>
          <w:color w:val="000000"/>
          <w:sz w:val="26"/>
          <w:szCs w:val="26"/>
        </w:rPr>
        <w:t>Appendix C. Derivations for Section 3</w:t>
      </w:r>
    </w:p>
    <w:p>
      <w:pPr>
        <w:spacing w:after="160" w:line="480" w:lineRule="auto"/>
        <w:jc w:val="both"/>
      </w:pPr>
      <w:r>
        <w:rPr>
          <w:rFonts w:ascii="Times New Roman" w:cs="Times New Roman" w:eastAsia="Times New Roman" w:hAnsi="Times New Roman"/>
          <w:b/>
        </w:rPr>
        <w:t>Labor and cost ratios.</w:t>
      </w:r>
      <w:r>
        <w:rPr>
          <w:rFonts w:ascii="Times New Roman" w:cs="Times New Roman" w:eastAsia="Times New Roman" w:hAnsi="Times New Roman"/>
        </w:rPr>
        <w:t xml:space="preserve"> Human production of a unit takes </w:t>
      </w:r>
      <w:r>
        <w:rPr>
          <w:rFonts w:ascii="Times New Roman" w:cs="Times New Roman" w:eastAsia="Times New Roman" w:hAnsi="Times New Roman"/>
          <w:i/>
        </w:rPr>
        <w:t>h</w:t>
      </w:r>
      <w:r>
        <w:rPr>
          <w:rFonts w:ascii="Times New Roman" w:cs="Times New Roman" w:eastAsia="Times New Roman" w:hAnsi="Times New Roman"/>
        </w:rPr>
        <w:t xml:space="preserve"> hours. With the generator, a unit requires </w:t>
      </w:r>
      <w:r>
        <w:rPr>
          <w:rFonts w:ascii="Times New Roman" w:cs="Times New Roman" w:eastAsia="Times New Roman" w:hAnsi="Times New Roman"/>
          <w:i/>
        </w:rPr>
        <w:t>u</w:t>
      </w:r>
      <w:r>
        <w:rPr>
          <w:rFonts w:ascii="Times New Roman" w:cs="Times New Roman" w:eastAsia="Times New Roman" w:hAnsi="Times New Roman"/>
        </w:rPr>
        <w:t xml:space="preserve"> hours of review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expected labor per unit is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h</w:t>
      </w:r>
      <w:r>
        <w:rPr>
          <w:rFonts w:ascii="Times New Roman" w:cs="Times New Roman" w:eastAsia="Times New Roman" w:hAnsi="Times New Roman"/>
        </w:rPr>
        <w:t>(</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with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u</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at equal wages. Expected cost per unit is </w:t>
      </w:r>
      <w:r>
        <w:rPr>
          <w:rFonts w:ascii="Times New Roman" w:cs="Times New Roman" w:eastAsia="Times New Roman" w:hAnsi="Times New Roman"/>
          <w:i/>
        </w:rPr>
        <w:t>c</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θκ</w:t>
      </w:r>
      <w:r>
        <w:rPr>
          <w:rFonts w:ascii="Times New Roman" w:cs="Times New Roman" w:eastAsia="Times New Roman" w:hAnsi="Times New Roman"/>
        </w:rPr>
        <w:t xml:space="preserve">. Output scales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under constant elasticity </w:t>
      </w:r>
      <w:r>
        <w:rPr>
          <w:rFonts w:ascii="Times New Roman" w:cs="Times New Roman" w:eastAsia="Times New Roman" w:hAnsi="Times New Roman"/>
          <w:i/>
        </w:rPr>
        <w:t>ε</w:t>
      </w:r>
      <w:r>
        <w:rPr>
          <w:rFonts w:ascii="Times New Roman" w:cs="Times New Roman" w:eastAsia="Times New Roman" w:hAnsi="Times New Roman"/>
        </w:rPr>
        <w:t xml:space="preserve">, so labor demand scales by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which gives equation (3) after taking logarithms.</w:t>
      </w:r>
    </w:p>
    <w:p>
      <w:pPr>
        <w:spacing w:after="160" w:line="480" w:lineRule="auto"/>
        <w:jc w:val="both"/>
      </w:pPr>
      <w:r>
        <w:rPr>
          <w:rFonts w:ascii="Times New Roman" w:cs="Times New Roman" w:eastAsia="Times New Roman" w:hAnsi="Times New Roman"/>
          <w:b/>
        </w:rPr>
        <w:t>Proposition 2.</w:t>
      </w:r>
      <w:r>
        <w:rPr>
          <w:rFonts w:ascii="Times New Roman" w:cs="Times New Roman" w:eastAsia="Times New Roman" w:hAnsi="Times New Roman"/>
        </w:rPr>
        <w:t xml:space="preserve"> </w:t>
      </w:r>
      <w:r>
        <w:rPr>
          <w:rFonts w:ascii="Times New Roman" w:cs="Times New Roman" w:eastAsia="Times New Roman" w:hAnsi="Times New Roman"/>
          <w:i/>
        </w:rPr>
        <w:t>β</w:t>
      </w:r>
      <w:r>
        <w:rPr>
          <w:rFonts w:ascii="Times New Roman" w:cs="Times New Roman" w:eastAsia="Times New Roman" w:hAnsi="Times New Roman"/>
        </w:rPr>
        <w:t xml:space="preserve"> &lt; 0 if and only if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ln </w:t>
      </w:r>
      <w:r>
        <w:rPr>
          <w:rFonts w:ascii="Times New Roman" w:cs="Times New Roman" w:eastAsia="Times New Roman" w:hAnsi="Times New Roman"/>
          <w:i/>
        </w:rPr>
        <w:t>κ</w:t>
      </w:r>
      <w:r>
        <w:rPr>
          <w:rFonts w:ascii="Times New Roman" w:cs="Times New Roman" w:eastAsia="Times New Roman" w:hAnsi="Times New Roman"/>
        </w:rPr>
        <w:t xml:space="preserve">. When </w:t>
      </w:r>
      <w:r>
        <w:rPr>
          <w:rFonts w:ascii="Times New Roman" w:cs="Times New Roman" w:eastAsia="Times New Roman" w:hAnsi="Times New Roman"/>
          <w:i/>
        </w:rPr>
        <w:t>γ</w:t>
      </w:r>
      <w:r>
        <w:rPr>
          <w:rFonts w:ascii="Times New Roman" w:cs="Times New Roman" w:eastAsia="Times New Roman" w:hAnsi="Times New Roman"/>
        </w:rPr>
        <w:t xml:space="preserve"> &gt; 0 and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κ</w:t>
      </w:r>
      <w:r>
        <w:rPr>
          <w:rFonts w:ascii="Times New Roman" w:cs="Times New Roman" w:eastAsia="Times New Roman" w:hAnsi="Times New Roman"/>
        </w:rPr>
        <w:t xml:space="preserve"> &lt; 1, so both logarithms are negative and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&gt; |ln </w:t>
      </w:r>
      <w:r>
        <w:rPr>
          <w:rFonts w:ascii="Times New Roman" w:cs="Times New Roman" w:eastAsia="Times New Roman" w:hAnsi="Times New Roman"/>
          <w:i/>
        </w:rPr>
        <w:t>κ</w:t>
      </w:r>
      <w:r>
        <w:rPr>
          <w:rFonts w:ascii="Times New Roman" w:cs="Times New Roman" w:eastAsia="Times New Roman" w:hAnsi="Times New Roman"/>
        </w:rPr>
        <w:t xml:space="preserve">|. Dividing by ln </w:t>
      </w:r>
      <w:r>
        <w:rPr>
          <w:rFonts w:ascii="Times New Roman" w:cs="Times New Roman" w:eastAsia="Times New Roman" w:hAnsi="Times New Roman"/>
          <w:i/>
        </w:rPr>
        <w:t>κ</w:t>
      </w:r>
      <w:r>
        <w:rPr>
          <w:rFonts w:ascii="Times New Roman" w:cs="Times New Roman" w:eastAsia="Times New Roman" w:hAnsi="Times New Roman"/>
        </w:rPr>
        <w:t xml:space="preserve"> reverses the inequality: </w:t>
      </w:r>
      <w:r>
        <w:rPr>
          <w:rFonts w:ascii="Times New Roman" w:cs="Times New Roman" w:eastAsia="Times New Roman" w:hAnsi="Times New Roman"/>
          <w:i/>
        </w:rPr>
        <w:t>β</w:t>
      </w:r>
      <w:r>
        <w:rPr>
          <w:rFonts w:ascii="Times New Roman" w:cs="Times New Roman" w:eastAsia="Times New Roman" w:hAnsi="Times New Roman"/>
        </w:rPr>
        <w:t xml:space="preserve"> &lt; 0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As </w:t>
      </w:r>
      <w:r>
        <w:rPr>
          <w:rFonts w:ascii="Times New Roman" w:cs="Times New Roman" w:eastAsia="Times New Roman" w:hAnsi="Times New Roman"/>
          <w:i/>
        </w:rPr>
        <w:t>γ</w:t>
      </w:r>
      <w:r>
        <w:rPr>
          <w:rFonts w:ascii="Times New Roman" w:cs="Times New Roman" w:eastAsia="Times New Roman" w:hAnsi="Times New Roman"/>
        </w:rPr>
        <w:t xml:space="preserve"> → 0, </w:t>
      </w:r>
      <w:r>
        <w:rPr>
          <w:rFonts w:ascii="Times New Roman" w:cs="Times New Roman" w:eastAsia="Times New Roman" w:hAnsi="Times New Roman"/>
          <w:i/>
        </w:rPr>
        <w:t>κ</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 1.</w:t>
      </w:r>
    </w:p>
    <w:p>
      <w:pPr>
        <w:spacing w:after="160" w:line="480" w:lineRule="auto"/>
        <w:jc w:val="both"/>
      </w:pPr>
      <w:r>
        <w:rPr>
          <w:rFonts w:ascii="Times New Roman" w:cs="Times New Roman" w:eastAsia="Times New Roman" w:hAnsi="Times New Roman"/>
          <w:b/>
        </w:rPr>
        <w:t>Proposition 3.</w:t>
      </w:r>
      <w:r>
        <w:rPr>
          <w:rFonts w:ascii="Times New Roman" w:cs="Times New Roman" w:eastAsia="Times New Roman" w:hAnsi="Times New Roman"/>
        </w:rPr>
        <w:t xml:space="preserve"> Substituting equation (4) into the employment equation gives </w:t>
      </w:r>
      <w:r>
        <w:rPr>
          <w:rFonts w:ascii="Times New Roman" w:cs="Times New Roman" w:eastAsia="Times New Roman" w:hAnsi="Times New Roman"/>
          <w:i/>
        </w:rPr>
        <w:t>L</w:t>
      </w:r>
      <w:r>
        <w:rPr>
          <w:rFonts w:ascii="Times New Roman" w:cs="Times New Roman" w:eastAsia="Times New Roman" w:hAnsi="Times New Roman"/>
        </w:rPr>
        <w:t xml:space="preserve">(t + 1)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so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w:t>
      </w:r>
      <w:r>
        <w:rPr>
          <w:rFonts w:ascii="Times New Roman" w:cs="Times New Roman" w:eastAsia="Times New Roman" w:hAnsi="Times New Roman"/>
          <w:i/>
        </w:rPr>
        <w:t>L</w:t>
      </w:r>
      <w:r>
        <w:rPr>
          <w:rFonts w:ascii="Times New Roman" w:cs="Times New Roman" w:eastAsia="Times New Roman" w:hAnsi="Times New Roman"/>
        </w:rPr>
        <w:t xml:space="preserve">₀ − </w:t>
      </w:r>
      <w:r>
        <w:rPr>
          <w:rFonts w:ascii="Times New Roman" w:cs="Times New Roman" w:eastAsia="Times New Roman" w:hAnsi="Times New Roman"/>
          <w:i/>
        </w:rPr>
        <w:t>L</w:t>
      </w:r>
      <w:r>
        <w:rPr>
          <w:rFonts w:ascii="Times New Roman" w:cs="Times New Roman" w:eastAsia="Times New Roman" w:hAnsi="Times New Roman"/>
        </w:rPr>
        <w:t xml:space="preserve">*) and the share of the gap closed after </w:t>
      </w:r>
      <w:r>
        <w:rPr>
          <w:rFonts w:ascii="Times New Roman" w:cs="Times New Roman" w:eastAsia="Times New Roman" w:hAnsi="Times New Roman"/>
          <w:i/>
        </w:rPr>
        <w:t>T</w:t>
      </w:r>
      <w:r>
        <w:rPr>
          <w:rFonts w:ascii="Times New Roman" w:cs="Times New Roman" w:eastAsia="Times New Roman" w:hAnsi="Times New Roman"/>
        </w:rPr>
        <w:t xml:space="preserve"> periods is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Hires in the first period are </w:t>
      </w:r>
      <w:r>
        <w:rPr>
          <w:rFonts w:ascii="Times New Roman" w:cs="Times New Roman" w:eastAsia="Times New Roman" w:hAnsi="Times New Roman"/>
          <w:i/>
        </w:rPr>
        <w:t>H</w:t>
      </w:r>
      <w:r>
        <w:rPr>
          <w:rFonts w:ascii="Times New Roman" w:cs="Times New Roman" w:eastAsia="Times New Roman" w:hAnsi="Times New Roman"/>
        </w:rPr>
        <w:t xml:space="preserve">(0) = </w:t>
      </w:r>
      <w:r>
        <w:rPr>
          <w:rFonts w:ascii="Times New Roman" w:cs="Times New Roman" w:eastAsia="Times New Roman" w:hAnsi="Times New Roman"/>
          <w:i/>
        </w:rPr>
        <w:t>δL</w:t>
      </w:r>
      <w:r>
        <w:rPr>
          <w:rFonts w:ascii="Times New Roman" w:cs="Times New Roman" w:eastAsia="Times New Roman" w:hAnsi="Times New Roman"/>
        </w:rPr>
        <w:t xml:space="preserve">₀ − </w:t>
      </w:r>
      <w:r>
        <w:rPr>
          <w:rFonts w:ascii="Times New Roman" w:cs="Times New Roman" w:eastAsia="Times New Roman" w:hAnsi="Times New Roman"/>
          <w:i/>
        </w:rPr>
        <w:t>λfL</w:t>
      </w:r>
      <w:r>
        <w:rPr>
          <w:rFonts w:ascii="Times New Roman" w:cs="Times New Roman" w:eastAsia="Times New Roman" w:hAnsi="Times New Roman"/>
        </w:rPr>
        <w:t xml:space="preserve">₀, so </w:t>
      </w:r>
      <w:r>
        <w:rPr>
          <w:rFonts w:ascii="Times New Roman" w:cs="Times New Roman" w:eastAsia="Times New Roman" w:hAnsi="Times New Roman"/>
          <w:i/>
        </w:rPr>
        <w:t>H</w:t>
      </w:r>
      <w:r>
        <w:rPr>
          <w:rFonts w:ascii="Times New Roman" w:cs="Times New Roman" w:eastAsia="Times New Roman" w:hAnsi="Times New Roman"/>
        </w:rPr>
        <w:t>(0)/(</w:t>
      </w:r>
      <w:r>
        <w:rPr>
          <w:rFonts w:ascii="Times New Roman" w:cs="Times New Roman" w:eastAsia="Times New Roman" w:hAnsi="Times New Roman"/>
          <w:i/>
        </w:rPr>
        <w:t>δL</w:t>
      </w:r>
      <w:r>
        <w:rPr>
          <w:rFonts w:ascii="Times New Roman" w:cs="Times New Roman" w:eastAsia="Times New Roman" w:hAnsi="Times New Roman"/>
        </w:rPr>
        <w:t>₀)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As </w:t>
      </w:r>
      <w:r>
        <w:rPr>
          <w:rFonts w:ascii="Times New Roman" w:cs="Times New Roman" w:eastAsia="Times New Roman" w:hAnsi="Times New Roman"/>
          <w:i/>
        </w:rPr>
        <w:t>t</w:t>
      </w:r>
      <w:r>
        <w:rPr>
          <w:rFonts w:ascii="Times New Roman" w:cs="Times New Roman" w:eastAsia="Times New Roman" w:hAnsi="Times New Roman"/>
        </w:rPr>
        <w:t xml:space="preserve"> → ∞,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and </w:t>
      </w:r>
      <w:r>
        <w:rPr>
          <w:rFonts w:ascii="Times New Roman" w:cs="Times New Roman" w:eastAsia="Times New Roman" w:hAnsi="Times New Roman"/>
          <w:i/>
        </w:rPr>
        <w:t>H</w:t>
      </w:r>
      <w:r>
        <w:rPr>
          <w:rFonts w:ascii="Times New Roman" w:cs="Times New Roman" w:eastAsia="Times New Roman" w:hAnsi="Times New Roman"/>
        </w:rPr>
        <w:t xml:space="preserve">(t) → </w:t>
      </w:r>
      <w:r>
        <w:rPr>
          <w:rFonts w:ascii="Times New Roman" w:cs="Times New Roman" w:eastAsia="Times New Roman" w:hAnsi="Times New Roman"/>
          <w:i/>
        </w:rPr>
        <w:t>δL</w:t>
      </w:r>
      <w:r>
        <w:rPr>
          <w:rFonts w:ascii="Times New Roman" w:cs="Times New Roman" w:eastAsia="Times New Roman" w:hAnsi="Times New Roman"/>
        </w:rPr>
        <w:t xml:space="preserve">*, so </w:t>
      </w:r>
      <w:r>
        <w:rPr>
          <w:rFonts w:ascii="Times New Roman" w:cs="Times New Roman" w:eastAsia="Times New Roman" w:hAnsi="Times New Roman"/>
          <w:i/>
        </w:rPr>
        <w:t>H</w:t>
      </w:r>
      <w:r>
        <w:rPr>
          <w:rFonts w:ascii="Times New Roman" w:cs="Times New Roman" w:eastAsia="Times New Roman" w:hAnsi="Times New Roman"/>
        </w:rPr>
        <w:t>(t)/(</w:t>
      </w:r>
      <w:r>
        <w:rPr>
          <w:rFonts w:ascii="Times New Roman" w:cs="Times New Roman" w:eastAsia="Times New Roman" w:hAnsi="Times New Roman"/>
          <w:i/>
        </w:rPr>
        <w:t>δL</w:t>
      </w:r>
      <w:r>
        <w:rPr>
          <w:rFonts w:ascii="Times New Roman" w:cs="Times New Roman" w:eastAsia="Times New Roman" w:hAnsi="Times New Roman"/>
        </w:rPr>
        <w:t xml:space="preserve">₀) → 1 − </w:t>
      </w:r>
      <w:r>
        <w:rPr>
          <w:rFonts w:ascii="Times New Roman" w:cs="Times New Roman" w:eastAsia="Times New Roman" w:hAnsi="Times New Roman"/>
          <w:i/>
        </w:rPr>
        <w:t>f</w:t>
      </w:r>
      <w:r>
        <w:rPr>
          <w:rFonts w:ascii="Times New Roman" w:cs="Times New Roman" w:eastAsia="Times New Roman" w:hAnsi="Times New Roman"/>
        </w:rPr>
        <w:t xml:space="preserve">. Hires are non-negative in every period when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because </w:t>
      </w:r>
      <w:r>
        <w:rPr>
          <w:rFonts w:ascii="Times New Roman" w:cs="Times New Roman" w:eastAsia="Times New Roman" w:hAnsi="Times New Roman"/>
          <w:i/>
        </w:rPr>
        <w:t>λf</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for </w:t>
      </w:r>
      <w:r>
        <w:rPr>
          <w:rFonts w:ascii="Times New Roman" w:cs="Times New Roman" w:eastAsia="Times New Roman" w:hAnsi="Times New Roman"/>
          <w:i/>
        </w:rPr>
        <w:t>f</w:t>
      </w:r>
      <w:r>
        <w:rPr>
          <w:rFonts w:ascii="Times New Roman" w:cs="Times New Roman" w:eastAsia="Times New Roman" w:hAnsi="Times New Roman"/>
        </w:rPr>
        <w:t xml:space="preserve"> ≤ 1. The upper bound in part (i) holds when hiring is adjusted smoothly as in equation (4); a temporary hiring freeze could produce a larger transitory fall in adverts.</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Acemoglu, D., and Restrepo, P. 2018. The race between man and machine: Implications of technology for growth, factor shares, and employment.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108(6):1488–1542.</w:t>
      </w:r>
    </w:p>
    <w:p>
      <w:pPr>
        <w:spacing w:after="100"/>
        <w:ind w:left="360" w:hanging="360"/>
      </w:pPr>
      <w:r>
        <w:rPr>
          <w:rFonts w:ascii="Times New Roman" w:cs="Times New Roman" w:eastAsia="Times New Roman" w:hAnsi="Times New Roman"/>
          <w:sz w:val="21"/>
          <w:szCs w:val="21"/>
        </w:rPr>
        <w:t xml:space="preserve">Acemoglu, D., and Restrepo, P. 2019. Automation and new tasks: How technology displaces and reinstates labor. </w:t>
      </w:r>
      <w:r>
        <w:rPr>
          <w:rFonts w:ascii="Times New Roman" w:cs="Times New Roman" w:eastAsia="Times New Roman" w:hAnsi="Times New Roman"/>
          <w:i/>
          <w:sz w:val="21"/>
          <w:szCs w:val="21"/>
        </w:rPr>
        <w:t>Journal of Economic Perspectives</w:t>
      </w:r>
      <w:r>
        <w:rPr>
          <w:rFonts w:ascii="Times New Roman" w:cs="Times New Roman" w:eastAsia="Times New Roman" w:hAnsi="Times New Roman"/>
          <w:sz w:val="21"/>
          <w:szCs w:val="21"/>
        </w:rPr>
        <w:t xml:space="preserve"> 33(2):3–30.</w:t>
      </w:r>
    </w:p>
    <w:p>
      <w:pPr>
        <w:spacing w:after="100"/>
        <w:ind w:left="360" w:hanging="360"/>
      </w:pPr>
      <w:r>
        <w:rPr>
          <w:rFonts w:ascii="Times New Roman" w:cs="Times New Roman" w:eastAsia="Times New Roman" w:hAnsi="Times New Roman"/>
          <w:sz w:val="21"/>
          <w:szCs w:val="21"/>
        </w:rPr>
        <w:t xml:space="preserve">Aghion, P., Jones, B. F., and Jones, C. I. 2019. Artificial intelligence and economic growth. In </w:t>
      </w:r>
      <w:r>
        <w:rPr>
          <w:rFonts w:ascii="Times New Roman" w:cs="Times New Roman" w:eastAsia="Times New Roman" w:hAnsi="Times New Roman"/>
          <w:i/>
          <w:sz w:val="21"/>
          <w:szCs w:val="21"/>
        </w:rPr>
        <w:t>The Economics of Artificial Intelligence: An Agenda</w:t>
      </w:r>
      <w:r>
        <w:rPr>
          <w:rFonts w:ascii="Times New Roman" w:cs="Times New Roman" w:eastAsia="Times New Roman" w:hAnsi="Times New Roman"/>
          <w:sz w:val="21"/>
          <w:szCs w:val="21"/>
        </w:rPr>
        <w:t>, edited by A. Agrawal, J. Gans, and A. Goldfarb. Chicago: University of Chicago Press.</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Baumol, W. J. 1967. Macroeconomics of unbalanced growth: The anatomy of urban crisis.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57(3):415–426.</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U.S. Census Bureau. Business Trends and Outlook Survey (BTOS), sector estimates. Public-use tables.</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