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"Loss Chasing in Large Language Model Maintenance Decisions: A Human-Subject-Free Behavioral Evaluation,"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code repository is withheld.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Whether such an operator is sensitive to how a failure is described is unknown, and the behavioral-economics prediction (loss chasing after a realized loss) has been tested in one-shot economic tasks and in text generation, not in a repeated operational loop.</w:t>
      </w:r>
    </w:p>
    <w:p>
      <w:pPr>
        <w:spacing w:after="160" w:before="0" w:line="276"/>
      </w:pPr>
      <w:r>
        <w:rPr>
          <w:rFonts w:ascii="Times New Roman" w:cs="Times New Roman" w:eastAsia="Times New Roman" w:hAnsi="Times New Roman"/>
          <w:sz w:val="24"/>
          <w:szCs w:val="24"/>
        </w:rPr>
        <w:t xml:space="preserve">This paper contributes in three ways. First, it formalizes LLM maintenance as a repeated prospect-theoretic choice and defines loss chasing through three jointly necessary conditions, one of which requires that the chosen action be inferior in expected value. We construct a six-action environment in which skipping tests is dominated by its verified counterpart, so a rise in skipping cannot be explained as a rational response to a time budget. Second, it identifies a measurement problem that affects any such evaluation: when a rollback option recovers a realized loss at positive expected value, a rational operator lowers its risk after failures, so the natural "risk rises after failures" test mislabels rational retreat and non-retreat. We propose excess risk over an expected-value-maximizing benchmark, combined with test-skipping, and we show that a model that never skips makes a framing test uninformative. Third, it provides an open, human-subject-free audit that an organization can run on a candidate model before delegating maintenance decisions to it.</w:t>
      </w:r>
    </w:p>
    <w:p>
      <w:pPr>
        <w:spacing w:after="160" w:before="0" w:line="276"/>
      </w:pPr>
      <w:r>
        <w:rPr>
          <w:rFonts w:ascii="Times New Roman" w:cs="Times New Roman" w:eastAsia="Times New Roman" w:hAnsi="Times New Roman"/>
          <w:sz w:val="24"/>
          <w:szCs w:val="24"/>
        </w:rPr>
        <w:t xml:space="preserve">Empirically, the paper reports a preliminary, partial execution of a registered protocol on three models. We find no support for the framing hypothesis in any of them. The loss frame raised test-skipping by 7.7 percentage points in one open model (below the registered 10-point threshold), lowered it by 5.0 points in another, and a commercial model never skipped tests. The response to failure history differed in sign across models. The contribution is therefore not a claim that LLM operators chase losses; it is evidence that framing sensitivity is model-specific, together with a design and a measurement argument for how it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model on the organization's own payoff structure before delegation, rather than adopting a general rule about dashboard wording. We are explicit about limits: three models of different families, a subset of the registered grid, and exploratory analysis choices that are labeled as such.</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implements a pre-specified evaluation protocol. The manuscript adds the executed runs on three models, the measurement argument about excess risk and floor effects,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2026-09-30T21:41:38.538Z</dcterms:created>
  <dcterms:modified xsi:type="dcterms:W3CDTF">2026-09-30T21:41:38.538Z</dcterms:modified>
</cp:coreProperties>
</file>

<file path=docProps/custom.xml><?xml version="1.0" encoding="utf-8"?>
<Properties xmlns="http://schemas.openxmlformats.org/officeDocument/2006/custom-properties" xmlns:vt="http://schemas.openxmlformats.org/officeDocument/2006/docPropsVTypes"/>
</file>