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120" w:line="240" w:lineRule="auto"/>
        <w:jc w:val="center"/>
      </w:pPr>
      <w:r>
        <w:rPr>
          <w:rFonts w:ascii="Times New Roman" w:cs="Times New Roman" w:eastAsia="Times New Roman" w:hAnsi="Times New Roman"/>
          <w:sz w:val="22"/>
          <w:szCs w:val="22"/>
        </w:rPr>
        <w:t xml:space="preserve">Manuscript prepared in the format of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reports a full analysis on open data, but it is not yet ready for submission. Three items remain open: (i) the large-language-model (LLM) measure of occupational exposure to visual content creation has not been validated against human coders; (ii) the evidence on labor effects is small and imprecise, with two post-2022 years in the European replication, and we do not claim a causal effect of generative visual AI; (iii) model release dates and the bibliographic details marked † must be verified. All reported numbers are produced by the code and data in the accompanying repository.</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where adoption requires acceptable output quality at low review cost and is held back by expertise and legal frictions. Eurostat survey data show substantial adoption (9.6% of European firms with ten or more employees use AI that generates pictures, video, or audio) and that firms cite lack of expertise and legal and privacy uncertainty far more than lack of usefulness. In online job adverts for 403 UK occupations and 96 occupations in 16 European countries, exposure to visual content creation predicts small declines after 2022 (about 1 to 3% per standard deviation) that are not concentrated in low-quality-requirement tasks and, for the most exposed UK occupations, exceed what current adoption could explain.</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systems that create images from text prompts, released from 2022, and systems that create video, released from 2024, make a first draft of visual content almost costless. A natural expectation is that they will displace the people who produce such content. Yet general-purpose technologies have often shown a long gap between invention, adoption, and measurable labor-market effects: electric motors changed factory output decades after their introduction, and computers took years to show up in productivity (David 1990†; Brynjolfsson et al. 2021†). In information systems research, the same idea appears as the gap between a firm’s adoption of an innovation and its deeper assimilation into work (Fichman and Kemerer 1999†). Is generative visual AI displacing creative work today, or are we in an early-adoption phase in which displacement is still to come?</w:t>
      </w:r>
    </w:p>
    <w:p>
      <w:pPr>
        <w:spacing w:after="0" w:line="480" w:lineRule="auto"/>
        <w:ind w:firstLine="720"/>
        <w:jc w:val="left"/>
      </w:pPr>
      <w:r>
        <w:rPr>
          <w:rFonts w:ascii="Times New Roman" w:cs="Times New Roman" w:eastAsia="Times New Roman" w:hAnsi="Times New Roman"/>
          <w:sz w:val="24"/>
          <w:szCs w:val="24"/>
        </w:rPr>
        <w:t xml:space="preserve">We study this question with open data and a model that separates adoption from displacement. The model treats the change in labor demand in an occupation as the product of two terms: the share of employers who have adopted the technology, and the net effect of adoption on hiring among those adopters, which combines substitution and a scale effect from cheaper content. Adoption of a visual generator for a task requires that its output meet the task’s quality requirement at a review cost below the cost of human production, and it is limited by frictions in expertise, legal clarity, and data protection. A small observed effect on labor demand is therefore consistent with several different states of the world: low adoption, low substitution among adopters, offsetting scale effects, or no effect at all. We use data to tell some of these apart.</w:t>
      </w:r>
    </w:p>
    <w:p>
      <w:pPr>
        <w:spacing w:after="0" w:line="480" w:lineRule="auto"/>
        <w:ind w:firstLine="720"/>
        <w:jc w:val="left"/>
      </w:pPr>
      <w:r>
        <w:rPr>
          <w:rFonts w:ascii="Times New Roman" w:cs="Times New Roman" w:eastAsia="Times New Roman" w:hAnsi="Times New Roman"/>
          <w:sz w:val="24"/>
          <w:szCs w:val="24"/>
        </w:rPr>
        <w:t xml:space="preserve">We bring together three sources. First, Eurostat’s enterprise survey on AI, which in 2025 asks whether firms use AI that generates pictures, videos, or audio, and why firms that considered AI did not adopt it. Second, UK online job adverts by occupation from the Office for National Statistics (ONS), covering 413 four-digit occupations from 2017 to 2026. Third, an LLM-coded measure of occupational exposure to visual content creation built from O*NET task statements, which we map to UK occupations through the ISCO-08 classification. As a replication we use Eurostat’s experimental statistics on online job advertisements by ISCO three-digit occupation for 16 European countries from 2019 to 2024. We also report, as supplementary evidence, US postings by sector and European employment by industry.</w:t>
      </w:r>
    </w:p>
    <w:p>
      <w:pPr>
        <w:spacing w:after="0" w:line="480" w:lineRule="auto"/>
        <w:ind w:firstLine="720"/>
        <w:jc w:val="left"/>
      </w:pPr>
      <w:r>
        <w:rPr>
          <w:rFonts w:ascii="Times New Roman" w:cs="Times New Roman" w:eastAsia="Times New Roman" w:hAnsi="Times New Roman"/>
          <w:sz w:val="24"/>
          <w:szCs w:val="24"/>
        </w:rPr>
        <w:t xml:space="preserve">Our findings are as follows. Adoption is already substantial: 9.6% of European firms with ten or more employees use AI that generates pictures, video, or audio, rising to 27.9% among firms with 250 or more employees and to about 36% in publishing, film, and broadcasting. Among firms that considered AI but did not adopt it, 70% cite lack of expertise, 54% unclear legal consequences, and 53% data protection and privacy concerns, against 18% who consider AI not useful. In UK adverts, occupations with higher exposure to visual content creation show small declines after 2022 (about 2 to 3% per standard deviation of exposure by 2025 and 2026, with randomization p-values from 0.03 to 0.47 across years and specifications), but these declines resemble a reversal of a COVID-era pattern, are not concentrated in tasks with low quality requirements, vanish when one occupation is dropped, and are far too large, for the occupations with the highest exposure, to be explained by the observed adoption levels. In the European replication the pattern has the same sign and similar size, with flat pre-period coefficients and two post-2022 years (about −1.6% per standard deviation in 2023 and −1.2% in 2024 with the language control; −3.7% and −5.9% without). We read the evidence as consistent with early adoption and little detectable displacement so far, and we do not claim that displacement is absent or will not come.</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research in three ways. First, it offers a model that decomposes labor-demand effects into adoption and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rather than assuming them. Third, it documents a measurement strategy that links task-level data on visual content creation to occupation-level hiring data across countries, and is open and reproducible.</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require complementary investments in organization, skills, and processes (Bresnahan and Trajtenberg 1995†; David 1990†). Brynjolfsson et al. (2021)† formalize this as a productivity J-curve in which measured gains lag adoption because intangible complements are built first. Information systems research has a parallel tradition on diffusion and assimilation: Fichman and Kemerer (1999)† showed that organizations can acquire an innovation without deploying it, so that diffusion statistics overstate use. We apply these ideas to labor demand: counts of adopting firms may overstate the extent to which tasks have actually been shifted, and effects on hiring may follow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hiring. Exposure measures describe where AI could matter; they do not say whether, or when, firms act on it. We use an exposure measure for a specific class of tasks, producing or editing visual content, and combine it with survey evidence on whether and why firms adopt.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Generative AI lowers the cost of producing a draft, so the standard implication is that cheaper content expands the quantity demanded and raises demand for direction, selection, and review. We do not review the growing empirical literature on generative AI and creative or freelance work in detail here; positioning against recent work in Information Systems Research, MIS Quarterly, and Management Science is to be completed before submission.</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and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Because these fixed costs differ across firms and fall over time,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effects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in mid-2022 and of ChatGPT in November 2022 (dates to be verified).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The measure has not been validated against human coders. We provide convergent evidence from a transparent rule-based score built from the rubric text: its correlation with the LLM score across occupations is 0.71 in the first half and 0.91 in the second half of the data classified first (n = 196 and 192 occupations), and all main results are similar with the rule-based score. A second LLM pass codes the quality requirement of the 859 tasks that score 1 or 2 as low (237 tasks), medium (355), or high (267), using the rubric in Appendix A. An earlier attempt to measure a broader construct, dependence of tasks on visual perception, agreed poorly with a human coder (Cohen’s κ about 0.2 on 200 tasks) and was discontinued.</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6.7.</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In Section 6.4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so, unlike the UK, the European data show no differential decline before 2022.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6).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6.5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7).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6.6 Scaling by Adoption</w:t>
      </w:r>
    </w:p>
    <w:p>
      <w:pPr>
        <w:spacing w:after="0" w:line="480" w:lineRule="auto"/>
        <w:ind w:firstLine="720"/>
        <w:jc w:val="left"/>
      </w:pPr>
      <w:r>
        <w:rPr>
          <w:rFonts w:ascii="Times New Roman" w:cs="Times New Roman" w:eastAsia="Times New Roman" w:hAnsi="Times New Roman"/>
          <w:sz w:val="24"/>
          <w:szCs w:val="24"/>
        </w:rPr>
        <w:t xml:space="preserve">Table 8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6.7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6.8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strengthens the direction of the result and removes the pre-trend concern, but it covers only two post-2022 years.</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decomposes the labor-demand effect of a technology into adoption and the net effect among adopters, and uses it to bound what adoption can explain. It brings direct survey evidence on obstacles to adoption, which are expertise and legal and privacy uncertainty, and shows that adoption of generative visual AI is already substantial. It links task-level data on visual content creation to occupation-level hiring data across countries with an open and reproducible pipeline, and shows that estimated effects are small, have the same sign in a European replication, and are sensitive to a few occupations in the UK. For research on delayed diffusion, the results illustrate how adoption statistics and labor outcomes can diverge: the adoption statistics are high enough to signal an early-adoption phase, while the labor outcomes have not yet moved in a way that can be attributed to the technology.</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the finding that effects on hiring are small so far should not be read as evidence that they will remain so. If adoption continues to rise at the pace seen for text generation, effects on hiring could appear within a few years, and monitoring should rely on occupation-level data that distinguish production roles from direction roles. For information systems research, the paper points to the assimilation gap as a way to interpret generative AI: counting adopters is not the same as measuring the shift of tasks.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by employers of each occupation, so the scaling exercise is a stylized check. The adoption survey covers Europe and asks about AI in general for the barriers, whereas the hiring data are for the United Kingdom, so we link them only through sector averages. The Eurostat indicator for generative visual AI is available for one year, so we cannot show its growth. The European replication uses experimental statistics that cover 16 countries, ISCO three-digit occupations, and only two post-2022 years, and it ends in 2024. The exposure measure is LLM-coded and has not been validated against human coders, although a rule-based score gives similar results. The mapping from O*NET to UK occupations goes through ISCO-08 and is approximate. The ONS series is experimental and has missing months that we interpolate. Adverts measure hiring intent, not employment, and substitution may occur through hours, outsourcing, or freelancing, which adverts cannot show. Model release dates are approximate. Finally, our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Testing the delayed-displacement view requires firm-level data that link adoption to hiring, a validated task measure, and several more years of data.</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Claude Sonnet 5.5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are in the repository as prompt_creation.txt and prompt_quality.txt. Data and code are in the accompanying repository (isr_paper).</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memory or from the earlier research proposal without independent verification; to be checked before circulation.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2026-10-04T07:37:46.710Z</dcterms:created>
  <dcterms:modified xsi:type="dcterms:W3CDTF">2026-10-04T07:37:46.710Z</dcterms:modified>
</cp:coreProperties>
</file>

<file path=docProps/custom.xml><?xml version="1.0" encoding="utf-8"?>
<Properties xmlns="http://schemas.openxmlformats.org/officeDocument/2006/custom-properties" xmlns:vt="http://schemas.openxmlformats.org/officeDocument/2006/docPropsVTypes"/>
</file>