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theory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digital twins, synthetic customers, validation, calibration, organizational accountability, marketing analytics</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and conjoint results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that is,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does not lie in the language model alone but in the fit between what the system delivers and what the task demands (Goodhue and Thompson 1995). For promotion planning the task demands a plausible share of customers who do not buy, a plausible weight of heavy buyers, and a plausible absolute size of an effect. The elicitation design, meaning how the model is asked, how its answers become numbers, and where the variation among customers comes from, is therefore the artifact’s central design variable. We ask which designs preserve what the decision needs, why, and what organizations must do to know.</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plausible output invites reliance beyond what a system warrants (Lee and See 2004). The limits of AI-based decision support are therefore not a technical footnote but a question of how organizations should validate and use such outputs.</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whose rate differs across customers, so that the overdispersion of counts measures how much customers differ (Ehrenberg 1959, Schmittlein et al. 1987, Fader et al. 2005). Heterogeneity is a demanding test for a generative system for three reasons. It is invisible in the averages that users inspect. It drives the decisions that matter, those that depend on heavy buyers, on non-buyers, and on uncertainty. And it is the property that studies of silicon samples find compressed, with answers clustering on the modal response (Li et al. 2025, Tigre and Souto 2026) and instruction-tuned models unable to sample from distributions they can describe (Jang et al. 2026). Purchase counts, concentration, and promotion lifts are thus the supporting evidence in this paper, not its subject. They let us observe, against real data, whether the artifact preserves the property that the decision needs.</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To answer them we compare four elicitation designs, run with eight language models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design theory for the artifact: two propositions that state a design constraint (a deterministic persona-conditioned component transmits only the heterogeneity its persona describes) and a calibration mechanism (the variance carried by external noise must be allocated against the model’s own variation), and a third that links the constraint to customer concentration (Propositions 1 to 3). Second, we explain why this is a managerial problem and not merely a statistical one: when behavior is generated rather than estimated, the quality of the artifact is bounded by the firm’s data assets, cannot be seen from inside the system, and depends on components that the firm does not control. Third, we provide evidence across designs, models, and settings that direct and day-by-day designs collapse, that a design which takes only the level from the model and calibrates the spread externally restores concentration, and that calibrating the level adds little beyond the historical mean. Fourth, we derive five design principles and an acceptance-test protocol for synthetic-customer systems. Fifth, we identify the organizational arrangements, covering ownership of reference data, revalidation, separation of synthetic from real data, and accountability, that follow, and we show with the randomized email experiment that the overstated promotion lifts would reverse a go/no-go decision.</w:t>
      </w:r>
    </w:p>
    <w:p>
      <w:pPr>
        <w:pStyle w:val="BodyText"/>
      </w:pPr>
      <w:r>
        <w:t xml:space="preserve">The remainder of the paper is organized as follows. Section 2 reviews the literature and states the gap. Section 3 develops the design theory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theory-and-hypotheses"/>
    <w:p>
      <w:pPr>
        <w:pStyle w:val="Heading1"/>
      </w:pPr>
      <w:r>
        <w:t xml:space="preserve">3. Design Theory and Hypotheses</w:t>
      </w:r>
    </w:p>
    <w:p>
      <w:pPr>
        <w:pStyle w:val="FirstParagraph"/>
      </w:pPr>
      <w:r>
        <w:t xml:space="preserve">This section develops design theory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Together the propositions imply a separation of responsibilities between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the algebra establishes about the design space that an organization faces. First, Proposition 1 is an impossibility result for the design levers that organizations control. These levers are the prompt, the persona, the choice of model, and the decoding settings. Each of them acts on the deterministic map from persona to answer, and none of them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A team that tunes prompts to</w:t>
      </w:r>
      <w:r>
        <w:t xml:space="preserve"> </w:t>
      </w:r>
      <w:r>
        <w:t xml:space="preserve">“</w:t>
      </w:r>
      <w:r>
        <w:t xml:space="preserve">add diversity</w:t>
      </w:r>
      <w:r>
        <w:t xml:space="preserve">”</w:t>
      </w:r>
      <w:r>
        <w:t xml:space="preserve"> </w:t>
      </w:r>
      <w:r>
        <w:t xml:space="preserve">is working on the wrong lever, and this can be known before any experiment. Second, Proposition 2 turns the remedy into a rule that can be computed, audited, and handed to a governance process, which is the form in which design knowledge becomes usable in organizations (Gregor and Hevner 2013). Third, both propositions are independent of which model is used. They state what must be true of any component placed in this role, so they continue to hold when models and providers change, and that is the condition under which an organization can build a system around a component that it does not control. Fourth, they generate predictions that we test in Section 5: that direct answers collapse, that constant answers produce</w:t>
      </w:r>
      <w:r>
        <w:t xml:space="preserve"> </w:t>
      </w:r>
      <m:oMath>
        <m:sSup>
          <m:e>
            <m:r>
              <m:t>α</m:t>
            </m:r>
          </m:e>
          <m:sup>
            <m:r>
              <m:rPr>
                <m:sty m:val="p"/>
              </m:rPr>
              <m:t>*</m:t>
            </m:r>
          </m:sup>
        </m:sSup>
        <m:r>
          <m:rPr>
            <m:sty m:val="p"/>
          </m:rPr>
          <m:t>=</m:t>
        </m:r>
        <m:r>
          <m:rPr>
            <m:sty m:val="p"/>
          </m:rPr>
          <m:t>−</m:t>
        </m:r>
        <m:r>
          <m:t>1</m:t>
        </m:r>
        <m:r>
          <m:rPr>
            <m:sty m:val="p"/>
          </m:rPr>
          <m:t>/</m:t>
        </m:r>
        <m:r>
          <m:t>μ</m:t>
        </m:r>
      </m:oMath>
      <w:r>
        <w:t xml:space="preserve">, that external noise restores concentration, and that richer personas cannot supply heterogeneity that the persona data do not contain. They are therefore falsifiable design theory in the sense of design science,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(smallest 1.03), but in individual seeds its interval includes or touches one in a few cells (GPT-4o-mini with the anchor for visits, 1.01 [1.00, 1.03] in the first seed, where the model answered about 10% regardless of the email, and Sonnet 5 with the anchor for purchases, 1.09 [0.96, 1.25], 1.02 [0.91, 1.15], and 1.05 [0.91, 1.20] in the three seeds).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interval -0.001 to +0.006) is only 0.4 times the real one; this model also rates the visit lift at 0.4 times the real value and its no-email purchase probability (0.045)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p>
      <w:pPr>
        <w:pStyle w:val="FirstParagraph"/>
      </w:pPr>
      <w:r>
        <w:t xml:space="preserve">We lead with the contributions to information systems research (Section 6.1) and the design principles that follow from them (Section 6.2), then turn to the validation protocol and the decision consequences (Section 6.3), the cost of uncritical trust (Section 6.4), and the organizational arrangements that follow (Section 6.5). The marketing results of Section 5 serve as evidence for these contributions. Limitations are in Section 6.6.</w:t>
      </w:r>
    </w:p>
    <w:bookmarkStart w:id="57" w:name="X8b5d7cb2dd9a2ce0d7f424e3d7c91bdc66a3387"/>
    <w:p>
      <w:pPr>
        <w:pStyle w:val="Heading2"/>
      </w:pPr>
      <w:r>
        <w:t xml:space="preserve">6.1 Contributions to information systems research</w:t>
      </w:r>
    </w:p>
    <w:p>
      <w:pPr>
        <w:pStyle w:val="FirstParagraph"/>
      </w:pPr>
      <w:r>
        <w:rPr>
          <w:iCs/>
          <w:i/>
        </w:rPr>
        <w:t xml:space="preserve">Design theory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in which the model supplies a level and an external layer supplies the spread, restores the concentration of purchases among heavy buyers in 39 of 48 cells where direct and daily designs lose it entirely (Section 5.7). Larger and more recent models (Sonnet 5, GPT-5.6-terra, DeepSeek-V4-Pro, Gemini 3.1 Flash-Lite, Mistral Large 4) do not escape the constraint.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and in our data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demonstrated against the firm’s own data, and the means to demonstrate it, real data on the same properties, are what the system was meant to economize. This is the validation paradox. The failure is also silent, since fluent output and the right sign of a promotion effect give the user no signal, and it is exposed to change in components that the firm does not control.</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concentration among heavy buyers, and the absolute size of an effect. Evaluation should be stated in terms of the decision-relevant properties of the artifact’s output, because fluency and aggregate plausibility, which are what users see, do not indicate them.</w:t>
      </w:r>
    </w:p>
    <w:p>
      <w:pPr>
        <w:pStyle w:val="BodyText"/>
      </w:pPr>
      <w:r>
        <w:rPr>
          <w:iCs/>
          <w:i/>
        </w:rPr>
        <w:t xml:space="preserve">Supporting evidence for marketing analytics.</w:t>
      </w:r>
      <w:r>
        <w:t xml:space="preserve"> </w:t>
      </w:r>
      <w:r>
        <w:t xml:space="preserve">Two further results extend what is known about LLM-based simulation. Describing a distribution (Jang et al. 2026, Zhang et al. 2025a) helps more at a high mean than at a low mean, and in the settings where zeros are common it under-produces them, which matters because the zero share decides how many customers a campaign does not reach. And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X8611a2c0935e4d980399ee647409232e58aa6f3"/>
    <w:p>
      <w:pPr>
        <w:pStyle w:val="Heading2"/>
      </w:pPr>
      <w:r>
        <w:t xml:space="preserve">6.3 Validation protocol and decision consequences</w:t>
      </w:r>
    </w:p>
    <w:p>
      <w:pPr>
        <w:pStyle w:val="FirstParagraph"/>
      </w:pPr>
      <w:r>
        <w:t xml:space="preserve">The artifact view implies an acceptance test that a synthetic-customer system should pass before it enters a planning process. We state it in terms of the decision-relevant properties established above.</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the zero share, and the share of purchases made by the top decile of customers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0.063 predicts about</w:t>
      </w:r>
      <w:r>
        <w:t xml:space="preserve"> </w:t>
      </w:r>
      <m:oMath>
        <m:r>
          <m:rPr>
            <m:sty m:val="p"/>
          </m:rPr>
          <m:t>+</m:t>
        </m:r>
        <m:r>
          <m:t>2.1</m:t>
        </m:r>
      </m:oMath>
      <w:r>
        <w:t xml:space="preserve"> </w:t>
      </w:r>
      <w:r>
        <w:t xml:space="preserve">per customer, a profit of about 213,000. The gap between forecast and outcome is therefore about 280,000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60"/>
    <w:bookmarkStart w:id="61" w:name="X09d14e7ca6d203994f1ab3b488c22ba41949633"/>
    <w:p>
      <w:pPr>
        <w:pStyle w:val="Heading2"/>
      </w:pPr>
      <w:r>
        <w:t xml:space="preserve">6.5 Organizational accountability: validating and governing synthetic data in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has to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The evidence from eight language models, three transaction settings, and a randomized email experiment is consistent with this account. Direct and day-by-day designs collapse toward a single value and lose the concentration of purchases among heavy buyers; a design that takes the level from the model and the spread from an external calibrated source restores concentration; calibrating the level repairs the mean, but a baseline that uses the historical mean alone does about as well, so the model supplied little that the firm’s data did not; and purchase lifts are overstated in 15 of 16 configurations, enough to turn a no-go decision into a go. For organizations the implication is a short list of duties: validate against the firm’s own data before use, with an acceptance test on shape, concentration, and absolute effects; revalidate when the model, provider, or prompt changes; keep synthetic data apart from real data; keep running randomized tests as the evidence base that calibration needs; and assign accountability for the artifact before it is used, not after the first costly outcome. Future research should study these arrangements in organizations and test whether personas that carry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5"/>
    <w:bookmarkStart w:id="66"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6"/>
    <w:bookmarkStart w:id="67"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7"/>
    <w:bookmarkStart w:id="68"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2026-10-17T11:41:53Z</dcterms:created>
  <dcterms:modified xsi:type="dcterms:W3CDTF">2026-10-17T11:41:53Z</dcterms:modified>
</cp:coreProperties>
</file>

<file path=docProps/custom.xml><?xml version="1.0" encoding="utf-8"?>
<Properties xmlns="http://schemas.openxmlformats.org/officeDocument/2006/custom-properties" xmlns:vt="http://schemas.openxmlformats.org/officeDocument/2006/docPropsVTypes"/>
</file>