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276" w:lineRule="auto"/>
        <w:jc w:val="center"/>
      </w:pPr>
      <w:r>
        <w:rPr>
          <w:b/>
          <w:i w:val="0"/>
          <w:sz w:val="32"/>
        </w:rPr>
        <w:t>Safety Stock for Machine Error: Standby Labour, Screening Depth and Correlated Risk in LLM Services</w:t>
      </w:r>
    </w:p>
    <w:p>
      <w:pPr>
        <w:spacing w:after="80" w:line="276" w:lineRule="auto"/>
        <w:jc w:val="center"/>
      </w:pPr>
      <w:r>
        <w:rPr>
          <w:b w:val="0"/>
          <w:i w:val="0"/>
        </w:rPr>
        <w:t>[Author 1 full name]¹, [Author 2 full name]², …</w:t>
      </w:r>
    </w:p>
    <w:p>
      <w:pPr>
        <w:spacing w:after="200" w:line="276" w:lineRule="auto"/>
        <w:jc w:val="center"/>
      </w:pPr>
      <w:r>
        <w:rPr>
          <w:b w:val="0"/>
          <w:i w:val="0"/>
          <w:sz w:val="22"/>
        </w:rPr>
        <w:t>¹ [Department, institution, city, country]</w:t>
        <w:br/>
        <w:t>² [Department, institution, city, country]</w:t>
      </w:r>
    </w:p>
    <w:p>
      <w:pPr>
        <w:spacing w:after="200" w:line="276" w:lineRule="auto"/>
      </w:pPr>
      <w:r>
        <w:rPr>
          <w:b/>
        </w:rPr>
        <w:t xml:space="preserve">Corresponding author: </w:t>
      </w:r>
      <w:r>
        <w:rPr>
          <w:b w:val="0"/>
          <w:i w:val="0"/>
        </w:rPr>
        <w:t>[Name, postal address, e-mail, telephone]; ORCID: [for each author]</w:t>
      </w:r>
    </w:p>
    <w:p>
      <w:pPr>
        <w:spacing w:after="120" w:line="276" w:lineRule="auto"/>
      </w:pPr>
      <w:r>
        <w:rPr>
          <w:b/>
        </w:rPr>
        <w:t xml:space="preserve">Abstract. </w:t>
      </w:r>
      <w:r>
        <w:rPr>
          <w:b w:val="0"/>
          <w:i w:val="0"/>
        </w:rPr>
        <w:t>When a firm puts a large language model (LLM) into service, it takes on a new stochastic cost: the errors that people have to absorb. We study how the firm should size a standby human workforce when automated guardrail layers screen the errors first. Standby capacity is a newsvendor quantile of the daily count of human-handled incidents, and a 95% service level is optimal only when an unhandled incident costs twenty times a unit of capacity. Over-dispersion pushes the safety stock above what the dispersion index suggests, and stacking screens under independence overstates diversification when the layers fail on the same inputs. We show that the multiplicative guardrail formula is the independence case of sharp dependence bounds, that a weak correlation between high-clearance layers inflates residual risk by tens of per cent, and that under a common-difficulty model residual risk decays only polynomially in the number of layers. With integer capacity and a staffing floor, the cost-minimising depth of screening is in general not unimodal. We evaluate the model on measured outputs of three small open models passed through three guardrail layers, using simulated arrivals and public traces. A task-specific verifier cut required capacity by 78 to 96% but rejected 15 to 75% of correct answers, the share of hallucinations passing two layers was 1.2 to 3.3 times the independence prediction, rising with the clearance of the layers, and ignoring day-to-day variation raised expected cost by 9 to 65%. Because arrivals are simulated, the numbers illustrate the method.</w:t>
      </w:r>
    </w:p>
    <w:p>
      <w:pPr>
        <w:spacing w:after="200" w:line="276" w:lineRule="auto"/>
      </w:pPr>
      <w:r>
        <w:rPr>
          <w:b/>
        </w:rPr>
        <w:t xml:space="preserve">Keywords: </w:t>
      </w:r>
      <w:r>
        <w:rPr>
          <w:b w:val="0"/>
          <w:i w:val="0"/>
        </w:rPr>
        <w:t>LLM operations, hallucination, safety stock, newsvendor, factor substitution, correlated risk, over-dispersion</w:t>
      </w:r>
    </w:p>
    <w:p>
      <w:pPr>
        <w:spacing w:after="80" w:line="276" w:lineRule="auto"/>
      </w:pPr>
      <w:r>
        <w:rPr>
          <w:b/>
          <w:i w:val="0"/>
        </w:rPr>
        <w:t>Statements and Declarations</w:t>
      </w:r>
    </w:p>
    <w:p>
      <w:pPr>
        <w:spacing w:after="80" w:line="276" w:lineRule="auto"/>
      </w:pPr>
      <w:r>
        <w:rPr>
          <w:b/>
          <w:sz w:val="22"/>
        </w:rPr>
        <w:t xml:space="preserve">Funding: </w:t>
      </w:r>
      <w:r>
        <w:rPr>
          <w:b w:val="0"/>
          <w:i w:val="0"/>
          <w:sz w:val="22"/>
        </w:rPr>
        <w:t>[State funding sources, or "The authors received no financial support for this research."]</w:t>
      </w:r>
    </w:p>
    <w:p>
      <w:pPr>
        <w:spacing w:after="80" w:line="276" w:lineRule="auto"/>
      </w:pPr>
      <w:r>
        <w:rPr>
          <w:b/>
          <w:sz w:val="22"/>
        </w:rPr>
        <w:t xml:space="preserve">Competing interests: </w:t>
      </w:r>
      <w:r>
        <w:rPr>
          <w:b w:val="0"/>
          <w:i w:val="0"/>
          <w:sz w:val="22"/>
        </w:rPr>
        <w:t>[State any, or "The authors have no relevant financial or non-financial interests to disclose."]</w:t>
      </w:r>
    </w:p>
    <w:p>
      <w:pPr>
        <w:spacing w:after="80" w:line="276" w:lineRule="auto"/>
      </w:pPr>
      <w:r>
        <w:rPr>
          <w:b/>
          <w:sz w:val="22"/>
        </w:rPr>
        <w:t xml:space="preserve">Author contributions: </w:t>
      </w:r>
      <w:r>
        <w:rPr>
          <w:b w:val="0"/>
          <w:i w:val="0"/>
          <w:sz w:val="22"/>
        </w:rPr>
        <w:t>[Contribution of each author, e.g. using the CRediT taxonomy]</w:t>
      </w:r>
    </w:p>
    <w:p>
      <w:pPr>
        <w:spacing w:after="80" w:line="276" w:lineRule="auto"/>
      </w:pPr>
      <w:r>
        <w:rPr>
          <w:b/>
          <w:sz w:val="22"/>
        </w:rPr>
        <w:t xml:space="preserve">Ethics approval: </w:t>
      </w:r>
      <w:r>
        <w:rPr>
          <w:b w:val="0"/>
          <w:i w:val="0"/>
          <w:sz w:val="22"/>
        </w:rPr>
        <w:t>Not applicable. The study uses no human participants and only public data.</w:t>
      </w:r>
    </w:p>
    <w:p>
      <w:pPr>
        <w:spacing w:after="80" w:line="276" w:lineRule="auto"/>
      </w:pPr>
      <w:r>
        <w:rPr>
          <w:b/>
          <w:sz w:val="22"/>
        </w:rPr>
        <w:t xml:space="preserve">Data availability: </w:t>
      </w:r>
      <w:r>
        <w:rPr>
          <w:b w:val="0"/>
          <w:i w:val="0"/>
          <w:sz w:val="22"/>
        </w:rPr>
        <w:t>The public datasets analysed (BurstGPT, the LLM outage and incident dataset, three ticket logs, the WildChat-1M corpus and the AI Hallucination Cases database) are available from their original sources under the licences stated in the manuscript. Per-question model outputs, guardrail decisions and analysis outputs are in the replication package submitted as Supplementary Material [and at repository URL, if public].</w:t>
      </w:r>
    </w:p>
    <w:p>
      <w:pPr>
        <w:spacing w:after="80" w:line="276" w:lineRule="auto"/>
      </w:pPr>
      <w:r>
        <w:rPr>
          <w:b/>
          <w:sz w:val="22"/>
        </w:rPr>
        <w:t xml:space="preserve">Code availability: </w:t>
      </w:r>
      <w:r>
        <w:rPr>
          <w:b w:val="0"/>
          <w:i w:val="0"/>
          <w:sz w:val="22"/>
        </w:rPr>
        <w:t>All code of the replication study is in the replication package (replication_package.zip) [and at repository URL].</w:t>
      </w:r>
    </w:p>
    <w:p>
      <w:pPr>
        <w:spacing w:after="80" w:line="276" w:lineRule="auto"/>
      </w:pPr>
      <w:r>
        <w:rPr>
          <w:b/>
          <w:sz w:val="22"/>
        </w:rPr>
        <w:t xml:space="preserve">Use of AI tools: </w:t>
      </w:r>
      <w:r>
        <w:rPr>
          <w:b w:val="0"/>
          <w:i w:val="0"/>
          <w:sz w:val="22"/>
        </w:rPr>
        <w:t>[To be completed by the authors and checked against the journal's policy on AI-assisted writing and coding. State which tools were used, for what (for example drafting text, writing analysis code, running experiments), and that the authors reviewed the content and take responsibility for it.]</w:t>
      </w:r>
    </w:p>
    <w:p>
      <w:pPr>
        <w:spacing w:after="80" w:line="276" w:lineRule="auto"/>
      </w:pPr>
      <w:r>
        <w:rPr>
          <w:b/>
          <w:sz w:val="22"/>
        </w:rPr>
        <w:t xml:space="preserve">Prior submission and preprints: </w:t>
      </w:r>
      <w:r>
        <w:rPr>
          <w:b w:val="0"/>
          <w:i w:val="0"/>
          <w:sz w:val="22"/>
        </w:rPr>
        <w:t>[State whether this manuscript or an earlier version has been submitted elsewhere or posted as a preprint, and its status.]</w:t>
      </w:r>
    </w:p>
    <w:p>
      <w:pPr>
        <w:spacing w:after="80" w:line="276" w:lineRule="auto"/>
      </w:pPr>
      <w:r>
        <w:rPr>
          <w:b w:val="0"/>
          <w:i w:val="0"/>
        </w:rPr>
      </w:r>
    </w:p>
    <w:p>
      <w:pPr>
        <w:spacing w:after="120" w:line="276" w:lineRule="auto"/>
      </w:pPr>
      <w:r>
        <w:rPr>
          <w:b w:val="0"/>
          <w:i/>
          <w:sz w:val="21"/>
        </w:rPr>
        <w:t>About 14,000 words (abstract to conclusion, excluding tables, references and appendices); 12 tables and 2 figures in the text, 1 table in Appendix C. Supplementary Material: replication_package.zip.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