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Deference or Noise? A Baseline-Corrected Protocol for Auditing Stance Sensitivity in LLM Reviewers</w:t>
      </w:r>
    </w:p>
    <w:p>
      <w:pPr>
        <w:spacing w:after="80"/>
        <w:jc w:val="center"/>
      </w:pPr>
      <w:r>
        <w:rPr>
          <w:b w:val="0"/>
          <w:sz w:val="26"/>
        </w:rPr>
        <w:t>Ook Lee</w:t>
      </w:r>
    </w:p>
    <w:p>
      <w:pPr>
        <w:spacing w:after="80"/>
        <w:jc w:val="center"/>
      </w:pPr>
      <w:r>
        <w:rPr>
          <w:b w:val="0"/>
          <w:sz w:val="22"/>
        </w:rPr>
        <w:t>Department of Information System, Hanyang University, Seoul, Korea</w:t>
      </w:r>
    </w:p>
    <w:p>
      <w:pPr>
        <w:spacing w:after="280"/>
        <w:jc w:val="center"/>
      </w:pPr>
      <w:r>
        <w:rPr>
          <w:b w:val="0"/>
          <w:sz w:val="22"/>
        </w:rPr>
        <w:t>E-mail: ooklee@hanyang.ac.kr</w:t>
      </w:r>
    </w:p>
    <w:tbl>
      <w:tblPr>
        <w:tblW w:type="auto" w:w="0"/>
        <w:tblLayout w:type="fixed"/>
        <w:tblLook w:firstColumn="1" w:firstRow="1" w:lastColumn="0" w:lastRow="0" w:noHBand="0" w:noVBand="1" w:val="04A0"/>
      </w:tblPr>
      <w:tblGrid>
        <w:gridCol w:w="4680"/>
        <w:gridCol w:w="4680"/>
      </w:tblGrid>
      <w:tr>
        <w:tc>
          <w:tcPr>
            <w:tcW w:type="dxa" w:w="2592"/>
          </w:tcPr>
          <w:p>
            <w:pPr>
              <w:spacing w:after="120"/>
            </w:pPr>
            <w:r>
              <w:rPr>
                <w:b/>
              </w:rPr>
              <w:t>Corresponding author</w:t>
            </w:r>
          </w:p>
        </w:tc>
        <w:tc>
          <w:tcPr>
            <w:tcW w:type="dxa" w:w="6768"/>
          </w:tcPr>
          <w:p>
            <w:pPr>
              <w:spacing w:after="120"/>
            </w:pPr>
            <w:r>
              <w:t>Ook Lee, ooklee@hanyang.ac.kr</w:t>
            </w:r>
          </w:p>
        </w:tc>
      </w:tr>
      <w:tr>
        <w:tc>
          <w:tcPr>
            <w:tcW w:type="dxa" w:w="2592"/>
          </w:tcPr>
          <w:p>
            <w:pPr>
              <w:spacing w:after="120"/>
            </w:pPr>
            <w:r>
              <w:rPr>
                <w:b/>
              </w:rPr>
              <w:t>Journal</w:t>
            </w:r>
          </w:p>
        </w:tc>
        <w:tc>
          <w:tcPr>
            <w:tcW w:type="dxa" w:w="6768"/>
          </w:tcPr>
          <w:p>
            <w:pPr>
              <w:spacing w:after="120"/>
            </w:pPr>
            <w:r>
              <w:t>IEEE Transactions on Artificial Intelligence</w:t>
            </w:r>
          </w:p>
        </w:tc>
      </w:tr>
      <w:tr>
        <w:tc>
          <w:tcPr>
            <w:tcW w:type="dxa" w:w="2592"/>
          </w:tcPr>
          <w:p>
            <w:pPr>
              <w:spacing w:after="120"/>
            </w:pPr>
            <w:r>
              <w:rPr>
                <w:b/>
              </w:rPr>
              <w:t>Manuscript type</w:t>
            </w:r>
          </w:p>
        </w:tc>
        <w:tc>
          <w:tcPr>
            <w:tcW w:type="dxa" w:w="6768"/>
          </w:tcPr>
          <w:p>
            <w:pPr>
              <w:spacing w:after="120"/>
            </w:pPr>
            <w:r>
              <w:t>Original Research Regular Manuscript</w:t>
            </w:r>
          </w:p>
        </w:tc>
      </w:tr>
      <w:tr>
        <w:tc>
          <w:tcPr>
            <w:tcW w:type="dxa" w:w="2592"/>
          </w:tcPr>
          <w:p>
            <w:pPr>
              <w:spacing w:after="120"/>
            </w:pPr>
            <w:r>
              <w:rPr>
                <w:b/>
              </w:rPr>
              <w:t>Running head</w:t>
            </w:r>
          </w:p>
        </w:tc>
        <w:tc>
          <w:tcPr>
            <w:tcW w:type="dxa" w:w="6768"/>
          </w:tcPr>
          <w:p>
            <w:pPr>
              <w:spacing w:after="120"/>
            </w:pPr>
            <w:r>
              <w:t>Deference or Noise?</w:t>
            </w:r>
          </w:p>
        </w:tc>
      </w:tr>
      <w:tr>
        <w:tc>
          <w:tcPr>
            <w:tcW w:type="dxa" w:w="2592"/>
          </w:tcPr>
          <w:p>
            <w:pPr>
              <w:spacing w:after="120"/>
            </w:pPr>
            <w:r>
              <w:rPr>
                <w:b/>
              </w:rPr>
              <w:t>Length</w:t>
            </w:r>
          </w:p>
        </w:tc>
        <w:tc>
          <w:tcPr>
            <w:tcW w:type="dxa" w:w="6768"/>
          </w:tcPr>
          <w:p>
            <w:pPr>
              <w:spacing w:after="120"/>
            </w:pPr>
            <w:r>
              <w:t>7 pages in IEEE two-column format (limit for a regular manuscript: 10); supplementary material of 10 pages and two archives (code and item bank; raw model outputs).</w:t>
            </w:r>
          </w:p>
        </w:tc>
      </w:tr>
      <w:tr>
        <w:tc>
          <w:tcPr>
            <w:tcW w:type="dxa" w:w="2592"/>
          </w:tcPr>
          <w:p>
            <w:pPr>
              <w:spacing w:after="120"/>
            </w:pPr>
            <w:r>
              <w:rPr>
                <w:b/>
              </w:rPr>
              <w:t>Index terms</w:t>
            </w:r>
          </w:p>
        </w:tc>
        <w:tc>
          <w:tcPr>
            <w:tcW w:type="dxa" w:w="6768"/>
          </w:tcPr>
          <w:p>
            <w:pPr>
              <w:spacing w:after="120"/>
            </w:pPr>
            <w:r>
              <w:t>Large language models, sycophancy, evaluation methodology, reliability, AI-assisted decision making, benchmark.</w:t>
            </w:r>
          </w:p>
        </w:tc>
      </w:tr>
      <w:tr>
        <w:tc>
          <w:tcPr>
            <w:tcW w:type="dxa" w:w="2592"/>
          </w:tcPr>
          <w:p>
            <w:pPr>
              <w:spacing w:after="120"/>
            </w:pPr>
            <w:r>
              <w:rPr>
                <w:b/>
              </w:rPr>
              <w:t>Originality</w:t>
            </w:r>
          </w:p>
        </w:tc>
        <w:tc>
          <w:tcPr>
            <w:tcW w:type="dxa" w:w="6768"/>
          </w:tcPr>
          <w:p>
            <w:pPr>
              <w:spacing w:after="120"/>
            </w:pPr>
            <w:r>
              <w:t>The manuscript is original and is not under consideration elsewhere.</w:t>
            </w:r>
          </w:p>
        </w:tc>
      </w:tr>
      <w:tr>
        <w:tc>
          <w:tcPr>
            <w:tcW w:type="dxa" w:w="2592"/>
          </w:tcPr>
          <w:p>
            <w:pPr>
              <w:spacing w:after="120"/>
            </w:pPr>
            <w:r>
              <w:rPr>
                <w:b/>
              </w:rPr>
              <w:t>Use of AI</w:t>
            </w:r>
          </w:p>
        </w:tc>
        <w:tc>
          <w:tcPr>
            <w:tcW w:type="dxa" w:w="6768"/>
          </w:tcPr>
          <w:p>
            <w:pPr>
              <w:spacing w:after="120"/>
            </w:pPr>
            <w:r>
              <w:t>AI-generated text was used in drafting and editing the manuscript, and an AI coding assistant was used to develop the analysis code. This is disclosed in the Acknowledgments section of the manuscript, which cites the system used, as required by IEEE policy.</w:t>
            </w:r>
          </w:p>
        </w:tc>
      </w:tr>
      <w:tr>
        <w:tc>
          <w:tcPr>
            <w:tcW w:type="dxa" w:w="2592"/>
          </w:tcPr>
          <w:p>
            <w:pPr>
              <w:spacing w:after="120"/>
            </w:pPr>
            <w:r>
              <w:rPr>
                <w:b/>
              </w:rPr>
              <w:t>Human participants</w:t>
            </w:r>
          </w:p>
        </w:tc>
        <w:tc>
          <w:tcPr>
            <w:tcW w:type="dxa" w:w="6768"/>
          </w:tcPr>
          <w:p>
            <w:pPr>
              <w:spacing w:after="120"/>
            </w:pPr>
            <w:r>
              <w:t>No personal data were collected. Two reviewers independently answered 100 synthetic decision items to check the answer keys (Section IV-A of the manuscript).</w:t>
            </w:r>
          </w:p>
        </w:tc>
      </w:tr>
      <w:tr>
        <w:tc>
          <w:tcPr>
            <w:tcW w:type="dxa" w:w="2592"/>
          </w:tcPr>
          <w:p>
            <w:pPr>
              <w:spacing w:after="120"/>
            </w:pPr>
            <w:r>
              <w:rPr>
                <w:b/>
              </w:rPr>
              <w:t>Funding</w:t>
            </w:r>
          </w:p>
        </w:tc>
        <w:tc>
          <w:tcPr>
            <w:tcW w:type="dxa" w:w="6768"/>
          </w:tcPr>
          <w:p>
            <w:pPr>
              <w:spacing w:after="120"/>
            </w:pPr>
            <w:r>
              <w:t>None.</w:t>
            </w:r>
          </w:p>
        </w:tc>
      </w:tr>
      <w:tr>
        <w:tc>
          <w:tcPr>
            <w:tcW w:type="dxa" w:w="2592"/>
          </w:tcPr>
          <w:p>
            <w:pPr>
              <w:spacing w:after="120"/>
            </w:pPr>
            <w:r>
              <w:rPr>
                <w:b/>
              </w:rPr>
              <w:t>Conflicts of interest</w:t>
            </w:r>
          </w:p>
        </w:tc>
        <w:tc>
          <w:tcPr>
            <w:tcW w:type="dxa" w:w="6768"/>
          </w:tcPr>
          <w:p>
            <w:pPr>
              <w:spacing w:after="120"/>
            </w:pPr>
            <w:r>
              <w:t>None declared.</w:t>
            </w:r>
          </w:p>
        </w:tc>
      </w:tr>
      <w:tr>
        <w:tc>
          <w:tcPr>
            <w:tcW w:type="dxa" w:w="2592"/>
          </w:tcPr>
          <w:p>
            <w:pPr>
              <w:spacing w:after="120"/>
            </w:pPr>
            <w:r>
              <w:rPr>
                <w:b/>
              </w:rPr>
              <w:t>Data and code</w:t>
            </w:r>
          </w:p>
        </w:tc>
        <w:tc>
          <w:tcPr>
            <w:tcW w:type="dxa" w:w="6768"/>
          </w:tcPr>
          <w:p>
            <w:pPr>
              <w:spacing w:after="120"/>
            </w:pPr>
            <w:r>
              <w:t>The item bank, generator, audit program, runner, analysis code and raw model outputs are provided as anonymized supplementary archives (S1, S2).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