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When Can Platforms Trust Synthetic Agents? Validity Regions and Decision Rules for LLM Digital Twins in Experimentation Pipelines</w:t>
      </w:r>
    </w:p>
    <w:p>
      <w:pPr>
        <w:spacing w:after="120"/>
        <w:jc w:val="center"/>
      </w:pPr>
      <w:r>
        <w:rPr>
          <w:rFonts w:ascii="Times New Roman" w:cs="Times New Roman" w:eastAsia="Times New Roman" w:hAnsi="Times New Roman"/>
          <w:b/>
          <w:bCs/>
          <w:sz w:val="24"/>
          <w:szCs w:val="24"/>
        </w:rPr>
        <w:t xml:space="preserve">Abstract</w:t>
      </w:r>
    </w:p>
    <w:p>
      <w:pPr>
        <w:spacing w:line="480"/>
      </w:pPr>
      <w:r>
        <w:rPr>
          <w:rFonts w:ascii="Times New Roman" w:cs="Times New Roman" w:eastAsia="Times New Roman" w:hAnsi="Times New Roman"/>
          <w:sz w:val="24"/>
          <w:szCs w:val="24"/>
        </w:rPr>
        <w:t xml:space="preserve">Platforms increasingly consider LLM-based synthetic agents to pre-screen experiments, yet when such agents can be trusted is unknown. We propose a validity-region account: a synthetic agent is informative about a treatment effect only if the effect operates through textual cues, does not depend on effort costs, lies outside memorized paradigms, and the agent’s reasoning regime matches the human one. We test pre-registered propositions with new simulated respondents, a reasoning-by-temperature grid, and 999 public headline A/B tests, and examine stability across 13 model versions and two prompt templates. Default effects reverse with paradigm familiarity in all five model families; naming the theory inflates canonical effects; reasoning reduces factual errors but raises bias; click prediction beats chance by nine points only without personas. Errors are specific to model versions. We derive a validation protocol for synthetic evidence.</w:t>
      </w:r>
    </w:p>
    <w:p>
      <w:pPr>
        <w:spacing w:before="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synthetic agents; digital twins; large language models; experimentation platforms; validity; behavioral economics; A/B testing; design science</w:t>
      </w:r>
    </w:p>
    <w:p>
      <w:r>
        <w:br w:type="page"/>
      </w:r>
    </w:p>
    <w:p>
      <w:pPr>
        <w:pStyle w:val="Heading1"/>
        <w:keepNext/>
        <w:spacing w:after="0" w:before="240" w:line="480"/>
      </w:pPr>
      <w:r>
        <w:rPr>
          <w:rFonts w:ascii="Times New Roman" w:cs="Times New Roman" w:eastAsia="Times New Roman" w:hAnsi="Times New Roman"/>
          <w:b/>
          <w:bCs/>
          <w:sz w:val="24"/>
          <w:szCs w:val="24"/>
        </w:rPr>
        <w:t xml:space="preserve">1. Introduction</w:t>
      </w:r>
    </w:p>
    <w:p>
      <w:pPr>
        <w:spacing w:line="480"/>
        <w:ind w:firstLine="720"/>
      </w:pPr>
      <w:r>
        <w:rPr>
          <w:rFonts w:ascii="Times New Roman" w:cs="Times New Roman" w:eastAsia="Times New Roman" w:hAnsi="Times New Roman"/>
          <w:sz w:val="24"/>
          <w:szCs w:val="24"/>
        </w:rPr>
        <w:t xml:space="preserve">Digital platforms run experiments continuously: they test defaults in enrollment flows, price presentations, recommendation layouts, and headlines. Each experiment costs traffic, time, and sometimes user trust, and many candidate designs never reach a test. Large language models (LLMs) offer a tempting shortcut. A “digital twin” conditions a model on a person’s profile or past answers and asks how that person would respond (Horton et al. 2023, Argyle et al. 2023, Toubia et al. 2025). If twins behaved like users, a platform could screen thousands of designs before spending human traffic, and IS researchers could run pilot studies at near-zero marginal cost.</w:t>
      </w:r>
    </w:p>
    <w:p>
      <w:pPr>
        <w:spacing w:line="480"/>
        <w:ind w:firstLine="720"/>
      </w:pPr>
      <w:r>
        <w:rPr>
          <w:rFonts w:ascii="Times New Roman" w:cs="Times New Roman" w:eastAsia="Times New Roman" w:hAnsi="Times New Roman"/>
          <w:sz w:val="24"/>
          <w:szCs w:val="24"/>
        </w:rPr>
        <w:t xml:space="preserve">Whether platforms should rely on such evidence is an open question with practical stakes. A pipeline that trusts synthetic agents where they fail will promote the wrong designs, and one that distrusts them everywhere forgoes a cheap screening tool. Existing evaluations do not settle the matter because they ask whether twins reproduce effects on average (Aher et al. 2023, Binz et al. 2025, Peng et al. 2026). The pipeline question is different. A designer must know, for a specific kind of effect and a specific model configuration, whether the twin’s output is informative about direction, informative about magnitude, or not informative at all, and must know how long that answer remains valid when the model changes.</w:t>
      </w:r>
    </w:p>
    <w:p>
      <w:pPr>
        <w:spacing w:line="480"/>
        <w:ind w:firstLine="720"/>
      </w:pPr>
      <w:r>
        <w:rPr>
          <w:rFonts w:ascii="Times New Roman" w:cs="Times New Roman" w:eastAsia="Times New Roman" w:hAnsi="Times New Roman"/>
          <w:sz w:val="24"/>
          <w:szCs w:val="24"/>
        </w:rPr>
        <w:t xml:space="preserve">This paper asks when a synthetic agent can be trusted in an experimentation pipeline, and answers with a validity-region account and a protocol for using it. We argue that a twin is informative about a treatment effect only inside a region defined by four conditions: the treatment operates through information carried by the text of the stimulus (V1), the effect is not mediated by effort or transaction costs that a text-only agent does not bear (V2), the paradigm is not memorized (V3), and the agent’s reasoning regime matches the human decision regime (V4). We derive seven propositions from the account and test them in a design that separates exploration from confirmation. Exploratory simulations generated the propositions. New simulated respondents, a new prompt template, a reasoning-effort by temperature grid, and 999 public headline A/B tests then tested them under pre-registrations that fixed predictions and decision rules before the data were generated. A further exploratory study varies the prompt template and the model generation within five model families.</w:t>
      </w:r>
    </w:p>
    <w:p>
      <w:pPr>
        <w:spacing w:line="480"/>
        <w:ind w:firstLine="720"/>
      </w:pPr>
      <w:r>
        <w:rPr>
          <w:rFonts w:ascii="Times New Roman" w:cs="Times New Roman" w:eastAsia="Times New Roman" w:hAnsi="Times New Roman"/>
          <w:sz w:val="24"/>
          <w:szCs w:val="24"/>
        </w:rPr>
        <w:t xml:space="preserve">The results support the account in part and reject it in part, and both are informative. Default effects reverse with paradigm familiarity in all five model families: twins overstate the canonical organ-donation default and understate a novel green-energy default that humans respond to strongly. Naming the phenomenon in the prompt inflates canonical effects. More reasoning reduces factual errors but increases cue-based bias, and the two do not move together. On field data, twin predictions of headline winners beat chance by about nine percentage points only when no persona is supplied, and they compress rather than inflate true effects. Across 13 model versions, prompt wording matters little, whereas each model has its own profile of errors and that profile changes between generations.</w:t>
      </w:r>
    </w:p>
    <w:p>
      <w:pPr>
        <w:spacing w:line="480"/>
        <w:ind w:firstLine="720"/>
      </w:pPr>
      <w:r>
        <w:rPr>
          <w:rFonts w:ascii="Times New Roman" w:cs="Times New Roman" w:eastAsia="Times New Roman" w:hAnsi="Times New Roman"/>
          <w:sz w:val="24"/>
          <w:szCs w:val="24"/>
        </w:rPr>
        <w:t xml:space="preserve">The paper makes three contributions. First, it supplies a theory of validity regions for synthetic agents that is falsifiable, and it reports which parts survive confirmation, which is rare in a literature dominated by positive demonstrations. Second, it provides an empirical validity map across effect types, persona architectures, prompt templates, and model generations. Third, it translates the map into design knowledge: a validation protocol that tells platform teams what evidence they need before using synthetic agents, what the agents can and cannot do, and what to document so that synthetic evidence can be audited. These contributions speak to the design of experimentation infrastructure, to the methodology of IS research that uses synthetic participants, and to governance of AI-mediated choice architectures.</w:t>
      </w:r>
    </w:p>
    <w:p>
      <w:pPr>
        <w:spacing w:line="480"/>
        <w:ind w:firstLine="720"/>
      </w:pPr>
      <w:r>
        <w:rPr>
          <w:rFonts w:ascii="Times New Roman" w:cs="Times New Roman" w:eastAsia="Times New Roman" w:hAnsi="Times New Roman"/>
          <w:sz w:val="24"/>
          <w:szCs w:val="24"/>
        </w:rPr>
        <w:t xml:space="preserve">Section 2 develops the account and the propositions. Section 3 describes the studies and the pre-registration structure. Section 4 reports results. Section 5 derives the decision protocol. Section 6 discusses implications and limitations.</w:t>
      </w:r>
    </w:p>
    <w:p>
      <w:pPr>
        <w:pStyle w:val="Heading1"/>
        <w:keepNext/>
        <w:spacing w:after="0" w:before="240" w:line="480"/>
      </w:pPr>
      <w:r>
        <w:rPr>
          <w:rFonts w:ascii="Times New Roman" w:cs="Times New Roman" w:eastAsia="Times New Roman" w:hAnsi="Times New Roman"/>
          <w:b/>
          <w:bCs/>
          <w:sz w:val="24"/>
          <w:szCs w:val="24"/>
        </w:rPr>
        <w:t xml:space="preserve">2. Theory and Propositions</w:t>
      </w:r>
    </w:p>
    <w:p>
      <w:pPr>
        <w:pStyle w:val="Heading2"/>
        <w:keepNext/>
        <w:spacing w:after="0" w:before="120" w:line="480"/>
      </w:pPr>
      <w:r>
        <w:rPr>
          <w:rFonts w:ascii="Times New Roman" w:cs="Times New Roman" w:eastAsia="Times New Roman" w:hAnsi="Times New Roman"/>
          <w:b/>
          <w:bCs/>
          <w:i/>
          <w:iCs/>
          <w:sz w:val="24"/>
          <w:szCs w:val="24"/>
        </w:rPr>
        <w:t xml:space="preserve">2.1 Synthetic agents in experimentation pipelines</w:t>
      </w:r>
    </w:p>
    <w:p>
      <w:pPr>
        <w:spacing w:line="480"/>
        <w:ind w:firstLine="720"/>
      </w:pPr>
      <w:r>
        <w:rPr>
          <w:rFonts w:ascii="Times New Roman" w:cs="Times New Roman" w:eastAsia="Times New Roman" w:hAnsi="Times New Roman"/>
          <w:sz w:val="24"/>
          <w:szCs w:val="24"/>
        </w:rPr>
        <w:t xml:space="preserve">Platform experimentation is an evaluation infrastructure: a sociotechnical system that produces evidence about design alternatives (Hevner et al. 2004, Gregor 2006). Introducing synthetic agents adds a new instrument whose measurement properties are unknown. A good instrument has known validity conditions, known failure modes, and known stability over time. We therefore treat a twin as a measurement instrument and ask under which conditions its readings can be trusted. This framing differs from the common question of whether LLMs “think like humans,” which is not needed for the pipeline decision and cannot be settled by behavioral output alone.</w:t>
      </w:r>
    </w:p>
    <w:p>
      <w:pPr>
        <w:spacing w:line="480"/>
        <w:ind w:firstLine="720"/>
      </w:pPr>
      <w:r>
        <w:rPr>
          <w:rFonts w:ascii="Times New Roman" w:cs="Times New Roman" w:eastAsia="Times New Roman" w:hAnsi="Times New Roman"/>
          <w:sz w:val="24"/>
          <w:szCs w:val="24"/>
        </w:rPr>
        <w:t xml:space="preserve">Prior work establishes that LLMs can reproduce the direction of many classic effects (Horton et al. 2023, Aher et al. 2023), that fine-tuning on behavioral corpora improves prediction (Binz et al. 2025), and that individual-level twin predictions are weak and twins act as hyper-rational agents (Peng et al. 2026). Recent work argues that simulations should be validated against held-out human data because memorization and bias threaten validity (Hullman et al. 2026), and that behavioral fidelity does not by itself imply that twins can reduce the need for human measurement (Wang et al. 2026). Independent reports on the Upworthy archive find weak accuracy for LLM click prediction and that persona conditioning does not help (Persson et al. 2026, Maiorano 2026; see Section 4.4). Our account is complementary: it specifies conditions on the effect and the agent that predict where validity should hold, and it tests those predictions.</w:t>
      </w:r>
    </w:p>
    <w:p>
      <w:pPr>
        <w:pStyle w:val="Heading2"/>
        <w:keepNext/>
        <w:spacing w:after="0" w:before="120" w:line="480"/>
      </w:pPr>
      <w:r>
        <w:rPr>
          <w:rFonts w:ascii="Times New Roman" w:cs="Times New Roman" w:eastAsia="Times New Roman" w:hAnsi="Times New Roman"/>
          <w:b/>
          <w:bCs/>
          <w:i/>
          <w:iCs/>
          <w:sz w:val="24"/>
          <w:szCs w:val="24"/>
        </w:rPr>
        <w:t xml:space="preserve">2.2 Why LLM responses may or may not reproduce human effects</w:t>
      </w:r>
    </w:p>
    <w:p>
      <w:pPr>
        <w:spacing w:line="480"/>
        <w:ind w:firstLine="720"/>
      </w:pPr>
      <w:r>
        <w:rPr>
          <w:rFonts w:ascii="Times New Roman" w:cs="Times New Roman" w:eastAsia="Times New Roman" w:hAnsi="Times New Roman"/>
          <w:sz w:val="24"/>
          <w:szCs w:val="24"/>
        </w:rPr>
        <w:t xml:space="preserve">An LLM’s answer to a decision scenario is generated from three sources: retrieved regularities about how people respond in text, normative reasoning, and conditioning on the supplied persona. Human biases arise from additional processes that a text-only agent does not bear. Defaults work in part because acting costs effort and attention (Jachimowicz et al. 2019, Lieder and Griffiths 2020). Framing and anchoring work through cues in the wording and numbers of the stimulus (Tversky and Kahneman 1974, Kahneman and Tversky 1979). The attraction effect works through the structure of the option set (Huber et al. 1982). Fairness judgments reflect social preferences (Güth et al. 1982). Because training corpora contain many descriptions of the canonical experiments (Carlini et al. 2021, 2023), a model may reproduce a canonical effect by recall instead of by generalizing the mechanism. Reasoning budgets introduce a further regime: extended deliberation may increase normative responding, or it may elaborate cues in the stimulus and amplify cue-driven effects.</w:t>
      </w:r>
    </w:p>
    <w:p>
      <w:pPr>
        <w:pStyle w:val="Heading2"/>
        <w:keepNext/>
        <w:spacing w:after="0" w:before="120" w:line="480"/>
      </w:pPr>
      <w:r>
        <w:rPr>
          <w:rFonts w:ascii="Times New Roman" w:cs="Times New Roman" w:eastAsia="Times New Roman" w:hAnsi="Times New Roman"/>
          <w:b/>
          <w:bCs/>
          <w:i/>
          <w:iCs/>
          <w:sz w:val="24"/>
          <w:szCs w:val="24"/>
        </w:rPr>
        <w:t xml:space="preserve">2.3 The validity-region account</w:t>
      </w:r>
    </w:p>
    <w:p>
      <w:pPr>
        <w:spacing w:line="480"/>
        <w:ind w:firstLine="720"/>
      </w:pPr>
      <w:r>
        <w:rPr>
          <w:rFonts w:ascii="Times New Roman" w:cs="Times New Roman" w:eastAsia="Times New Roman" w:hAnsi="Times New Roman"/>
          <w:sz w:val="24"/>
          <w:szCs w:val="24"/>
        </w:rPr>
        <w:t xml:space="preserve">We define a twin as valid for a treatment effect, in the sense relevant to a pipeline, when its estimate of the effect falls inside the sampling uncertainty of the human effect (magnitude-valid) or has the same sign with confidence that excludes zero (direction-valid). The account says that validity is jointly governed by four conditions on the effect and the agent.</w:t>
      </w:r>
    </w:p>
    <w:p>
      <w:pPr>
        <w:spacing w:line="480"/>
        <w:ind w:firstLine="720"/>
      </w:pPr>
      <w:r>
        <w:rPr>
          <w:rFonts w:ascii="Times New Roman" w:cs="Times New Roman" w:eastAsia="Times New Roman" w:hAnsi="Times New Roman"/>
          <w:b/>
          <w:bCs/>
          <w:sz w:val="24"/>
          <w:szCs w:val="24"/>
        </w:rPr>
        <w:t xml:space="preserve">V1, textual channel.</w:t>
      </w:r>
      <w:r>
        <w:rPr>
          <w:rFonts w:ascii="Times New Roman" w:cs="Times New Roman" w:eastAsia="Times New Roman" w:hAnsi="Times New Roman"/>
          <w:sz w:val="24"/>
          <w:szCs w:val="24"/>
        </w:rPr>
        <w:t xml:space="preserve"> The treatment acts through information carried in the text of the stimulus: words, numbers, and option structure. Effects with this property are cue-based (loss framing, anchoring, attraction). </w:t>
      </w:r>
      <w:r>
        <w:rPr>
          <w:rFonts w:ascii="Times New Roman" w:cs="Times New Roman" w:eastAsia="Times New Roman" w:hAnsi="Times New Roman"/>
          <w:b/>
          <w:bCs/>
          <w:sz w:val="24"/>
          <w:szCs w:val="24"/>
        </w:rPr>
        <w:t xml:space="preserve">V2, cost insensitivity.</w:t>
      </w:r>
      <w:r>
        <w:rPr>
          <w:rFonts w:ascii="Times New Roman" w:cs="Times New Roman" w:eastAsia="Times New Roman" w:hAnsi="Times New Roman"/>
          <w:sz w:val="24"/>
          <w:szCs w:val="24"/>
        </w:rPr>
        <w:t xml:space="preserve"> The effect is not mediated by effort, attention, or transaction costs borne by the decision maker. Defaults violate V2 because inertia is costly for humans and free for a text-only agent. </w:t>
      </w:r>
      <w:r>
        <w:rPr>
          <w:rFonts w:ascii="Times New Roman" w:cs="Times New Roman" w:eastAsia="Times New Roman" w:hAnsi="Times New Roman"/>
          <w:b/>
          <w:bCs/>
          <w:sz w:val="24"/>
          <w:szCs w:val="24"/>
        </w:rPr>
        <w:t xml:space="preserve">V3, novelty.</w:t>
      </w:r>
      <w:r>
        <w:rPr>
          <w:rFonts w:ascii="Times New Roman" w:cs="Times New Roman" w:eastAsia="Times New Roman" w:hAnsi="Times New Roman"/>
          <w:sz w:val="24"/>
          <w:szCs w:val="24"/>
        </w:rPr>
        <w:t xml:space="preserve"> The paradigm is not available in training text, so recovery reflects generalization instead of recall. </w:t>
      </w:r>
      <w:r>
        <w:rPr>
          <w:rFonts w:ascii="Times New Roman" w:cs="Times New Roman" w:eastAsia="Times New Roman" w:hAnsi="Times New Roman"/>
          <w:b/>
          <w:bCs/>
          <w:sz w:val="24"/>
          <w:szCs w:val="24"/>
        </w:rPr>
        <w:t xml:space="preserve">V4, regime match.</w:t>
      </w:r>
      <w:r>
        <w:rPr>
          <w:rFonts w:ascii="Times New Roman" w:cs="Times New Roman" w:eastAsia="Times New Roman" w:hAnsi="Times New Roman"/>
          <w:sz w:val="24"/>
          <w:szCs w:val="24"/>
        </w:rPr>
        <w:t xml:space="preserve"> The reasoning regime of the agent matches the human regime being simulated, so adding deliberation to the agent is not guaranteed to move it toward humans.</w:t>
      </w:r>
    </w:p>
    <w:p>
      <w:pPr>
        <w:pStyle w:val="Heading2"/>
        <w:keepNext/>
        <w:spacing w:after="0" w:before="120" w:line="480"/>
      </w:pPr>
      <w:r>
        <w:rPr>
          <w:rFonts w:ascii="Times New Roman" w:cs="Times New Roman" w:eastAsia="Times New Roman" w:hAnsi="Times New Roman"/>
          <w:b/>
          <w:bCs/>
          <w:i/>
          <w:iCs/>
          <w:sz w:val="24"/>
          <w:szCs w:val="24"/>
        </w:rPr>
        <w:t xml:space="preserve">2.4 Propositions</w:t>
      </w:r>
    </w:p>
    <w:p>
      <w:pPr>
        <w:spacing w:line="480"/>
        <w:ind w:firstLine="720"/>
      </w:pPr>
      <w:r>
        <w:rPr>
          <w:rFonts w:ascii="Times New Roman" w:cs="Times New Roman" w:eastAsia="Times New Roman" w:hAnsi="Times New Roman"/>
          <w:sz w:val="24"/>
          <w:szCs w:val="24"/>
        </w:rPr>
        <w:t xml:space="preserve">Let D denote the twin effect minus the human effect, in the standardized unit of each effect. Table 1 states the seven propositions with the registered directions. P1 to P3 and P6 concern the effect types and prompt content (V1 to V3), P4 and P5 concern reasoning and its relation to errors (V4), and P7 concerns the field setting (V1). The propositions were formulated after exploratory simulations, so they are hypotheses tested on new data and not findings from the exploratory data.</w:t>
      </w:r>
    </w:p>
    <w:p>
      <w:pPr>
        <w:keepNext/>
        <w:spacing w:after="80" w:before="12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Propositions, registered predictions, and confirmatory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140"/>
        <w:gridCol w:w="2200"/>
        <w:gridCol w:w="2400"/>
      </w:tblGrid>
      <w:tr>
        <w:trPr>
          <w:tblHeader/>
        </w:trPr>
        <w:tc>
          <w:tcPr>
            <w:tcW w:type="dxa" w:w="62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
            </w:r>
          </w:p>
        </w:tc>
        <w:tc>
          <w:tcPr>
            <w:tcW w:type="dxa" w:w="414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Registered prediction</w:t>
            </w:r>
          </w:p>
        </w:tc>
        <w:tc>
          <w:tcPr>
            <w:tcW w:type="dxa" w:w="22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Study and test</w:t>
            </w:r>
          </w:p>
        </w:tc>
        <w:tc>
          <w:tcPr>
            <w:tcW w:type="dxa" w:w="24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Verdict</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P1</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Cue-based effects (framing, anchoring) overshoot human effects on canonical paradigms (V1)</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C1, persona summary, ≥4 of 5 models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 (framing 2/5 models, anchoring pooled below human)</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P2</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Defaults: twin overshoots the canonical paradigm (organ donation), does not overshoot the novel paradigm (green energy) (V2, V3)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C1</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 (organ 4/5 models, green 5/5)</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P3</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Twin discrepancy is larger on the canonical than on the novel default paradigm (V3)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C1</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 (5/5 models)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Higher reasoning effort reduces cue-based effects and factual error (V4)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H6c, 36 cells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Error: supported. Bias: not supported; bias rises with reasoning</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P5</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Bias and factual error co-move positively within models (V4)</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H6c</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 (within-model correlation −0.19)</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P6</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Naming the phenomenon raises canonical effects (V3)</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C1, theory-explicit vs demographics-only</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 (5/5 models)</w:t>
            </w:r>
          </w:p>
        </w:tc>
      </w:tr>
      <w:tr>
        <w:trPr>
          <w:cantSplit/>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P7</w:t>
            </w:r>
          </w:p>
        </w:tc>
        <w:tc>
          <w:tcPr>
            <w:tcW w:type="dxa" w:w="414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Field: twin winner agreement exceeds chance, higher for cue-contrast tests (a), with overstated effects (b), no-persona no worse than persona (c), no-persona above chance (d) (V1)</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C2, 999 tests</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 not supported. b: not supported (twins compress). c and d: supported</w:t>
            </w:r>
          </w:p>
        </w:tc>
      </w:tr>
    </w:tbl>
    <w:p>
      <w:pPr>
        <w:spacing w:after="200"/>
      </w:pPr>
    </w:p>
    <w:p>
      <w:pPr>
        <w:pStyle w:val="Heading1"/>
        <w:keepNext/>
        <w:spacing w:after="0" w:before="240" w:line="480"/>
      </w:pPr>
      <w:r>
        <w:rPr>
          <w:rFonts w:ascii="Times New Roman" w:cs="Times New Roman" w:eastAsia="Times New Roman" w:hAnsi="Times New Roman"/>
          <w:b/>
          <w:bCs/>
          <w:sz w:val="24"/>
          <w:szCs w:val="24"/>
        </w:rPr>
        <w:t xml:space="preserve">3. Research Design</w:t>
      </w:r>
    </w:p>
    <w:p>
      <w:pPr>
        <w:pStyle w:val="Heading2"/>
        <w:keepNext/>
        <w:spacing w:after="0" w:before="120" w:line="480"/>
      </w:pPr>
      <w:r>
        <w:rPr>
          <w:rFonts w:ascii="Times New Roman" w:cs="Times New Roman" w:eastAsia="Times New Roman" w:hAnsi="Times New Roman"/>
          <w:b/>
          <w:bCs/>
          <w:i/>
          <w:iCs/>
          <w:sz w:val="24"/>
          <w:szCs w:val="24"/>
        </w:rPr>
        <w:t xml:space="preserve">3.1 Study structure and pre-registration</w:t>
      </w:r>
    </w:p>
    <w:p>
      <w:pPr>
        <w:spacing w:line="480"/>
        <w:ind w:firstLine="720"/>
      </w:pPr>
      <w:r>
        <w:rPr>
          <w:rFonts w:ascii="Times New Roman" w:cs="Times New Roman" w:eastAsia="Times New Roman" w:hAnsi="Times New Roman"/>
          <w:sz w:val="24"/>
          <w:szCs w:val="24"/>
        </w:rPr>
        <w:t xml:space="preserve">Table 2 lists the studies. Studies E1 and E2 are exploratory: they were run and examined before the propositions were stated. Studies C1, H6c, and C2 are confirmatory and were run under two AsPredicted pre-registrations (#320110 and #320124) whose decision rules were coded and committed before the confirmatory output was analyzed. Study S, on stability across prompt templates and model generations, was prompted by the confirmatory results and is exploratory. The registered text, the analysis code, and a log of all deviations are in the project repository. Appendix A lists the deviations.</w:t>
      </w:r>
    </w:p>
    <w:p>
      <w:pPr>
        <w:keepNext/>
        <w:spacing w:after="80" w:before="12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Studies, units, and registration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20"/>
        <w:gridCol w:w="2700"/>
        <w:gridCol w:w="3280"/>
      </w:tblGrid>
      <w:tr>
        <w:trPr>
          <w:tblHeader/>
        </w:trPr>
        <w:tc>
          <w:tcPr>
            <w:tcW w:type="dxa" w:w="76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Study</w:t>
            </w:r>
          </w:p>
        </w:tc>
        <w:tc>
          <w:tcPr>
            <w:tcW w:type="dxa" w:w="262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Purpose and status</w:t>
            </w:r>
          </w:p>
        </w:tc>
        <w:tc>
          <w:tcPr>
            <w:tcW w:type="dxa" w:w="2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Units</w:t>
            </w:r>
          </w:p>
        </w:tc>
        <w:tc>
          <w:tcPr>
            <w:tcW w:type="dxa" w:w="328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Configuration</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E1</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Exploratory twin simulations (not registered)</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772 mega-study respondents; defaults, attraction, fairness</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 models × 3 persona architectures, template A; about 36,000 calls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E2</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Exploratory reasoning-by-temperature pilot (not registered)</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100 respondents per task</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 models × 9 cells; 14,400 calls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C1</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Confirmatory twin study (#320110)</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600 new respondents; 9 items</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 models × 3 architectures, template B; 9,000 calls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H6c</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Confirmatory reasoning grid (#320110)</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100 new respondents; booklet and two factual batteries</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 models × 3 effort × 3 temperature; 10,800 calls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C2</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Confirmatory field test (#320124)</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999 Upworthy headline tests</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 models × persona/no-persona × 5 draws; 50,000 calls</w:t>
            </w:r>
          </w:p>
        </w:tc>
      </w:tr>
      <w:tr>
        <w:trPr>
          <w:cantSplit/>
        </w:trPr>
        <w:tc>
          <w:tcPr>
            <w:tcW w:type="dxa" w:w="7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Stability across templates and generations (exploratory)</w:t>
            </w:r>
          </w:p>
        </w:tc>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200 new respondents</w:t>
            </w:r>
          </w:p>
        </w:tc>
        <w:tc>
          <w:tcPr>
            <w:tcW w:type="dxa" w:w="32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13 model versions × 2 templates, persona summary; 5,200 calls</w:t>
            </w:r>
          </w:p>
        </w:tc>
      </w:tr>
    </w:tbl>
    <w:p>
      <w:pPr>
        <w:spacing w:after="200"/>
      </w:pPr>
    </w:p>
    <w:p>
      <w:pPr>
        <w:pStyle w:val="Heading2"/>
        <w:keepNext/>
        <w:spacing w:after="0" w:before="120" w:line="480"/>
      </w:pPr>
      <w:r>
        <w:rPr>
          <w:rFonts w:ascii="Times New Roman" w:cs="Times New Roman" w:eastAsia="Times New Roman" w:hAnsi="Times New Roman"/>
          <w:b/>
          <w:bCs/>
          <w:i/>
          <w:iCs/>
          <w:sz w:val="24"/>
          <w:szCs w:val="24"/>
        </w:rPr>
        <w:t xml:space="preserve">3.2 Human benchmarks and respondents</w:t>
      </w:r>
    </w:p>
    <w:p>
      <w:pPr>
        <w:spacing w:line="480"/>
        <w:ind w:firstLine="720"/>
      </w:pPr>
      <w:r>
        <w:rPr>
          <w:rFonts w:ascii="Times New Roman" w:cs="Times New Roman" w:eastAsia="Times New Roman" w:hAnsi="Times New Roman"/>
          <w:sz w:val="24"/>
          <w:szCs w:val="24"/>
        </w:rPr>
        <w:t xml:space="preserve">No new human data were collected. Human benchmarks come from two public datasets. Twin-2K-500 comprises 2,058 US panelists who completed four survey waves, including classic heuristics-and-biases items and a repeat wave (Toubia et al. 2025). The accompanying mega-study ran 19 new pre-registered human studies after the twins were built (Peng et al. 2026). We computed the human effects in Table 3 from the public responses, coding conditions from the displayed survey text. The raw condition tag in the targeting-fairness file is inverted relative to the text shown to participants, and we note this for the data providers. Simulated respondents are Twin-2K-500 participants. The exploratory studies used the 772 participants who appear in the three mega-study files, and the confirmatory studies used respondents who did not appear in any of those files or in earlier confirmatory samples.</w:t>
      </w:r>
    </w:p>
    <w:p>
      <w:pPr>
        <w:keepNext/>
        <w:spacing w:after="80" w:before="12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Public human benchmarks used in the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300"/>
        <w:gridCol w:w="1860"/>
      </w:tblGrid>
      <w:tr>
        <w:trPr>
          <w:tblHeader/>
        </w:trPr>
        <w:tc>
          <w:tcPr>
            <w:tcW w:type="dxa" w:w="24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Effect</w:t>
            </w:r>
          </w:p>
        </w:tc>
        <w:tc>
          <w:tcPr>
            <w:tcW w:type="dxa" w:w="28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Human estimate</w:t>
            </w:r>
          </w:p>
        </w:tc>
        <w:tc>
          <w:tcPr>
            <w:tcW w:type="dxa" w:w="23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95% interval</w:t>
            </w:r>
          </w:p>
        </w:tc>
        <w:tc>
          <w:tcPr>
            <w:tcW w:type="dxa" w:w="186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Source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Organ-donation default (canonical)</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+4.4 percentage points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−3.5 to 12.3</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Mega-study, n = 600</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Green-energy default (novel)</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+24.7 percentage points</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16.9 to 32.4</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Mega-study, n = 600</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Attraction effect (three choice sets)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log odds ratio 0.37</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0.11 to 0.62</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Mega-study, about 165 per cell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Targeting fairness (targeted vs broad)</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 = −0.54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−0.75 to −0.33 (approximate)</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Mega-study, n = 357</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Loss framing (loss vs gain)</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 = 0.76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0.67 to 0.85</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Twin-2K-500, wave 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Anchoring, African UN members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d(log) = 0.78</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0.69 to 0.87</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Twin-2K-500, wave 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Anchoring, redwood height</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d(log) = 1.69</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1.59 to 1.79</w:t>
            </w:r>
          </w:p>
        </w:tc>
        <w:tc>
          <w:tcPr>
            <w:tcW w:type="dxa" w:w="18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Twin-2K-500, wave 4</w:t>
            </w:r>
          </w:p>
        </w:tc>
      </w:tr>
    </w:tbl>
    <w:p>
      <w:pPr>
        <w:spacing w:after="200"/>
      </w:pPr>
    </w:p>
    <w:p>
      <w:pPr>
        <w:pStyle w:val="Heading2"/>
        <w:keepNext/>
        <w:spacing w:after="0" w:before="120" w:line="480"/>
      </w:pPr>
      <w:r>
        <w:rPr>
          <w:rFonts w:ascii="Times New Roman" w:cs="Times New Roman" w:eastAsia="Times New Roman" w:hAnsi="Times New Roman"/>
          <w:b/>
          <w:bCs/>
          <w:i/>
          <w:iCs/>
          <w:sz w:val="24"/>
          <w:szCs w:val="24"/>
        </w:rPr>
        <w:t xml:space="preserve">3.3 Twin construction, models, prompts</w:t>
      </w:r>
    </w:p>
    <w:p>
      <w:pPr>
        <w:spacing w:line="480"/>
        <w:ind w:firstLine="720"/>
      </w:pPr>
      <w:r>
        <w:rPr>
          <w:rFonts w:ascii="Times New Roman" w:cs="Times New Roman" w:eastAsia="Times New Roman" w:hAnsi="Times New Roman"/>
          <w:sz w:val="24"/>
          <w:szCs w:val="24"/>
        </w:rPr>
        <w:t xml:space="preserve">Three persona architectures were used. The demographics-only twin receives 14 demographic attributes. The persona-summary twin receives the Twin-2K-500 text summary of the participant’s answers to the earlier waves. The theory-explicit twin receives the demographic profile plus a research note naming the phenomena in the survey, which serves as a leakage check. Five model families from five developers were used in the main studies: Claude Haiku 5.5, GPT-5.6 luna, Gemini 3.7 Flash, Grok 4.3, and Llama 4 Maverick. Study S adds earlier and later versions within families, for 13 models. All models were called through one API aggregator at temperature 0.7 and low reasoning effort unless a study varies those settings. Two prompt templates were used. Template A reproduces the survey-text format of the mega-study. Template B, used in the confirmatory studies, rewrites the instructions and the answer format. Reasoning-effort levels are provider-specific, and one model (Gemini 3.7 Flash) cannot disable reasoning, so its levels are low, medium, and high.</w:t>
      </w:r>
    </w:p>
    <w:p>
      <w:pPr>
        <w:pStyle w:val="Heading2"/>
        <w:keepNext/>
        <w:spacing w:after="0" w:before="120" w:line="480"/>
      </w:pPr>
      <w:r>
        <w:rPr>
          <w:rFonts w:ascii="Times New Roman" w:cs="Times New Roman" w:eastAsia="Times New Roman" w:hAnsi="Times New Roman"/>
          <w:b/>
          <w:bCs/>
          <w:i/>
          <w:iCs/>
          <w:sz w:val="24"/>
          <w:szCs w:val="24"/>
        </w:rPr>
        <w:t xml:space="preserve">3.4 Measures and analysis rules</w:t>
      </w:r>
    </w:p>
    <w:p>
      <w:pPr>
        <w:spacing w:line="480"/>
        <w:ind w:firstLine="720"/>
      </w:pPr>
      <w:r>
        <w:rPr>
          <w:rFonts w:ascii="Times New Roman" w:cs="Times New Roman" w:eastAsia="Times New Roman" w:hAnsi="Times New Roman"/>
          <w:sz w:val="24"/>
          <w:szCs w:val="24"/>
        </w:rPr>
        <w:t xml:space="preserve">Effects are expressed in the units of Table 3: percentage-point differences for defaults, log odds ratios for the attraction effect, and standardized mean differences for fairness, framing, and anchoring (on log estimates). For each model and persona architecture, effects are estimated on respondent-level bootstrap samples. A proposition is supported if its sign holds in at least four of five models and the pooled bootstrap interval, averaged over models, excludes the null; it is partly supported if the sign holds in at least four models but the interval includes the null; otherwise it is not supported. Benjamini–Hochberg adjustment (Benjamini and Hochberg 1995) is applied across the registered tests in each study. The primary persona architecture for P1 to P3 is the persona summary, and demographics-only results are reported as robustness. For the validity map we classify each effect and configuration as magnitude-valid when the twin estimate lies inside the 95% interval of the human effect, direction-valid when the sign matches and the twin interval excludes zero, and invalid otherwise.</w:t>
      </w:r>
    </w:p>
    <w:p>
      <w:pPr>
        <w:spacing w:line="480"/>
        <w:ind w:firstLine="720"/>
      </w:pPr>
      <w:r>
        <w:rPr>
          <w:rFonts w:ascii="Times New Roman" w:cs="Times New Roman" w:eastAsia="Times New Roman" w:hAnsi="Times New Roman"/>
          <w:sz w:val="24"/>
          <w:szCs w:val="24"/>
        </w:rPr>
        <w:t xml:space="preserve">The reasoning grid (H6c) varies reasoning effort (three levels) and temperature (0, 0.7, 1.2) for four models. Bias is the average ratio of twin to human effects for framing, attraction, and anchoring. Factual error is the share of 16 answerable general-knowledge items answered wrongly, with an explicit “not sure” option. Fabrication is the share of invented-entity items answered with a non-abstain option, measured with and without an abstention prompt. The field test (C2) uses the Upworthy Research Archive of headline A/B tests (Matias et al. 2021). For each test, simulated respondents estimate the probability of clicking each headline variant, and predictions are averaged over five draws. We evaluate winner agreement among tests whose arms differ at p &lt; .05, expressed as excess over the chance rate of the test, the rank correlation across arms, and a calibration slope of predicted on observed log-odds differences that is corrected for the sampling noise of the observed differences.</w:t>
      </w:r>
    </w:p>
    <w:p>
      <w:pPr>
        <w:pStyle w:val="Heading1"/>
        <w:keepNext/>
        <w:spacing w:after="0" w:before="240" w:line="480"/>
      </w:pPr>
      <w:r>
        <w:rPr>
          <w:rFonts w:ascii="Times New Roman" w:cs="Times New Roman" w:eastAsia="Times New Roman" w:hAnsi="Times New Roman"/>
          <w:b/>
          <w:bCs/>
          <w:sz w:val="24"/>
          <w:szCs w:val="24"/>
        </w:rPr>
        <w:t xml:space="preserve">4. Results</w:t>
      </w:r>
    </w:p>
    <w:p>
      <w:pPr>
        <w:pStyle w:val="Heading2"/>
        <w:keepNext/>
        <w:spacing w:after="0" w:before="120" w:line="480"/>
      </w:pPr>
      <w:r>
        <w:rPr>
          <w:rFonts w:ascii="Times New Roman" w:cs="Times New Roman" w:eastAsia="Times New Roman" w:hAnsi="Times New Roman"/>
          <w:b/>
          <w:bCs/>
          <w:i/>
          <w:iCs/>
          <w:sz w:val="24"/>
          <w:szCs w:val="24"/>
        </w:rPr>
        <w:t xml:space="preserve">4.1 Exploratory studies (E1, E2)</w:t>
      </w:r>
    </w:p>
    <w:p>
      <w:pPr>
        <w:spacing w:line="480"/>
        <w:ind w:firstLine="720"/>
      </w:pPr>
      <w:r>
        <w:rPr>
          <w:rFonts w:ascii="Times New Roman" w:cs="Times New Roman" w:eastAsia="Times New Roman" w:hAnsi="Times New Roman"/>
          <w:sz w:val="24"/>
          <w:szCs w:val="24"/>
        </w:rPr>
        <w:t xml:space="preserve">Exploratory simulations on 772 respondents (template A, three persona architectures, five models) suggested four patterns that became propositions: a reversal of default effects between a canonical and a novel paradigm, larger canonical effects when the phenomenon is named, inflated attraction effects, and a positive relation between reasoning effort and bias. The reasoning pilot also pointed in a direction opposite to the dual-process expectation: more reasoning increased the attraction effect (about +0.5 log odds per reasoning level) and bias and factual error were negatively related across cells. These patterns are treated as hypotheses, and Sections 4.2 to 4.4 report their confirmatory tests. The inflated attraction effect did not replicate (Section 4.2).</w:t>
      </w:r>
    </w:p>
    <w:p>
      <w:pPr>
        <w:pStyle w:val="Heading2"/>
        <w:keepNext/>
        <w:spacing w:after="0" w:before="120" w:line="480"/>
      </w:pPr>
      <w:r>
        <w:rPr>
          <w:rFonts w:ascii="Times New Roman" w:cs="Times New Roman" w:eastAsia="Times New Roman" w:hAnsi="Times New Roman"/>
          <w:b/>
          <w:bCs/>
          <w:i/>
          <w:iCs/>
          <w:sz w:val="24"/>
          <w:szCs w:val="24"/>
        </w:rPr>
        <w:t xml:space="preserve">4.2 Confirmatory twin study (C1)</w:t>
      </w:r>
    </w:p>
    <w:p>
      <w:pPr>
        <w:spacing w:line="480"/>
        <w:ind w:firstLine="720"/>
      </w:pPr>
      <w:r>
        <w:rPr>
          <w:rFonts w:ascii="Times New Roman" w:cs="Times New Roman" w:eastAsia="Times New Roman" w:hAnsi="Times New Roman"/>
          <w:sz w:val="24"/>
          <w:szCs w:val="24"/>
        </w:rPr>
        <w:t xml:space="preserve">Table 4 reports the confirmatory propositions for the persona-summary architecture. The default dissociation is confirmed. Twins overstate the canonical organ-donation default relative to the human effect of 4.4 percentage points in four of five models (pooled difference +8.7 points, interval 6.1 to 11.2), and they understate the novel green-energy default in all five models, in which humans show a 24.7-point effect (pooled difference −26.3 points, interval −29.8 to −22.8). The contrast between the two paradigms is negative in all five models (pooled −35.0 points). Naming the phenomenon in the prompt raises canonical effects in all five models (pooled +0.71 standardized units), which supports leakage.</w:t>
      </w:r>
    </w:p>
    <w:p>
      <w:pPr>
        <w:spacing w:line="480"/>
        <w:ind w:firstLine="720"/>
      </w:pPr>
      <w:r>
        <w:rPr>
          <w:rFonts w:ascii="Times New Roman" w:cs="Times New Roman" w:eastAsia="Times New Roman" w:hAnsi="Times New Roman"/>
          <w:sz w:val="24"/>
          <w:szCs w:val="24"/>
        </w:rPr>
        <w:t xml:space="preserve">The prediction that cue-based effects overshoot in canonical paradigms is not supported. Framing exceeded the human effect in only two of five models (it was extreme in one model, whose framing effect reached a standardized difference of about 6), and anchoring was on average below the human effect. The robustness check with demographics-only twins shows that the organ-donation overshoot depends on persona architecture: with demographics only, it holds in three of five models and the pooled difference is negative (−4.0 points). The attraction effect that was inflated in the exploratory simulations is near zero or negative for three of five models in C1 (persona summary: −0.19, −0.36, and −0.29 log odds against a human effect of 0.37), whereas two models overshoot (0.90 and 1.91). Effects in the fairness study differ in sign across models (Table 5). Figure 1 plots all effects, models, and architectures against the human benchmarks.</w:t>
      </w:r>
    </w:p>
    <w:p>
      <w:pPr>
        <w:keepNext/>
        <w:spacing w:after="80" w:before="12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Confirmatory twin study C1: pooled twin-minus-human discrepancies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1700"/>
        <w:gridCol w:w="1400"/>
        <w:gridCol w:w="1710"/>
      </w:tblGrid>
      <w:tr>
        <w:trPr>
          <w:tblHeader/>
        </w:trPr>
        <w:tc>
          <w:tcPr>
            <w:tcW w:type="dxa" w:w="33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Test</w:t>
            </w:r>
          </w:p>
        </w:tc>
        <w:tc>
          <w:tcPr>
            <w:tcW w:type="dxa" w:w="125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Pooled D</w:t>
            </w:r>
          </w:p>
        </w:tc>
        <w:tc>
          <w:tcPr>
            <w:tcW w:type="dxa" w:w="1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95% interval</w:t>
            </w:r>
          </w:p>
        </w:tc>
        <w:tc>
          <w:tcPr>
            <w:tcW w:type="dxa" w:w="14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Models in direction</w:t>
            </w:r>
          </w:p>
        </w:tc>
        <w:tc>
          <w:tcPr>
            <w:tcW w:type="dxa" w:w="171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Verdict</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P1 framing (d)</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+0.94</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0.72 to 1.33</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P1 anchoring (d on log estimates)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−0.25 to −0.16</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P2 organ default overshoot (points)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+8.7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6.1 to 11.2</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P2 green default not overshoot (points)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−26.3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−29.8 to −22.8</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P3 green minus organ discrepancy (points)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−35.0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−39.3 to −30.9</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P6 theory-explicit minus demographics-only, canonical</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+0.71</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0.58 to 0.97</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Robustness: P2 organ overshoot, demographics-only (points)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−6.0 to −2.1</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3/5</w:t>
            </w:r>
          </w:p>
        </w:tc>
        <w:tc>
          <w:tcPr>
            <w:tcW w:type="dxa" w:w="17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bl>
    <w:p>
      <w:pPr>
        <w:spacing w:after="200"/>
      </w:pPr>
    </w:p>
    <w:p>
      <w:pPr>
        <w:keepNext/>
        <w:spacing w:after="80" w:before="120"/>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C1 twin effects by model (persona summary) against the human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80"/>
        <w:gridCol w:w="1180"/>
        <w:gridCol w:w="1100"/>
        <w:gridCol w:w="1100"/>
        <w:gridCol w:w="1100"/>
        <w:gridCol w:w="1200"/>
      </w:tblGrid>
      <w:tr>
        <w:trPr>
          <w:tblHeader/>
        </w:trPr>
        <w:tc>
          <w:tcPr>
            <w:tcW w:type="dxa" w:w="25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Model</w:t>
            </w:r>
          </w:p>
        </w:tc>
        <w:tc>
          <w:tcPr>
            <w:tcW w:type="dxa" w:w="118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Organ (pts)</w:t>
            </w:r>
          </w:p>
        </w:tc>
        <w:tc>
          <w:tcPr>
            <w:tcW w:type="dxa" w:w="118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Green (pts)</w:t>
            </w:r>
          </w:p>
        </w:tc>
        <w:tc>
          <w:tcPr>
            <w:tcW w:type="dxa" w:w="11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Attract.</w:t>
            </w:r>
          </w:p>
        </w:tc>
        <w:tc>
          <w:tcPr>
            <w:tcW w:type="dxa" w:w="11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Framing</w:t>
            </w:r>
          </w:p>
        </w:tc>
        <w:tc>
          <w:tcPr>
            <w:tcW w:type="dxa" w:w="11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Fairness</w:t>
            </w:r>
          </w:p>
        </w:tc>
        <w:tc>
          <w:tcPr>
            <w:tcW w:type="dxa" w:w="12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Anch. African / redwood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Human benchmark</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4.4</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24.7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0.37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−0.54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0.78 / 1.69</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Claude Haiku 5.5</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31.4</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−2.0</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−0.19</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0.38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−0.26</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0.61 / 0.66</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Gemini 3.7 Flash</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6.9</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12.4</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1.91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5.95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−1.86</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1.23 / 1.74</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Llama 4 Maverick</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−27.3</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−29.3</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−0.36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1.77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0.23</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0.85 / 2.08</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GPT-5.6 luna</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21.9</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0.90</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−0.29</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0.71 / 0.57</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Grok 4.3</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32.4</w:t>
            </w:r>
          </w:p>
        </w:tc>
        <w:tc>
          <w:tcPr>
            <w:tcW w:type="dxa" w:w="11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12.3</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−0.29</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0.52</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0.40</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0.84 / 0.98</w:t>
            </w:r>
          </w:p>
        </w:tc>
      </w:tr>
    </w:tbl>
    <w:p>
      <w:pPr>
        <w:spacing w:after="200"/>
      </w:pPr>
    </w:p>
    <w:p>
      <w:pPr>
        <w:keepNext/>
        <w:spacing w:after="60" w:before="120"/>
        <w:jc w:val="center"/>
      </w:pPr>
      <w:r>
        <w:drawing>
          <wp:inline distT="0" distB="0" distL="0" distR="0">
            <wp:extent cx="4962525" cy="7048500"/>
            <wp:effectExtent t="0" r="0" b="0" l="0"/>
            <wp:docPr id="1" name="Figure1" descr="Forest plot of twin effects against human benchmarks for seven effects, five models, and three persona architectures" title="Fores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62525" cy="7048500"/>
                    </a:xfrm>
                    <a:prstGeom prst="rect">
                      <a:avLst/>
                    </a:prstGeom>
                  </pic:spPr>
                </pic:pic>
              </a:graphicData>
            </a:graphic>
          </wp:inline>
        </w:drawing>
      </w:r>
    </w:p>
    <w:p>
      <w:pPr>
        <w:spacing w:after="200" w:line="276"/>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Twin effects against public human benchmarks in the confirmatory twin study (C1). Each panel is one effect. Points are twin estimates, bars are 95% respondent-bootstrap intervals (600 simulated respondents per model and architecture), the grey band is the 95% interval of the human effect, and the black line is the human estimate. Estimates beyond the axis range are shown as triangles at the edge with their value.</w:t>
      </w:r>
    </w:p>
    <w:p>
      <w:pPr>
        <w:pStyle w:val="Heading2"/>
        <w:keepNext/>
        <w:spacing w:after="0" w:before="120" w:line="480"/>
      </w:pPr>
      <w:r>
        <w:rPr>
          <w:rFonts w:ascii="Times New Roman" w:cs="Times New Roman" w:eastAsia="Times New Roman" w:hAnsi="Times New Roman"/>
          <w:b/>
          <w:bCs/>
          <w:i/>
          <w:iCs/>
          <w:sz w:val="24"/>
          <w:szCs w:val="24"/>
        </w:rPr>
        <w:t xml:space="preserve">4.3 Confirmatory reasoning grid (H6c)</w:t>
      </w:r>
    </w:p>
    <w:p>
      <w:pPr>
        <w:spacing w:line="480"/>
        <w:ind w:firstLine="720"/>
      </w:pPr>
      <w:r>
        <w:rPr>
          <w:rFonts w:ascii="Times New Roman" w:cs="Times New Roman" w:eastAsia="Times New Roman" w:hAnsi="Times New Roman"/>
          <w:sz w:val="24"/>
          <w:szCs w:val="24"/>
        </w:rPr>
        <w:t xml:space="preserve">Table 6 reports the confirmatory tests of P4 and P5. Higher reasoning effort reduces factual error: the coefficient on reasoning level is −0.025 (interval −0.039 to −0.011), and error falls from about 7% without reasoning (for the three models that allow it) to under 1% at high effort. The registered prediction that reasoning reduces bias is rejected. The coefficient on the bias index is positive (+0.27, interval 0.08 to 0.46), and the framing effect rises with reasoning (+0.34, interval 0.03 to 0.65), with the right sign for only one of four models. The attraction effect shows no reliable relation to reasoning. P5 is also not supported: within models, the bias index and factual error are negatively correlated (−0.19), and only one of four models shows the registered positive sign. Fabrication on invented entities was essentially zero in all cells, with and without the abstention prompt, so the hallucination component of the resource-rationality account could not be tested with this instrument. Temperature had no reliable effect.</w:t>
      </w:r>
    </w:p>
    <w:p>
      <w:pPr>
        <w:keepNext/>
        <w:spacing w:after="80" w:before="120"/>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Confirmatory reasoning grid H6c (36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250"/>
        <w:gridCol w:w="1700"/>
        <w:gridCol w:w="1100"/>
        <w:gridCol w:w="1010"/>
      </w:tblGrid>
      <w:tr>
        <w:trPr>
          <w:tblHeader/>
        </w:trPr>
        <w:tc>
          <w:tcPr>
            <w:tcW w:type="dxa" w:w="43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Test</w:t>
            </w:r>
          </w:p>
        </w:tc>
        <w:tc>
          <w:tcPr>
            <w:tcW w:type="dxa" w:w="125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Coefficient</w:t>
            </w:r>
          </w:p>
        </w:tc>
        <w:tc>
          <w:tcPr>
            <w:tcW w:type="dxa" w:w="1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95% interval</w:t>
            </w:r>
          </w:p>
        </w:tc>
        <w:tc>
          <w:tcPr>
            <w:tcW w:type="dxa" w:w="11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Models in registered direction</w:t>
            </w:r>
          </w:p>
        </w:tc>
        <w:tc>
          <w:tcPr>
            <w:tcW w:type="dxa" w:w="101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Verdict</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 reasoning level → bias index (predicted negative)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0.08 to 0.46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1/4</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 reasoning level → framing effect (predicted negative)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+0.34</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0.03 to 0.65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1/4</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 reasoning level → attraction effect (predicted negative)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−0.10 to 0.29</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2/4</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 reasoning level → factual error (predicted negative)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−0.025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−0.039 to −0.011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3/4</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P4 reasoning level → fabrication, with / without nudge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 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 0</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 variation</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P5 within-model correlation of bias and error (predicted positive)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permutation: −0.41 to 0.41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1/4</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bl>
    <w:p>
      <w:pPr>
        <w:spacing w:after="200"/>
      </w:pPr>
    </w:p>
    <w:p>
      <w:pPr>
        <w:pStyle w:val="Heading2"/>
        <w:keepNext/>
        <w:spacing w:after="0" w:before="120" w:line="480"/>
      </w:pPr>
      <w:r>
        <w:rPr>
          <w:rFonts w:ascii="Times New Roman" w:cs="Times New Roman" w:eastAsia="Times New Roman" w:hAnsi="Times New Roman"/>
          <w:b/>
          <w:bCs/>
          <w:i/>
          <w:iCs/>
          <w:sz w:val="24"/>
          <w:szCs w:val="24"/>
        </w:rPr>
        <w:t xml:space="preserve">4.4 Confirmatory field test (C2)</w:t>
      </w:r>
    </w:p>
    <w:p>
      <w:pPr>
        <w:spacing w:line="480"/>
        <w:ind w:firstLine="720"/>
      </w:pPr>
      <w:r>
        <w:rPr>
          <w:rFonts w:ascii="Times New Roman" w:cs="Times New Roman" w:eastAsia="Times New Roman" w:hAnsi="Times New Roman"/>
          <w:sz w:val="24"/>
          <w:szCs w:val="24"/>
        </w:rPr>
        <w:t xml:space="preserve">The field test used 999 eligible tests from the confirmatory package, of which 833 were classified as cue-contrast tests by the fixed lexical rule and 166 as non-cue tests; 528 tests had arms that differed at p &lt; .05. Table 7 reports the registered verdicts. Without a persona, twin predictions identify the winning headline more often than chance. Excess agreement over the test-specific chance rate is +9.3 percentage points (interval 6.6 to 12.1) and the sign holds in all five models. With demographic personas, excess agreement is about zero, so the no-persona arm outperforms the persona arm by 8.9 points (interval 6.5 to 11.6). This agrees with independent reports that persona conditioning does not help for headline prediction (Persson et al. 2026, Maiorano 2026).</w:t>
      </w:r>
    </w:p>
    <w:p>
      <w:pPr>
        <w:spacing w:line="480"/>
        <w:ind w:firstLine="720"/>
      </w:pPr>
      <w:r>
        <w:rPr>
          <w:rFonts w:ascii="Times New Roman" w:cs="Times New Roman" w:eastAsia="Times New Roman" w:hAnsi="Times New Roman"/>
          <w:sz w:val="24"/>
          <w:szCs w:val="24"/>
        </w:rPr>
        <w:t xml:space="preserve">The theory-derived moderator is not supported: the advantage of cue-contrast tests over non-cue tests is −1.6 points (interval −10.0 to 6.5). The prediction that twins overstate effects is also rejected. The disattenuated calibration slope in cue-contrast tests is 0.26 (interval 0.20 to 0.31), so twin-predicted differences are roughly a quarter of the observed ones. Twin predictions therefore behave as a weak ranking signal with compressed magnitudes. The archive is public and dates from 2013 to 2015, so some contamination of the models cannot be excluded, and this would work against the pessimistic reading.</w:t>
      </w:r>
    </w:p>
    <w:p>
      <w:pPr>
        <w:keepNext/>
        <w:spacing w:after="80" w:before="120"/>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Confirmatory field test C2 (999 Upworthy tests, five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50"/>
        <w:gridCol w:w="1700"/>
        <w:gridCol w:w="1100"/>
        <w:gridCol w:w="1110"/>
      </w:tblGrid>
      <w:tr>
        <w:trPr>
          <w:tblHeader/>
        </w:trPr>
        <w:tc>
          <w:tcPr>
            <w:tcW w:type="dxa" w:w="42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Test</w:t>
            </w:r>
          </w:p>
        </w:tc>
        <w:tc>
          <w:tcPr>
            <w:tcW w:type="dxa" w:w="125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Pooled value</w:t>
            </w:r>
          </w:p>
        </w:tc>
        <w:tc>
          <w:tcPr>
            <w:tcW w:type="dxa" w:w="1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95% interval</w:t>
            </w:r>
          </w:p>
        </w:tc>
        <w:tc>
          <w:tcPr>
            <w:tcW w:type="dxa" w:w="11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Models in direction</w:t>
            </w:r>
          </w:p>
        </w:tc>
        <w:tc>
          <w:tcPr>
            <w:tcW w:type="dxa" w:w="111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Verdict</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P7a cue-contrast minus non-cue excess agreement, no persona</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−0.016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−0.100 to 0.065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2/5</w:t>
            </w:r>
          </w:p>
        </w:tc>
        <w:tc>
          <w:tcPr>
            <w:tcW w:type="dxa" w:w="11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P7b disattenuated calibration slope, cue-contrast tests (null = 1)</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0.26</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0.20 to 0.31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0/5</w:t>
            </w:r>
          </w:p>
        </w:tc>
        <w:tc>
          <w:tcPr>
            <w:tcW w:type="dxa" w:w="11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supported (compressed)</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P7c no-persona minus persona excess agreement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+0.089</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0.065 to 0.116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5/5</w:t>
            </w:r>
          </w:p>
        </w:tc>
        <w:tc>
          <w:tcPr>
            <w:tcW w:type="dxa" w:w="11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P7d no-persona excess agreement over chance</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+0.093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0.066 to 0.121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5/5</w:t>
            </w:r>
          </w:p>
        </w:tc>
        <w:tc>
          <w:tcPr>
            <w:tcW w:type="dxa" w:w="111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Supported</w:t>
            </w:r>
          </w:p>
        </w:tc>
      </w:tr>
    </w:tbl>
    <w:p>
      <w:pPr>
        <w:spacing w:after="200"/>
      </w:pPr>
    </w:p>
    <w:p>
      <w:pPr>
        <w:pStyle w:val="Heading2"/>
        <w:keepNext/>
        <w:spacing w:after="0" w:before="120" w:line="480"/>
      </w:pPr>
      <w:r>
        <w:rPr>
          <w:rFonts w:ascii="Times New Roman" w:cs="Times New Roman" w:eastAsia="Times New Roman" w:hAnsi="Times New Roman"/>
          <w:b/>
          <w:bCs/>
          <w:i/>
          <w:iCs/>
          <w:sz w:val="24"/>
          <w:szCs w:val="24"/>
        </w:rPr>
        <w:t xml:space="preserve">4.5 Stability across templates and model generations (S)</w:t>
      </w:r>
    </w:p>
    <w:p>
      <w:pPr>
        <w:spacing w:line="480"/>
        <w:ind w:firstLine="720"/>
      </w:pPr>
      <w:r>
        <w:rPr>
          <w:rFonts w:ascii="Times New Roman" w:cs="Times New Roman" w:eastAsia="Times New Roman" w:hAnsi="Times New Roman"/>
          <w:sz w:val="24"/>
          <w:szCs w:val="24"/>
        </w:rPr>
        <w:t xml:space="preserve">Study S asks how long a validity finding survives changes in prompt wording and model version. Using 200 new respondents, 13 model versions in five families, and two prompt templates, we find three things. First, the prompt template hardly matters: classification of effects into validity levels agrees between templates for 86% of model–effect pairs (kappa 0.75), the correlation of standardized discrepancies is 0.87, and the template explains no variance in a balanced decomposition. Second, the pattern of errors is model-specific. About 68% of the variance of standardized discrepancies is a model-by-effect interaction and 25% is a model main effect, of which 78% separates families and 22% separates generations within a family. Third, generations differ: the agreement of validity levels between consecutive versions of a family ranges from 43% to 100% and the correlation of standardized discrepancies from −0.73 to 0.84.</w:t>
      </w:r>
    </w:p>
    <w:p>
      <w:pPr>
        <w:spacing w:line="480"/>
        <w:ind w:firstLine="720"/>
      </w:pPr>
      <w:r>
        <w:rPr>
          <w:rFonts w:ascii="Times New Roman" w:cs="Times New Roman" w:eastAsia="Times New Roman" w:hAnsi="Times New Roman"/>
          <w:sz w:val="24"/>
          <w:szCs w:val="24"/>
        </w:rPr>
        <w:t xml:space="preserve">Table 8 summarizes the validity map. Direction was valid in at least three quarters of the 26 configurations for anchoring, framing, attraction, and fairness, but magnitude was valid in only 4% to 27% of them. Defaults were valid in direction in only 15% of configurations. One model in one template produced unusable output in half of its responses and was flagged.</w:t>
      </w:r>
    </w:p>
    <w:p>
      <w:pPr>
        <w:keepNext/>
        <w:spacing w:after="80" w:before="120"/>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Validity map: share of 26 configurations (13 models × 2 templates, persona summary) with each validity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3260"/>
      </w:tblGrid>
      <w:tr>
        <w:trPr>
          <w:tblHeader/>
        </w:trPr>
        <w:tc>
          <w:tcPr>
            <w:tcW w:type="dxa" w:w="2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Effect</w:t>
            </w:r>
          </w:p>
        </w:tc>
        <w:tc>
          <w:tcPr>
            <w:tcW w:type="dxa" w:w="1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Direction valid</w:t>
            </w:r>
          </w:p>
        </w:tc>
        <w:tc>
          <w:tcPr>
            <w:tcW w:type="dxa" w:w="170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Magnitude valid</w:t>
            </w:r>
          </w:p>
        </w:tc>
        <w:tc>
          <w:tcPr>
            <w:tcW w:type="dxa" w:w="3260"/>
            <w:tcBorders>
              <w:top w:val="single" w:color="000000" w:sz="4"/>
              <w:left w:val="single" w:color="000000" w:sz="4"/>
              <w:bottom w:val="single" w:color="000000" w:sz="4"/>
              <w:right w:val="single" w:color="000000" w:sz="4"/>
            </w:tcBorders>
            <w:shd w:fill="E7E7E7" w:color="auto" w:val="clear"/>
            <w:tcMar>
              <w:top w:type="dxa" w:w="50"/>
              <w:left w:type="dxa" w:w="80"/>
              <w:bottom w:type="dxa" w:w="50"/>
              <w:right w:type="dxa" w:w="80"/>
            </w:tcMar>
          </w:tcPr>
          <w:p>
            <w:r>
              <w:rPr>
                <w:rFonts w:ascii="Times New Roman" w:cs="Times New Roman" w:eastAsia="Times New Roman" w:hAnsi="Times New Roman"/>
                <w:b/>
                <w:bCs/>
                <w:sz w:val="19"/>
                <w:szCs w:val="19"/>
              </w:rPr>
              <w:t xml:space="preserve">Decision rule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Anchoring (two items)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100%</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12–15%</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Use for direction screening; size with a human pilot</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Loss framing</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92%</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8%</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Use for direction screening; one model produced extreme effects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Attraction (decoy)</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85%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12%</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Screening with model-specific validation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Fairness (targeted vs broad)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77%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27%</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Model-dependent; validate before use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Defaults (canonical and novel)</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15%</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4–15%</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Do not use; sign depends on paradigm familiarity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Textual field treatments (headlines)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+9 points above chance, no persona</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slope 0.26</w:t>
            </w:r>
          </w:p>
        </w:tc>
        <w:tc>
          <w:tcPr>
            <w:tcW w:type="dxa" w:w="32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Weak prior only; no-persona configuration</w:t>
            </w:r>
          </w:p>
        </w:tc>
      </w:tr>
    </w:tbl>
    <w:p>
      <w:pPr>
        <w:spacing w:after="200"/>
      </w:pPr>
    </w:p>
    <w:p>
      <w:pPr>
        <w:pStyle w:val="Heading1"/>
        <w:keepNext/>
        <w:spacing w:after="0" w:before="240" w:line="480"/>
      </w:pPr>
      <w:r>
        <w:rPr>
          <w:rFonts w:ascii="Times New Roman" w:cs="Times New Roman" w:eastAsia="Times New Roman" w:hAnsi="Times New Roman"/>
          <w:b/>
          <w:bCs/>
          <w:sz w:val="24"/>
          <w:szCs w:val="24"/>
        </w:rPr>
        <w:t xml:space="preserve">5. Design Knowledge: A Validation Protocol for Synthetic Evidence</w:t>
      </w:r>
    </w:p>
    <w:p>
      <w:pPr>
        <w:spacing w:line="480"/>
        <w:ind w:firstLine="720"/>
      </w:pPr>
      <w:r>
        <w:rPr>
          <w:rFonts w:ascii="Times New Roman" w:cs="Times New Roman" w:eastAsia="Times New Roman" w:hAnsi="Times New Roman"/>
          <w:sz w:val="24"/>
          <w:szCs w:val="24"/>
        </w:rPr>
        <w:t xml:space="preserve">The results imply a protocol with five steps for teams that consider synthetic agents in an experimentation pipeline. The protocol is a design proposition derived from the confirmatory and stability results and has not itself been tested in a deployed pipeline.</w:t>
      </w:r>
    </w:p>
    <w:p>
      <w:pPr>
        <w:spacing w:line="480"/>
        <w:ind w:firstLine="720"/>
      </w:pPr>
      <w:r>
        <w:rPr>
          <w:rFonts w:ascii="Times New Roman" w:cs="Times New Roman" w:eastAsia="Times New Roman" w:hAnsi="Times New Roman"/>
          <w:b/>
          <w:bCs/>
          <w:sz w:val="24"/>
          <w:szCs w:val="24"/>
        </w:rPr>
        <w:t xml:space="preserve">Step 1, classify the effect.</w:t>
      </w:r>
      <w:r>
        <w:rPr>
          <w:rFonts w:ascii="Times New Roman" w:cs="Times New Roman" w:eastAsia="Times New Roman" w:hAnsi="Times New Roman"/>
          <w:sz w:val="24"/>
          <w:szCs w:val="24"/>
        </w:rPr>
        <w:t xml:space="preserve"> Determine whether the planned treatment operates through textual cues (wording, numbers, option structure), through effort or transaction costs (defaults, inertia, friction), or through social preferences (fairness). Determine whether the paradigm resembles a canonical, widely documented experiment. </w:t>
      </w:r>
      <w:r>
        <w:rPr>
          <w:rFonts w:ascii="Times New Roman" w:cs="Times New Roman" w:eastAsia="Times New Roman" w:hAnsi="Times New Roman"/>
          <w:b/>
          <w:bCs/>
          <w:sz w:val="24"/>
          <w:szCs w:val="24"/>
        </w:rPr>
        <w:t xml:space="preserve">Step 2, consult the validity map.</w:t>
      </w:r>
      <w:r>
        <w:rPr>
          <w:rFonts w:ascii="Times New Roman" w:cs="Times New Roman" w:eastAsia="Times New Roman" w:hAnsi="Times New Roman"/>
          <w:sz w:val="24"/>
          <w:szCs w:val="24"/>
        </w:rPr>
        <w:t xml:space="preserve"> For cue-based effects, synthetic agents have been direction-valid in most configurations and can be used to rank alternatives, but not to size effects. For cost-based effects, such as defaults, they should not be used, because direction was valid in only 15% of configurations and the sign changed with paradigm familiarity. Fairness effects are model-dependent.</w:t>
      </w:r>
    </w:p>
    <w:p>
      <w:pPr>
        <w:spacing w:line="480"/>
        <w:ind w:firstLine="720"/>
      </w:pPr>
      <w:r>
        <w:rPr>
          <w:rFonts w:ascii="Times New Roman" w:cs="Times New Roman" w:eastAsia="Times New Roman" w:hAnsi="Times New Roman"/>
          <w:b/>
          <w:bCs/>
          <w:sz w:val="24"/>
          <w:szCs w:val="24"/>
        </w:rPr>
        <w:t xml:space="preserve">Step 3, validate the exact model version and configuration.</w:t>
      </w:r>
      <w:r>
        <w:rPr>
          <w:rFonts w:ascii="Times New Roman" w:cs="Times New Roman" w:eastAsia="Times New Roman" w:hAnsi="Times New Roman"/>
          <w:sz w:val="24"/>
          <w:szCs w:val="24"/>
        </w:rPr>
        <w:t xml:space="preserve"> Because errors are specific to model versions and persona architectures, a team should run a short validation battery on the configuration it will use, with human benchmarks for the relevant effect type, and require direction-validity for that effect type. The battery used here (nine items covering five effect types, public human benchmarks, and code) is a starting point. A new model version triggers revalidation. </w:t>
      </w:r>
      <w:r>
        <w:rPr>
          <w:rFonts w:ascii="Times New Roman" w:cs="Times New Roman" w:eastAsia="Times New Roman" w:hAnsi="Times New Roman"/>
          <w:b/>
          <w:bCs/>
          <w:sz w:val="24"/>
          <w:szCs w:val="24"/>
        </w:rPr>
        <w:t xml:space="preserve">Step 4, never rely on synthetic magnitudes.</w:t>
      </w:r>
      <w:r>
        <w:rPr>
          <w:rFonts w:ascii="Times New Roman" w:cs="Times New Roman" w:eastAsia="Times New Roman" w:hAnsi="Times New Roman"/>
          <w:sz w:val="24"/>
          <w:szCs w:val="24"/>
        </w:rPr>
        <w:t xml:space="preserve"> Magnitude was valid in few configurations, and reasoning effort moves bias in the wrong direction, so raising reasoning effort is not a debiasing tool. When size matters, calibrate with a small human pilot. </w:t>
      </w:r>
      <w:r>
        <w:rPr>
          <w:rFonts w:ascii="Times New Roman" w:cs="Times New Roman" w:eastAsia="Times New Roman" w:hAnsi="Times New Roman"/>
          <w:b/>
          <w:bCs/>
          <w:sz w:val="24"/>
          <w:szCs w:val="24"/>
        </w:rPr>
        <w:t xml:space="preserve">Step 5, for textual field treatments such as headlines, use the no-persona configuration and treat the output as a weak prior.</w:t>
      </w:r>
      <w:r>
        <w:rPr>
          <w:rFonts w:ascii="Times New Roman" w:cs="Times New Roman" w:eastAsia="Times New Roman" w:hAnsi="Times New Roman"/>
          <w:sz w:val="24"/>
          <w:szCs w:val="24"/>
        </w:rPr>
        <w:t xml:space="preserve"> Excess agreement of about nine points over chance and a slope of about a quarter indicate that predictions can order candidates only weakly.</w:t>
      </w:r>
    </w:p>
    <w:p>
      <w:pPr>
        <w:spacing w:line="480"/>
        <w:ind w:firstLine="720"/>
      </w:pPr>
      <w:r>
        <w:rPr>
          <w:rFonts w:ascii="Times New Roman" w:cs="Times New Roman" w:eastAsia="Times New Roman" w:hAnsi="Times New Roman"/>
          <w:sz w:val="24"/>
          <w:szCs w:val="24"/>
        </w:rPr>
        <w:t xml:space="preserve">The protocol also implies documentation duties. Synthetic evidence should be reported with the model identifier and access date, the persona architecture, the prompt template, the reasoning setting, the validation battery result, and the share of unusable responses. Without these, a synthetic result cannot be audited or reproduced, which matters for platform governance and for IS research that uses synthetic participants.</w:t>
      </w:r>
    </w:p>
    <w:p>
      <w:pPr>
        <w:pStyle w:val="Heading1"/>
        <w:keepNext/>
        <w:spacing w:after="0" w:before="240" w:line="480"/>
      </w:pPr>
      <w:r>
        <w:rPr>
          <w:rFonts w:ascii="Times New Roman" w:cs="Times New Roman" w:eastAsia="Times New Roman" w:hAnsi="Times New Roman"/>
          <w:b/>
          <w:bCs/>
          <w:sz w:val="24"/>
          <w:szCs w:val="24"/>
        </w:rPr>
        <w:t xml:space="preserve">6. Discussion and Limitations</w:t>
      </w:r>
    </w:p>
    <w:p>
      <w:pPr>
        <w:pStyle w:val="Heading2"/>
        <w:keepNext/>
        <w:spacing w:after="0" w:before="120" w:line="480"/>
      </w:pPr>
      <w:r>
        <w:rPr>
          <w:rFonts w:ascii="Times New Roman" w:cs="Times New Roman" w:eastAsia="Times New Roman" w:hAnsi="Times New Roman"/>
          <w:b/>
          <w:bCs/>
          <w:i/>
          <w:iCs/>
          <w:sz w:val="24"/>
          <w:szCs w:val="24"/>
        </w:rPr>
        <w:t xml:space="preserve">6.1 Implications for theory</w:t>
      </w:r>
    </w:p>
    <w:p>
      <w:pPr>
        <w:spacing w:line="480"/>
        <w:ind w:firstLine="720"/>
      </w:pPr>
      <w:r>
        <w:rPr>
          <w:rFonts w:ascii="Times New Roman" w:cs="Times New Roman" w:eastAsia="Times New Roman" w:hAnsi="Times New Roman"/>
          <w:sz w:val="24"/>
          <w:szCs w:val="24"/>
        </w:rPr>
        <w:t xml:space="preserve">The confirmed results favor V3: recall of canonical paradigms, not mechanism, explains much of what looks like fidelity, and naming the theory amplifies that recall. They cannot separate V2 from V3 for defaults, because the only cost-based effect studied is confounded with paradigm familiarity, and a cleaner test would need a cost-based effect with canonical and novel paradigms and a cue-based effect with both. The cue-based predictions fared worse than the account anticipated. Cue-based effects were direction-valid but not reliably overshooting, and the lexical moderator did not predict field accuracy. This suggests that V1 is necessary but not sufficient, and that the relevant property is the specific cue processing of each model, not the cue type. Regarding V4, extended reasoning did not move agents toward human responding: it reduced factual errors while elaborating cues and raising bias. For IS theory, this implies that capability gains in AI agents do not monotonically improve their usefulness as models of users, so validity must be established per use.</w:t>
      </w:r>
    </w:p>
    <w:p>
      <w:pPr>
        <w:pStyle w:val="Heading2"/>
        <w:keepNext/>
        <w:spacing w:after="0" w:before="120" w:line="480"/>
      </w:pPr>
      <w:r>
        <w:rPr>
          <w:rFonts w:ascii="Times New Roman" w:cs="Times New Roman" w:eastAsia="Times New Roman" w:hAnsi="Times New Roman"/>
          <w:b/>
          <w:bCs/>
          <w:i/>
          <w:iCs/>
          <w:sz w:val="24"/>
          <w:szCs w:val="24"/>
        </w:rPr>
        <w:t xml:space="preserve">6.2 Implications for practice and research methods</w:t>
      </w:r>
    </w:p>
    <w:p>
      <w:pPr>
        <w:spacing w:line="480"/>
        <w:ind w:firstLine="720"/>
      </w:pPr>
      <w:r>
        <w:rPr>
          <w:rFonts w:ascii="Times New Roman" w:cs="Times New Roman" w:eastAsia="Times New Roman" w:hAnsi="Times New Roman"/>
          <w:sz w:val="24"/>
          <w:szCs w:val="24"/>
        </w:rPr>
        <w:t xml:space="preserve">For platform teams, the main implication is to treat synthetic agents as a screening instrument for direction on cue-based changes, to avoid them for default and friction design, and to institutionalize revalidation when models change. For IS researchers who use synthetic participants, the results argue for pre-specifying validation, reporting configuration details, and distinguishing canonical from novel paradigms. For governance, they caution against using twins to evaluate defaults and other choice architectures, where the failure we document is largest and most consequential for users.</w:t>
      </w:r>
    </w:p>
    <w:p>
      <w:pPr>
        <w:pStyle w:val="Heading2"/>
        <w:keepNext/>
        <w:spacing w:after="0" w:before="120" w:line="480"/>
      </w:pPr>
      <w:r>
        <w:rPr>
          <w:rFonts w:ascii="Times New Roman" w:cs="Times New Roman" w:eastAsia="Times New Roman" w:hAnsi="Times New Roman"/>
          <w:b/>
          <w:bCs/>
          <w:i/>
          <w:iCs/>
          <w:sz w:val="24"/>
          <w:szCs w:val="24"/>
        </w:rPr>
        <w:t xml:space="preserve">6.3 Limitations</w:t>
      </w:r>
    </w:p>
    <w:p>
      <w:pPr>
        <w:spacing w:line="480"/>
        <w:ind w:firstLine="720"/>
      </w:pPr>
      <w:r>
        <w:rPr>
          <w:rFonts w:ascii="Times New Roman" w:cs="Times New Roman" w:eastAsia="Times New Roman" w:hAnsi="Times New Roman"/>
          <w:sz w:val="24"/>
          <w:szCs w:val="24"/>
        </w:rPr>
        <w:t xml:space="preserve">Several limitations apply. Human benchmarks come from one US online panel and cover seven effects, so the validity map describes those effects and not behavior in general. The confirmatory twin studies used one draw per respondent and one temperature, and provider routing through an aggregator may vary across calls. Reasoning-effort settings are provider-specific, and one model could not disable reasoning. Results describe specific model versions in October 2026 and will date, which is why the protocol emphasizes revalidation instead of conclusions about models. The hallucination measure produced almost no variation, so the associated predictions are untested. The stability study was not pre-registered. The field archive is public and may be partly memorized. We discovered and corrected an indexing error in our multiplicity correction during analysis, which changed no verdict, and the correction is recorded in the repository. Finally, the account was built from exploratory data and only partly survived confirmation, so further tests with independent human data and additional effect types are needed.</w:t>
      </w:r>
    </w:p>
    <w:p>
      <w:pPr>
        <w:pStyle w:val="Heading2"/>
        <w:keepNext/>
        <w:spacing w:after="0" w:before="120" w:line="480"/>
      </w:pPr>
      <w:r>
        <w:rPr>
          <w:rFonts w:ascii="Times New Roman" w:cs="Times New Roman" w:eastAsia="Times New Roman" w:hAnsi="Times New Roman"/>
          <w:b/>
          <w:bCs/>
          <w:i/>
          <w:iCs/>
          <w:sz w:val="24"/>
          <w:szCs w:val="24"/>
        </w:rPr>
        <w:t xml:space="preserve">6.4 Conclusion</w:t>
      </w:r>
    </w:p>
    <w:p>
      <w:pPr>
        <w:spacing w:line="480"/>
        <w:ind w:firstLine="720"/>
      </w:pPr>
      <w:r>
        <w:rPr>
          <w:rFonts w:ascii="Times New Roman" w:cs="Times New Roman" w:eastAsia="Times New Roman" w:hAnsi="Times New Roman"/>
          <w:sz w:val="24"/>
          <w:szCs w:val="24"/>
        </w:rPr>
        <w:t xml:space="preserve">Synthetic agents are neither valid nor invalid in general. In our data they carried information about the direction of cue-based effects, were unreliable about magnitudes and about cost-based effects such as defaults, and gave a weak, compressed signal in a field setting. Their errors belong to model versions and change as models change. For platforms and IS researchers, the practical answer to when a synthetic agent can be trusted is a documented, version-specific validation against human benchmarks for the type of effect at hand, and not a general verdict about twins.</w:t>
      </w:r>
    </w:p>
    <w:p>
      <w:r>
        <w:br w:type="page"/>
      </w:r>
    </w:p>
    <w:p>
      <w:pPr>
        <w:spacing w:after="12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Aher GV, Arriaga RI, Kalai AT (2023) Using large language models to simulate multiple humans and replicate human subject studies. Proc. 40th Internat. Conf. Machine Learn. (PMLR), 337–371.</w:t>
      </w:r>
    </w:p>
    <w:p>
      <w:pPr>
        <w:spacing w:line="480"/>
        <w:ind w:left="720" w:hanging="720"/>
      </w:pPr>
      <w:r>
        <w:rPr>
          <w:rFonts w:ascii="Times New Roman" w:cs="Times New Roman" w:eastAsia="Times New Roman" w:hAnsi="Times New Roman"/>
          <w:sz w:val="24"/>
          <w:szCs w:val="24"/>
        </w:rPr>
        <w:t xml:space="preserve">Argyle LP, Busby EC, Fulda N, Gubler JR, Rytting C, Wingate D (2023) Out of one, many: Using language models to simulate human samples. Political Analysis 31(3):337–351.</w:t>
      </w:r>
    </w:p>
    <w:p>
      <w:pPr>
        <w:spacing w:line="480"/>
        <w:ind w:left="720" w:hanging="720"/>
      </w:pPr>
      <w:r>
        <w:rPr>
          <w:rFonts w:ascii="Times New Roman" w:cs="Times New Roman" w:eastAsia="Times New Roman" w:hAnsi="Times New Roman"/>
          <w:sz w:val="24"/>
          <w:szCs w:val="24"/>
        </w:rPr>
        <w:t xml:space="preserve">Benjamini Y, Hochberg Y (1995) Controlling the false discovery rate: A practical and powerful approach to multiple testing. J. Royal Statist. Soc. Ser. B 57(1):289–300.</w:t>
      </w:r>
    </w:p>
    <w:p>
      <w:pPr>
        <w:spacing w:line="480"/>
        <w:ind w:left="720" w:hanging="720"/>
      </w:pPr>
      <w:r>
        <w:rPr>
          <w:rFonts w:ascii="Times New Roman" w:cs="Times New Roman" w:eastAsia="Times New Roman" w:hAnsi="Times New Roman"/>
          <w:sz w:val="24"/>
          <w:szCs w:val="24"/>
        </w:rPr>
        <w:t xml:space="preserve">Binz M, Akata E, Bethge M, et al. (2025) A foundation model to predict and capture human cognition. Nature 644:1002–1009.</w:t>
      </w:r>
    </w:p>
    <w:p>
      <w:pPr>
        <w:spacing w:line="480"/>
        <w:ind w:left="720" w:hanging="720"/>
      </w:pPr>
      <w:r>
        <w:rPr>
          <w:rFonts w:ascii="Times New Roman" w:cs="Times New Roman" w:eastAsia="Times New Roman" w:hAnsi="Times New Roman"/>
          <w:sz w:val="24"/>
          <w:szCs w:val="24"/>
        </w:rPr>
        <w:t xml:space="preserve">Carlini N, Tramèr F, Wallace E, et al. (2021) Extracting training data from large language models. 30th USENIX Security Sympos. (USENIX Association, Berkeley, CA), 2633–2650.</w:t>
      </w:r>
    </w:p>
    <w:p>
      <w:pPr>
        <w:spacing w:line="480"/>
        <w:ind w:left="720" w:hanging="720"/>
      </w:pPr>
      <w:r>
        <w:rPr>
          <w:rFonts w:ascii="Times New Roman" w:cs="Times New Roman" w:eastAsia="Times New Roman" w:hAnsi="Times New Roman"/>
          <w:sz w:val="24"/>
          <w:szCs w:val="24"/>
        </w:rPr>
        <w:t xml:space="preserve">Carlini N, Ippolito D, Jagielski M, et al. (2023) Quantifying memorization across neural language models. Internat. Conf. Learn. Representations.</w:t>
      </w:r>
    </w:p>
    <w:p>
      <w:pPr>
        <w:spacing w:line="480"/>
        <w:ind w:left="720" w:hanging="720"/>
      </w:pPr>
      <w:r>
        <w:rPr>
          <w:rFonts w:ascii="Times New Roman" w:cs="Times New Roman" w:eastAsia="Times New Roman" w:hAnsi="Times New Roman"/>
          <w:sz w:val="24"/>
          <w:szCs w:val="24"/>
        </w:rPr>
        <w:t xml:space="preserve">Gregor S (2006) The nature of theory in information systems. MIS Quart. 30(3):611–642.</w:t>
      </w:r>
    </w:p>
    <w:p>
      <w:pPr>
        <w:spacing w:line="480"/>
        <w:ind w:left="720" w:hanging="720"/>
      </w:pPr>
      <w:r>
        <w:rPr>
          <w:rFonts w:ascii="Times New Roman" w:cs="Times New Roman" w:eastAsia="Times New Roman" w:hAnsi="Times New Roman"/>
          <w:sz w:val="24"/>
          <w:szCs w:val="24"/>
        </w:rPr>
        <w:t xml:space="preserve">Güth W, Schmittberger R, Schwarze B (1982) An experimental analysis of ultimatum bargaining. J. Econom. Behav. Organ. 3(4):367–388.</w:t>
      </w:r>
    </w:p>
    <w:p>
      <w:pPr>
        <w:spacing w:line="480"/>
        <w:ind w:left="720" w:hanging="720"/>
      </w:pPr>
      <w:r>
        <w:rPr>
          <w:rFonts w:ascii="Times New Roman" w:cs="Times New Roman" w:eastAsia="Times New Roman" w:hAnsi="Times New Roman"/>
          <w:sz w:val="24"/>
          <w:szCs w:val="24"/>
        </w:rPr>
        <w:t xml:space="preserve">Hevner AR, March ST, Park J, Ram S (2004) Design science in information systems research. MIS Quart. 28(1):75–105.</w:t>
      </w:r>
    </w:p>
    <w:p>
      <w:pPr>
        <w:spacing w:line="480"/>
        <w:ind w:left="720" w:hanging="720"/>
      </w:pPr>
      <w:r>
        <w:rPr>
          <w:rFonts w:ascii="Times New Roman" w:cs="Times New Roman" w:eastAsia="Times New Roman" w:hAnsi="Times New Roman"/>
          <w:sz w:val="24"/>
          <w:szCs w:val="24"/>
        </w:rPr>
        <w:t xml:space="preserve">Horton JJ, Filippas A, Manning BS (2023) Large language models as simulated economic agents: What can we learn from homo silicus? NBER Working Paper 31122, National Bureau of Economic Research, Cambridge, MA.</w:t>
      </w:r>
    </w:p>
    <w:p>
      <w:pPr>
        <w:spacing w:line="480"/>
        <w:ind w:left="720" w:hanging="720"/>
      </w:pPr>
      <w:r>
        <w:rPr>
          <w:rFonts w:ascii="Times New Roman" w:cs="Times New Roman" w:eastAsia="Times New Roman" w:hAnsi="Times New Roman"/>
          <w:sz w:val="24"/>
          <w:szCs w:val="24"/>
        </w:rPr>
        <w:t xml:space="preserve">Huber J, Payne JW, Puto C (1982) Adding asymmetrically dominated alternatives: Violations of regularity and the similarity hypothesis. J. Consumer Res. 9(1):90–98.</w:t>
      </w:r>
    </w:p>
    <w:p>
      <w:pPr>
        <w:spacing w:line="480"/>
        <w:ind w:left="720" w:hanging="720"/>
      </w:pPr>
      <w:r>
        <w:rPr>
          <w:rFonts w:ascii="Times New Roman" w:cs="Times New Roman" w:eastAsia="Times New Roman" w:hAnsi="Times New Roman"/>
          <w:sz w:val="24"/>
          <w:szCs w:val="24"/>
        </w:rPr>
        <w:t xml:space="preserve">Hullman J, Broska D, Sun H, Shaw A (2026) This human study did not involve human subjects: Validating LLM simulations as behavioral evidence. Preprint, arXiv:2602.15785.</w:t>
      </w:r>
    </w:p>
    <w:p>
      <w:pPr>
        <w:spacing w:line="480"/>
        <w:ind w:left="720" w:hanging="720"/>
      </w:pPr>
      <w:r>
        <w:rPr>
          <w:rFonts w:ascii="Times New Roman" w:cs="Times New Roman" w:eastAsia="Times New Roman" w:hAnsi="Times New Roman"/>
          <w:sz w:val="24"/>
          <w:szCs w:val="24"/>
        </w:rPr>
        <w:t xml:space="preserve">Jachimowicz JM, Duncan S, Weber EU, Johnson EJ (2019) When and why defaults influence decisions: A meta-analysis of default effects. Behavioural Public Policy 3(2):159–186.</w:t>
      </w:r>
    </w:p>
    <w:p>
      <w:pPr>
        <w:spacing w:line="480"/>
        <w:ind w:left="720" w:hanging="720"/>
      </w:pPr>
      <w:r>
        <w:rPr>
          <w:rFonts w:ascii="Times New Roman" w:cs="Times New Roman" w:eastAsia="Times New Roman" w:hAnsi="Times New Roman"/>
          <w:sz w:val="24"/>
          <w:szCs w:val="24"/>
        </w:rPr>
        <w:t xml:space="preserve">Kahneman D, Tversky A (1979) Prospect theory: An analysis of decision under risk. Econometrica 47(2):263–291.</w:t>
      </w:r>
    </w:p>
    <w:p>
      <w:pPr>
        <w:spacing w:line="480"/>
        <w:ind w:left="720" w:hanging="720"/>
      </w:pPr>
      <w:r>
        <w:rPr>
          <w:rFonts w:ascii="Times New Roman" w:cs="Times New Roman" w:eastAsia="Times New Roman" w:hAnsi="Times New Roman"/>
          <w:sz w:val="24"/>
          <w:szCs w:val="24"/>
        </w:rPr>
        <w:t xml:space="preserve">Lieder F, Griffiths TL (2020) Resource-rational analysis: Understanding human cognition as the optimal use of limited computational resources. Behav. Brain Sci. 43:e1.</w:t>
      </w:r>
    </w:p>
    <w:p>
      <w:pPr>
        <w:spacing w:line="480"/>
        <w:ind w:left="720" w:hanging="720"/>
      </w:pPr>
      <w:r>
        <w:rPr>
          <w:rFonts w:ascii="Times New Roman" w:cs="Times New Roman" w:eastAsia="Times New Roman" w:hAnsi="Times New Roman"/>
          <w:sz w:val="24"/>
          <w:szCs w:val="24"/>
        </w:rPr>
        <w:t xml:space="preserve">Maiorano AC (2026) Do synthetic personas predict real audience response? A sim-to-real study where a no-persona baseline beats persona-based copy simulation. Preprint, arXiv:2609.25010.</w:t>
      </w:r>
    </w:p>
    <w:p>
      <w:pPr>
        <w:spacing w:line="480"/>
        <w:ind w:left="720" w:hanging="720"/>
      </w:pPr>
      <w:r>
        <w:rPr>
          <w:rFonts w:ascii="Times New Roman" w:cs="Times New Roman" w:eastAsia="Times New Roman" w:hAnsi="Times New Roman"/>
          <w:sz w:val="24"/>
          <w:szCs w:val="24"/>
        </w:rPr>
        <w:t xml:space="preserve">Matias JN, Munger K, Aubin Le Quere M, Ebersole C (2021) The Upworthy Research Archive, a time series of 32,487 experiments in U.S. media. Scientific Data 8:195.</w:t>
      </w:r>
    </w:p>
    <w:p>
      <w:pPr>
        <w:spacing w:line="480"/>
        <w:ind w:left="720" w:hanging="720"/>
      </w:pPr>
      <w:r>
        <w:rPr>
          <w:rFonts w:ascii="Times New Roman" w:cs="Times New Roman" w:eastAsia="Times New Roman" w:hAnsi="Times New Roman"/>
          <w:sz w:val="24"/>
          <w:szCs w:val="24"/>
        </w:rPr>
        <w:t xml:space="preserve">Persson J, Schultzberg M, Ankargren S (2026) Statistical foundations of LLM-based A/B testing: A surrogacy framework for human causal inference. Preprint, arXiv:2606.17165.</w:t>
      </w:r>
    </w:p>
    <w:p>
      <w:pPr>
        <w:spacing w:line="480"/>
        <w:ind w:left="720" w:hanging="720"/>
      </w:pPr>
      <w:r>
        <w:rPr>
          <w:rFonts w:ascii="Times New Roman" w:cs="Times New Roman" w:eastAsia="Times New Roman" w:hAnsi="Times New Roman"/>
          <w:sz w:val="24"/>
          <w:szCs w:val="24"/>
        </w:rPr>
        <w:t xml:space="preserve">Peng T, Gui G, Brucks M, et al. (2026) Digital twins are funhouse mirrors: Five systematic distortions. Preprint, arXiv:2509.19088.</w:t>
      </w:r>
    </w:p>
    <w:p>
      <w:pPr>
        <w:spacing w:line="480"/>
        <w:ind w:left="720" w:hanging="720"/>
      </w:pPr>
      <w:r>
        <w:rPr>
          <w:rFonts w:ascii="Times New Roman" w:cs="Times New Roman" w:eastAsia="Times New Roman" w:hAnsi="Times New Roman"/>
          <w:sz w:val="24"/>
          <w:szCs w:val="24"/>
        </w:rPr>
        <w:t xml:space="preserve">Toubia O, Gui GZ, Peng T, Merlau DJ, Li A, Chen H (2025) Twin-2K-500: A data set for building digital twins of over 2,000 people based on their answers to over 500 questions. Marketing Sci.</w:t>
      </w:r>
    </w:p>
    <w:p>
      <w:pPr>
        <w:spacing w:line="480"/>
        <w:ind w:left="720" w:hanging="720"/>
      </w:pPr>
      <w:r>
        <w:rPr>
          <w:rFonts w:ascii="Times New Roman" w:cs="Times New Roman" w:eastAsia="Times New Roman" w:hAnsi="Times New Roman"/>
          <w:sz w:val="24"/>
          <w:szCs w:val="24"/>
        </w:rPr>
        <w:t xml:space="preserve">Tversky A, Kahneman D (1974) Judgment under uncertainty: Heuristics and biases. Science 185(4157):1124–1131.</w:t>
      </w:r>
    </w:p>
    <w:p>
      <w:pPr>
        <w:spacing w:line="480"/>
        <w:ind w:left="720" w:hanging="720"/>
      </w:pPr>
      <w:r>
        <w:rPr>
          <w:rFonts w:ascii="Times New Roman" w:cs="Times New Roman" w:eastAsia="Times New Roman" w:hAnsi="Times New Roman"/>
          <w:sz w:val="24"/>
          <w:szCs w:val="24"/>
        </w:rPr>
        <w:t xml:space="preserve">Wang S, Hunt K, Tang S, Joseph K (2026) When can LLM digital twins reduce human measurement? From behavioral fidelity to statistical substitutability. Preprint, arXiv:2609.07987.</w:t>
      </w:r>
    </w:p>
    <w:p>
      <w:r>
        <w:br w:type="page"/>
      </w:r>
    </w:p>
    <w:p>
      <w:pPr>
        <w:pStyle w:val="Heading1"/>
        <w:keepNext/>
        <w:spacing w:after="0" w:before="240" w:line="480"/>
      </w:pPr>
      <w:r>
        <w:rPr>
          <w:rFonts w:ascii="Times New Roman" w:cs="Times New Roman" w:eastAsia="Times New Roman" w:hAnsi="Times New Roman"/>
          <w:b/>
          <w:bCs/>
          <w:sz w:val="24"/>
          <w:szCs w:val="24"/>
        </w:rPr>
        <w:t xml:space="preserve">Appendix A. Deviations from the Pre-registrations and Corrections</w:t>
      </w:r>
    </w:p>
    <w:p>
      <w:pPr>
        <w:spacing w:line="480"/>
        <w:ind w:firstLine="720"/>
      </w:pPr>
      <w:r>
        <w:rPr>
          <w:rFonts w:ascii="Times New Roman" w:cs="Times New Roman" w:eastAsia="Times New Roman" w:hAnsi="Times New Roman"/>
          <w:sz w:val="24"/>
          <w:szCs w:val="24"/>
        </w:rPr>
        <w:t xml:space="preserve">All registered predictions are reported, including those that were rejected. We list departures from the registered text. (1) C1 includes a theory-explicit persona architecture because proposition P6 requires it, although the registered conditions listed two architectures. (2) C1 used one booklet per respondent with independent random conditions for all items, instead of separate respondents per phenomenon, with the same per-cell sample of 600. (3) The attraction test used the binary versus decoy contrast only. (4) P1 and P3 were evaluated on the persona-summary architecture, a choice fixed in the analysis code before the C1 output was analyzed. (5) Because C1 contains no canonical fairness paradigm, P3 was tested for defaults only. (6) For C2, the calibration slope was defined as predicted on observed and was disattenuated for the sampling noise of observed differences, which was documented before the confirmatory evaluation, and the exclusion window was defined by date because the archive version had no randomization-risk flag. (7) The reasoning scale of Gemini 3.7 Flash is low, medium, high. (8) An indexing error in the Benjamini–Hochberg routine was found and corrected after the C2 evaluation, and all registered analyses were recomputed with no change in verdicts. (9) The stability study (S) is exploratory and was not registered.</w:t>
      </w:r>
    </w:p>
    <w:p>
      <w:pPr>
        <w:pStyle w:val="Heading1"/>
        <w:keepNext/>
        <w:spacing w:after="0" w:before="240" w:line="480"/>
      </w:pPr>
      <w:r>
        <w:rPr>
          <w:rFonts w:ascii="Times New Roman" w:cs="Times New Roman" w:eastAsia="Times New Roman" w:hAnsi="Times New Roman"/>
          <w:b/>
          <w:bCs/>
          <w:sz w:val="24"/>
          <w:szCs w:val="24"/>
        </w:rPr>
        <w:t xml:space="preserve">Appendix B. Data and Code</w:t>
      </w:r>
    </w:p>
    <w:p>
      <w:pPr>
        <w:spacing w:line="480"/>
        <w:ind w:firstLine="720"/>
      </w:pPr>
      <w:r>
        <w:rPr>
          <w:rFonts w:ascii="Times New Roman" w:cs="Times New Roman" w:eastAsia="Times New Roman" w:hAnsi="Times New Roman"/>
          <w:sz w:val="24"/>
          <w:szCs w:val="24"/>
        </w:rPr>
        <w:t xml:space="preserve">Prompts, model outputs, benchmark scripts, analysis code, the two pre-registrations (AsPredicted #320110 and #320124), and the commit history documenting the order of code and analysis are in the project repository. Human benchmarks derive from the Twin-2K-500 datasets (CC BY 4.0, Apache-2.0 for the mega-study) and the Upworthy Research Archive (OSF).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3f10ee83e46c33aa86f742c7f757d36a258e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2026-10-27T01:31:46.204Z</dcterms:created>
  <dcterms:modified xsi:type="dcterms:W3CDTF">2026-10-27T01:31:46.204Z</dcterms:modified>
</cp:coreProperties>
</file>

<file path=docProps/custom.xml><?xml version="1.0" encoding="utf-8"?>
<Properties xmlns="http://schemas.openxmlformats.org/officeDocument/2006/custom-properties" xmlns:vt="http://schemas.openxmlformats.org/officeDocument/2006/docPropsVTypes"/>
</file>