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three LLMs in two public transaction settings (mean counts of about 0.5 and 4.8) and in a randomized email experiment. Direct and day-by-day designs collapse toward a single value in both settings. Describing a distribution recovers part of the dispersion but under-produces zero counts. The hybrid matches dispersion only when the model’s mean is accurate. Promotion effects have the right sign in most settings, yet their size varies by an order of magnitude with model and prompt, and the absolute lift in purchase probability is overstated four- to 26-fold. We offer a diagnostic protocol for practitioners who consider synthetic customers for decision support.</w:t>
      </w:r>
    </w:p>
    <w:p>
      <w:pPr>
        <w:pStyle w:val="BodyText"/>
      </w:pPr>
      <w:r>
        <w:rPr>
          <w:bCs/>
          <w:b/>
        </w:rPr>
        <w:t xml:space="preserve">Keywords:</w:t>
      </w:r>
      <w:r>
        <w:t xml:space="preserve"> </w:t>
      </w:r>
      <w:r>
        <w:t xml:space="preserve">synthetic customers, large language models, purchase counts, overdispersion, customer heterogeneity, decision support,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three LLMs and two prompt variants, against two public transaction data sets whose mean counts differ by a factor of ten, and we test the same models against a randomized email experiment.</w:t>
      </w:r>
    </w:p>
    <w:p>
      <w:pPr>
        <w:pStyle w:val="BodyText"/>
      </w:pPr>
      <w:r>
        <w:t xml:space="preserve">The study makes four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by a large factor in every configuration we tested. Fourth, we translate these findings into a diagnostic protocol for practitioners.</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5"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research-gap"/>
    <w:p>
      <w:pPr>
        <w:pStyle w:val="Heading2"/>
      </w:pPr>
      <w:r>
        <w:t xml:space="preserve">2.4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4"/>
    <w:bookmarkEnd w:id="25"/>
    <w:bookmarkStart w:id="32" w:name="theoretical-framework-and-hypotheses"/>
    <w:p>
      <w:pPr>
        <w:pStyle w:val="Heading1"/>
      </w:pPr>
      <w:r>
        <w:t xml:space="preserve">3. Theoretical Framework and Hypotheses</w:t>
      </w:r>
    </w:p>
    <w:bookmarkStart w:id="26"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6"/>
    <w:bookmarkStart w:id="27"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7"/>
    <w:bookmarkStart w:id="28"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8"/>
    <w:bookmarkStart w:id="29"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29"/>
    <w:bookmarkStart w:id="30"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0"/>
    <w:bookmarkStart w:id="31"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1"/>
    <w:bookmarkEnd w:id="32"/>
    <w:bookmarkStart w:id="37" w:name="research-design"/>
    <w:p>
      <w:pPr>
        <w:pStyle w:val="Heading1"/>
      </w:pPr>
      <w:r>
        <w:t xml:space="preserve">4. Research Design</w:t>
      </w:r>
    </w:p>
    <w:bookmarkStart w:id="33"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3"/>
    <w:bookmarkStart w:id="34"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4"/>
    <w:bookmarkStart w:id="35" w:name="models-runs-and-measures"/>
    <w:p>
      <w:pPr>
        <w:pStyle w:val="Heading2"/>
      </w:pPr>
      <w:r>
        <w:t xml:space="preserve">4.3 Models, runs, and measures</w:t>
      </w:r>
    </w:p>
    <w:p>
      <w:pPr>
        <w:pStyle w:val="FirstParagraph"/>
      </w:pPr>
      <w:r>
        <w:t xml:space="preserve">We used GPT-4o-mini, Llama-3.3-70B-Instruct, and Claude Haiku 5.5, all through the OpenRouter interface. In the low-mean setting GPT-4o-mini and Llama were run at temperatures 0.3, 0.7, and 1.0 and the results pooled (600 customers per cell); in the high-mean and email settings the temperature was fixed at 0.7 (200 and 300 customers). Claude Haiku 5.5 does not accept a temperature setting, so it contributes one run per prompt variant; its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w:t>
      </w:r>
    </w:p>
    <w:bookmarkEnd w:id="35"/>
    <w:bookmarkStart w:id="36" w:name="email-experiment"/>
    <w:p>
      <w:pPr>
        <w:pStyle w:val="Heading2"/>
      </w:pPr>
      <w:r>
        <w:t xml:space="preserve">4.4 Email experiment</w:t>
      </w:r>
    </w:p>
    <w:p>
      <w:pPr>
        <w:pStyle w:val="FirstParagraph"/>
      </w:pPr>
      <w:r>
        <w:t xml:space="preserve">For each of 300 customers sampled from the real data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6"/>
    <w:bookmarkEnd w:id="37"/>
    <w:bookmarkStart w:id="50" w:name="results"/>
    <w:p>
      <w:pPr>
        <w:pStyle w:val="Heading1"/>
      </w:pPr>
      <w:r>
        <w:t xml:space="preserve">5. Results</w:t>
      </w:r>
    </w:p>
    <w:bookmarkStart w:id="41" w:name="overview"/>
    <w:p>
      <w:pPr>
        <w:pStyle w:val="Heading2"/>
      </w:pPr>
      <w:r>
        <w:t xml:space="preserve">5.1 Overview</w:t>
      </w:r>
    </w:p>
    <w:p>
      <w:pPr>
        <w:pStyle w:val="FirstParagraph"/>
        <w:spacing w:line="240" w:lineRule="auto"/>
        <w:ind w:firstLine="0"/>
      </w:pPr>
      <w:r>
        <w:t xml:space="preserve">Table 2 summarizes the first two settings by design. Appendix B gives all cells. The main pattern is that variance collapse is severe in designs A and B in both settings, that design C moves toward the real dispersion but loses zeros, and that design D matches dispersion in about half of the cells.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1.92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-0.00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0.57 to 13.57</w:t>
            </w:r>
          </w:p>
        </w:tc>
        <w:tc>
          <w:tcPr/>
          <w:p>
            <w:pPr>
              <w:pStyle w:val="Compact"/>
              <w:spacing w:before="20" w:after="20" w:line="240" w:lineRule="auto"/>
              <w:ind w:firstLine="0"/>
              <w:jc w:val="left"/>
            </w:pPr>
            <w:r>
              <w:rPr>
                <w:rFonts w:ascii="Times New Roman" w:hAnsi="Times New Roman"/>
                <w:sz w:val="17"/>
              </w:rPr>
              <w:t xml:space="preserve">0.25 to 1.26</w:t>
            </w:r>
          </w:p>
        </w:tc>
        <w:tc>
          <w:tcPr/>
          <w:p>
            <w:pPr>
              <w:pStyle w:val="Compact"/>
              <w:spacing w:before="20" w:after="20" w:line="240" w:lineRule="auto"/>
              <w:ind w:firstLine="0"/>
              <w:jc w:val="left"/>
            </w:pPr>
            <w:r>
              <w:rPr>
                <w:rFonts w:ascii="Times New Roman" w:hAnsi="Times New Roman"/>
                <w:sz w:val="17"/>
              </w:rPr>
              <w:t xml:space="preserve">0.00 to 0.63</w:t>
            </w:r>
          </w:p>
        </w:tc>
        <w:tc>
          <w:tcPr/>
          <w:p>
            <w:pPr>
              <w:pStyle w:val="Compact"/>
              <w:spacing w:before="20" w:after="20" w:line="240" w:lineRule="auto"/>
              <w:ind w:firstLine="0"/>
              <w:jc w:val="left"/>
            </w:pPr>
            <w:r>
              <w:rPr>
                <w:rFonts w:ascii="Times New Roman" w:hAnsi="Times New Roman"/>
                <w:sz w:val="17"/>
              </w:rPr>
              <w:t xml:space="preserve">-0.19 to 0.46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 to 1.34</w:t>
            </w:r>
          </w:p>
        </w:tc>
        <w:tc>
          <w:tcPr/>
          <w:p>
            <w:pPr>
              <w:pStyle w:val="Compact"/>
              <w:spacing w:before="20" w:after="20" w:line="240" w:lineRule="auto"/>
              <w:ind w:firstLine="0"/>
              <w:jc w:val="left"/>
            </w:pPr>
            <w:r>
              <w:rPr>
                <w:rFonts w:ascii="Times New Roman" w:hAnsi="Times New Roman"/>
                <w:sz w:val="17"/>
              </w:rPr>
              <w:t xml:space="preserve">0.96 to 1.59</w:t>
            </w:r>
          </w:p>
        </w:tc>
        <w:tc>
          <w:tcPr/>
          <w:p>
            <w:pPr>
              <w:pStyle w:val="Compact"/>
              <w:spacing w:before="20" w:after="20" w:line="240" w:lineRule="auto"/>
              <w:ind w:firstLine="0"/>
              <w:jc w:val="left"/>
            </w:pPr>
            <w:r>
              <w:rPr>
                <w:rFonts w:ascii="Times New Roman" w:hAnsi="Times New Roman"/>
                <w:sz w:val="17"/>
              </w:rPr>
              <w:t xml:space="preserve">0.32 to 0.68</w:t>
            </w:r>
          </w:p>
        </w:tc>
        <w:tc>
          <w:tcPr/>
          <w:p>
            <w:pPr>
              <w:pStyle w:val="Compact"/>
              <w:spacing w:before="20" w:after="20" w:line="240" w:lineRule="auto"/>
              <w:ind w:firstLine="0"/>
              <w:jc w:val="left"/>
            </w:pPr>
            <w:r>
              <w:rPr>
                <w:rFonts w:ascii="Times New Roman" w:hAnsi="Times New Roman"/>
                <w:sz w:val="17"/>
              </w:rPr>
              <w:t xml:space="preserve">-0.11 to 0.65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 to 1.00</w:t>
            </w:r>
          </w:p>
        </w:tc>
        <w:tc>
          <w:tcPr/>
          <w:p>
            <w:pPr>
              <w:pStyle w:val="Compact"/>
              <w:spacing w:before="20" w:after="20" w:line="240" w:lineRule="auto"/>
              <w:ind w:firstLine="0"/>
              <w:jc w:val="left"/>
            </w:pPr>
            <w:r>
              <w:rPr>
                <w:rFonts w:ascii="Times New Roman" w:hAnsi="Times New Roman"/>
                <w:sz w:val="17"/>
              </w:rPr>
              <w:t xml:space="preserve">1.95 to 3.36</w:t>
            </w:r>
          </w:p>
        </w:tc>
        <w:tc>
          <w:tcPr/>
          <w:p>
            <w:pPr>
              <w:pStyle w:val="Compact"/>
              <w:spacing w:before="20" w:after="20" w:line="240" w:lineRule="auto"/>
              <w:ind w:firstLine="0"/>
              <w:jc w:val="left"/>
            </w:pPr>
            <w:r>
              <w:rPr>
                <w:rFonts w:ascii="Times New Roman" w:hAnsi="Times New Roman"/>
                <w:sz w:val="17"/>
              </w:rPr>
              <w:t xml:space="preserve">0.61 to 0.75</w:t>
            </w:r>
          </w:p>
        </w:tc>
        <w:tc>
          <w:tcPr/>
          <w:p>
            <w:pPr>
              <w:pStyle w:val="Compact"/>
              <w:spacing w:before="20" w:after="20" w:line="240" w:lineRule="auto"/>
              <w:ind w:firstLine="0"/>
              <w:jc w:val="left"/>
            </w:pPr>
            <w:r>
              <w:rPr>
                <w:rFonts w:ascii="Times New Roman" w:hAnsi="Times New Roman"/>
                <w:sz w:val="17"/>
              </w:rPr>
              <w:t xml:space="preserve">1.91 to 3.52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 to 8.01</w:t>
            </w:r>
          </w:p>
        </w:tc>
        <w:tc>
          <w:tcPr/>
          <w:p>
            <w:pPr>
              <w:pStyle w:val="Compact"/>
              <w:spacing w:before="20" w:after="20" w:line="240" w:lineRule="auto"/>
              <w:ind w:firstLine="0"/>
              <w:jc w:val="left"/>
            </w:pPr>
            <w:r>
              <w:rPr>
                <w:rFonts w:ascii="Times New Roman" w:hAnsi="Times New Roman"/>
                <w:sz w:val="17"/>
              </w:rPr>
              <w:t xml:space="preserve">0.00 to 0.27</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7.11 to 16.57</w:t>
            </w:r>
          </w:p>
        </w:tc>
        <w:tc>
          <w:tcPr/>
          <w:p>
            <w:pPr>
              <w:pStyle w:val="Compact"/>
              <w:spacing w:before="20" w:after="20" w:line="240" w:lineRule="auto"/>
              <w:ind w:firstLine="0"/>
              <w:jc w:val="left"/>
            </w:pPr>
            <w:r>
              <w:rPr>
                <w:rFonts w:ascii="Times New Roman" w:hAnsi="Times New Roman"/>
                <w:sz w:val="17"/>
              </w:rPr>
              <w:t xml:space="preserve">0.04 to 0.25</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-0.11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5.21 to 6.96</w:t>
            </w:r>
          </w:p>
        </w:tc>
        <w:tc>
          <w:tcPr/>
          <w:p>
            <w:pPr>
              <w:pStyle w:val="Compact"/>
              <w:spacing w:before="20" w:after="20" w:line="240" w:lineRule="auto"/>
              <w:ind w:firstLine="0"/>
              <w:jc w:val="left"/>
            </w:pPr>
            <w:r>
              <w:rPr>
                <w:rFonts w:ascii="Times New Roman" w:hAnsi="Times New Roman"/>
                <w:sz w:val="17"/>
              </w:rPr>
              <w:t xml:space="preserve">4.05 to 6.28</w:t>
            </w:r>
          </w:p>
        </w:tc>
        <w:tc>
          <w:tcPr/>
          <w:p>
            <w:pPr>
              <w:pStyle w:val="Compact"/>
              <w:spacing w:before="20" w:after="20" w:line="240" w:lineRule="auto"/>
              <w:ind w:firstLine="0"/>
              <w:jc w:val="left"/>
            </w:pPr>
            <w:r>
              <w:rPr>
                <w:rFonts w:ascii="Times New Roman" w:hAnsi="Times New Roman"/>
                <w:sz w:val="17"/>
              </w:rPr>
              <w:t xml:space="preserve">0.01 to 0.12</w:t>
            </w:r>
          </w:p>
        </w:tc>
        <w:tc>
          <w:tcPr/>
          <w:p>
            <w:pPr>
              <w:pStyle w:val="Compact"/>
              <w:spacing w:before="20" w:after="20" w:line="240" w:lineRule="auto"/>
              <w:ind w:firstLine="0"/>
              <w:jc w:val="left"/>
            </w:pPr>
            <w:r>
              <w:rPr>
                <w:rFonts w:ascii="Times New Roman" w:hAnsi="Times New Roman"/>
                <w:sz w:val="17"/>
              </w:rPr>
              <w:t xml:space="preserve">0.50 to 0.96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 to 5.80</w:t>
            </w:r>
          </w:p>
        </w:tc>
        <w:tc>
          <w:tcPr/>
          <w:p>
            <w:pPr>
              <w:pStyle w:val="Compact"/>
              <w:spacing w:before="20" w:after="20" w:line="240" w:lineRule="auto"/>
              <w:ind w:firstLine="0"/>
              <w:jc w:val="left"/>
            </w:pPr>
            <w:r>
              <w:rPr>
                <w:rFonts w:ascii="Times New Roman" w:hAnsi="Times New Roman"/>
                <w:sz w:val="17"/>
              </w:rPr>
              <w:t xml:space="preserve">3.95 to 9.66</w:t>
            </w:r>
          </w:p>
        </w:tc>
        <w:tc>
          <w:tcPr/>
          <w:p>
            <w:pPr>
              <w:pStyle w:val="Compact"/>
              <w:spacing w:before="20" w:after="20" w:line="240" w:lineRule="auto"/>
              <w:ind w:firstLine="0"/>
              <w:jc w:val="left"/>
            </w:pPr>
            <w:r>
              <w:rPr>
                <w:rFonts w:ascii="Times New Roman" w:hAnsi="Times New Roman"/>
                <w:sz w:val="17"/>
              </w:rPr>
              <w:t xml:space="preserve">0.18 to 0.31</w:t>
            </w:r>
          </w:p>
        </w:tc>
        <w:tc>
          <w:tcPr/>
          <w:p>
            <w:pPr>
              <w:pStyle w:val="Compact"/>
              <w:spacing w:before="20" w:after="20" w:line="240" w:lineRule="auto"/>
              <w:ind w:firstLine="0"/>
              <w:jc w:val="left"/>
            </w:pPr>
            <w:r>
              <w:rPr>
                <w:rFonts w:ascii="Times New Roman" w:hAnsi="Times New Roman"/>
                <w:sz w:val="17"/>
              </w:rPr>
              <w:t xml:space="preserve">0.77 to 1.88</w:t>
            </w:r>
          </w:p>
        </w:tc>
      </w:tr>
    </w:tbl>
    <w:p>
      <w:pPr>
        <w:pStyle w:val="BodyText"/>
        <w:spacing w:line="240" w:lineRule="auto"/>
        <w:ind w:firstLine="0"/>
      </w:pPr>
      <w:r>
        <w:rPr>
          <w:iCs/>
          <w:i/>
        </w:rPr>
        <w:t xml:space="preserve">Table 2. Range of results across the six model-and-prompt cells of each design.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2667000"/>
            <wp:effectExtent b="0" l="0" r="0" t="0"/>
            <wp:docPr descr="Figure 1. Variance-to-mean ratio of simulated purchase counts with 95% intervals. The dashed line is the real value; the dotted line is the largest value that design C can reach with its count bins. Filled markers: plain prompt; hollow markers: anchored prompt." title="" id="39" name="Picture"/>
            <a:graphic>
              <a:graphicData uri="http://schemas.openxmlformats.org/drawingml/2006/picture">
                <pic:pic>
                  <pic:nvPicPr>
                    <pic:cNvPr descr="fig1_dispersion.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The dashed line is the real value; the dotted line is the largest value that design C can reach with its count bins. Filled markers: plain prompt; hollow markers: anchored prompt.</w:t>
      </w:r>
    </w:p>
    <w:bookmarkEnd w:id="41"/>
    <w:bookmarkStart w:id="42" w:name="low-mean-setting"/>
    <w:p>
      <w:pPr>
        <w:pStyle w:val="Heading2"/>
      </w:pPr>
      <w:r>
        <w:t xml:space="preserve">5.2 Low-mean setting</w:t>
      </w:r>
    </w:p>
    <w:p>
      <w:pPr>
        <w:pStyle w:val="FirstParagraph"/>
      </w:pPr>
      <w:r>
        <w:t xml:space="preserve">No direct or daily design reproduces the real dispersion. In all 18 cells of designs A, B, and C the upper bound of the variance-to-mean interval is below the reference of 2.49 (Table B1, Figure 1a). Direct answers are the most compressed, with ratios of at most 0.57 (excluding the degenerate all-zero cell). Under the anchored prompt Llama answered</w:t>
      </w:r>
      <w:r>
        <w:t xml:space="preserve"> </w:t>
      </w:r>
      <w:r>
        <w:t xml:space="preserve">“</w:t>
      </w:r>
      <w:r>
        <w:t xml:space="preserve">0</w:t>
      </w:r>
      <w:r>
        <w:t xml:space="preserve">”</w:t>
      </w:r>
      <w:r>
        <w:t xml:space="preserve"> </w:t>
      </w:r>
      <w:r>
        <w:t xml:space="preserve">and GPT-4o-mini answered</w:t>
      </w:r>
      <w:r>
        <w:t xml:space="preserve"> </w:t>
      </w:r>
      <w:r>
        <w:t xml:space="preserve">“</w:t>
      </w:r>
      <w:r>
        <w:t xml:space="preserve">1</w:t>
      </w:r>
      <w:r>
        <w:t xml:space="preserve">”</w:t>
      </w:r>
      <w:r>
        <w:t xml:space="preserve"> </w:t>
      </w:r>
      <w:r>
        <w:t xml:space="preserve">for practically every customer; in both cases the answer carries no persona information. Daily simulation overstates the mean without the anchor (GPT-4o-mini: 13.6 purchases in 28 days) and stays close to Poisson or below it. Describing a distribution reaches ratios of 0.96 to 1.59, comparable to or above daily simulation, but remains below its own ceiling of 2.10 in every cell, and its zero share is too low (0.32 to 0.68, against 0.74).</w:t>
      </w:r>
    </w:p>
    <w:p>
      <w:pPr>
        <w:pStyle w:val="BodyText"/>
      </w:pPr>
      <w:r>
        <w:t xml:space="preserve">The hybrid matches the reference ratio in three of six cells (both Claude Haiku cells and GPT-4o-mini plain). This agreement is partly by construction, because the gamma multiplier injects the dispersion. What the model contributes is the mean, and the means differ: Llama’s anchored mean is twice the reference (1.00 against 0.49).</w:t>
      </w:r>
    </w:p>
    <w:bookmarkEnd w:id="42"/>
    <w:bookmarkStart w:id="43" w:name="high-mean-setting"/>
    <w:p>
      <w:pPr>
        <w:pStyle w:val="Heading2"/>
      </w:pPr>
      <w:r>
        <w:t xml:space="preserve">5.3 High-mean setting</w:t>
      </w:r>
    </w:p>
    <w:p>
      <w:pPr>
        <w:pStyle w:val="FirstParagraph"/>
      </w:pPr>
      <w:r>
        <w:t xml:space="preserve">A higher mean does not relieve the collapse of direct answers (Table B2, Figure 1b). Ratios for design A lie between 0.00 and 0.27 against a reference of 7.85; GPT-4o-mini and Llama answered</w:t>
      </w:r>
      <w:r>
        <w:t xml:space="preserve"> </w:t>
      </w:r>
      <w:r>
        <w:t xml:space="preserve">“</w:t>
      </w:r>
      <w:r>
        <w:t xml:space="preserve">8</w:t>
      </w:r>
      <w:r>
        <w:t xml:space="preserve">”</w:t>
      </w:r>
      <w:r>
        <w:t xml:space="preserve"> </w:t>
      </w:r>
      <w:r>
        <w:t xml:space="preserve">for practically every customer without the anchor, and GPT-4o-mini answered</w:t>
      </w:r>
      <w:r>
        <w:t xml:space="preserve"> </w:t>
      </w:r>
      <w:r>
        <w:t xml:space="preserve">“</w:t>
      </w:r>
      <w:r>
        <w:t xml:space="preserve">5</w:t>
      </w:r>
      <w:r>
        <w:t xml:space="preserve">”</w:t>
      </w:r>
      <w:r>
        <w:t xml:space="preserve"> </w:t>
      </w:r>
      <w:r>
        <w:t xml:space="preserve">for everyone with it. Daily simulation again overstates the mean (7.1 to 16.6 trips against 4.84) and has almost no dispersion. In 17 of the 18 cells of designs A, B, and C the variance-to-mean interval lies entirely below the reference.</w:t>
      </w:r>
    </w:p>
    <w:p>
      <w:pPr>
        <w:pStyle w:val="BodyText"/>
      </w:pPr>
      <w:r>
        <w:t xml:space="preserve">Describing a distribution behaves better here. With the anchor, the intervals of all three models contain the ceiling of 6.61, and</w:t>
      </w:r>
      <w:r>
        <w:t xml:space="preserve"> </w:t>
      </w:r>
      <m:oMath>
        <m:r>
          <m:t>α</m:t>
        </m:r>
      </m:oMath>
      <w:r>
        <w:t xml:space="preserve"> </w:t>
      </w:r>
      <w:r>
        <w:t xml:space="preserve">(0.80 to 0.96) approaches the attainable 1.18; the plain variants stay below it. Its weak point is the zero share: 0.01 to 0.12 against the real 0.19. The hybrid again matches the reference dispersion in four of six cells, but its mean is unstable (2.94 for Haiku with the anchor, 5.80 for GPT-4o-mini without it).</w:t>
      </w:r>
    </w:p>
    <w:bookmarkEnd w:id="43"/>
    <w:bookmarkStart w:id="44"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a mean near 5. It does not. Variance-to-mean ratios of direct answers are at most 0.57 at a mean of 0.5 and at most 0.27 at a mean of 4.8, and in both settings models often return a single value for every customer. Collapse of direct answers is therefore not a rounding artifact of low means.</w:t>
      </w:r>
    </w:p>
    <w:bookmarkEnd w:id="44"/>
    <w:bookmarkStart w:id="48" w:name="randomized-email-experiment"/>
    <w:p>
      <w:pPr>
        <w:pStyle w:val="Heading2"/>
      </w:pPr>
      <w:r>
        <w:t xml:space="preserve">5.5 Randomized email experiment</w:t>
      </w:r>
    </w:p>
    <w:p>
      <w:pPr>
        <w:pStyle w:val="FirstParagraph"/>
        <w:spacing w:line="240" w:lineRule="auto"/>
        <w:ind w:firstLine="0"/>
      </w:pPr>
      <w:r>
        <w:t xml:space="preserve">Table 3 reports the elicited-probability design (the most stable of the three formats we tried), and Figure 2 shows the absolute lift for the men’s email.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0.262</w:t>
            </w:r>
          </w:p>
        </w:tc>
        <w:tc>
          <w:tcPr/>
          <w:p>
            <w:pPr>
              <w:pStyle w:val="Compact"/>
              <w:spacing w:before="20" w:after="20" w:line="240" w:lineRule="auto"/>
              <w:ind w:firstLine="0"/>
              <w:jc w:val="left"/>
            </w:pPr>
            <w:r>
              <w:rPr>
                <w:rFonts w:ascii="Times New Roman" w:hAnsi="Times New Roman"/>
                <w:sz w:val="17"/>
              </w:rPr>
              <w:t xml:space="preserve">+0.199 [+0.172, +0.223]*</w:t>
            </w:r>
          </w:p>
        </w:tc>
        <w:tc>
          <w:tcPr/>
          <w:p>
            <w:pPr>
              <w:pStyle w:val="Compact"/>
              <w:spacing w:before="20" w:after="20" w:line="240" w:lineRule="auto"/>
              <w:ind w:firstLine="0"/>
              <w:jc w:val="left"/>
            </w:pPr>
            <w:r>
              <w:rPr>
                <w:rFonts w:ascii="Times New Roman" w:hAnsi="Times New Roman"/>
                <w:sz w:val="17"/>
              </w:rPr>
              <w:t xml:space="preserve">+0.207 [+0.184, +0.234]*</w:t>
            </w:r>
          </w:p>
        </w:tc>
        <w:tc>
          <w:tcPr/>
          <w:p>
            <w:pPr>
              <w:pStyle w:val="Compact"/>
              <w:spacing w:before="20" w:after="20" w:line="240" w:lineRule="auto"/>
              <w:ind w:firstLine="0"/>
              <w:jc w:val="left"/>
            </w:pPr>
            <w:r>
              <w:rPr>
                <w:rFonts w:ascii="Times New Roman" w:hAnsi="Times New Roman"/>
                <w:sz w:val="17"/>
              </w:rPr>
              <w:t xml:space="preserve">-0.009 [-0.058, +0.036]</w:t>
            </w:r>
          </w:p>
        </w:tc>
        <w:tc>
          <w:tcPr/>
          <w:p>
            <w:pPr>
              <w:pStyle w:val="Compact"/>
              <w:spacing w:before="20" w:after="20" w:line="240" w:lineRule="auto"/>
              <w:ind w:firstLine="0"/>
              <w:jc w:val="left"/>
            </w:pPr>
            <w:r>
              <w:rPr>
                <w:rFonts w:ascii="Times New Roman" w:hAnsi="Times New Roman"/>
                <w:sz w:val="17"/>
              </w:rPr>
              <w:t xml:space="preserve">1.76</w:t>
            </w:r>
          </w:p>
        </w:tc>
        <w:tc>
          <w:tcPr/>
          <w:p>
            <w:pPr>
              <w:pStyle w:val="Compact"/>
              <w:spacing w:before="20" w:after="20" w:line="240" w:lineRule="auto"/>
              <w:ind w:firstLine="0"/>
              <w:jc w:val="left"/>
            </w:pPr>
            <w:r>
              <w:rPr>
                <w:rFonts w:ascii="Times New Roman" w:hAnsi="Times New Roman"/>
                <w:sz w:val="17"/>
              </w:rPr>
              <w:t xml:space="preserve">1.79*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+0.001 [+0.000, +0.003]*</w:t>
            </w:r>
          </w:p>
        </w:tc>
        <w:tc>
          <w:tcPr/>
          <w:p>
            <w:pPr>
              <w:pStyle w:val="Compact"/>
              <w:spacing w:before="20" w:after="20" w:line="240" w:lineRule="auto"/>
              <w:ind w:firstLine="0"/>
              <w:jc w:val="left"/>
            </w:pPr>
            <w:r>
              <w:rPr>
                <w:rFonts w:ascii="Times New Roman" w:hAnsi="Times New Roman"/>
                <w:sz w:val="17"/>
              </w:rPr>
              <w:t xml:space="preserve">+0.006 [+0.003, +0.010]*</w:t>
            </w:r>
          </w:p>
        </w:tc>
        <w:tc>
          <w:tcPr/>
          <w:p>
            <w:pPr>
              <w:pStyle w:val="Compact"/>
              <w:spacing w:before="20" w:after="20" w:line="240" w:lineRule="auto"/>
              <w:ind w:firstLine="0"/>
              <w:jc w:val="left"/>
            </w:pPr>
            <w:r>
              <w:rPr>
                <w:rFonts w:ascii="Times New Roman" w:hAnsi="Times New Roman"/>
                <w:sz w:val="17"/>
              </w:rPr>
              <w:t xml:space="preserve">-0.005 [-0.010, -0.001]*</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1.06*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0.300</w:t>
            </w:r>
          </w:p>
        </w:tc>
        <w:tc>
          <w:tcPr/>
          <w:p>
            <w:pPr>
              <w:pStyle w:val="Compact"/>
              <w:spacing w:before="20" w:after="20" w:line="240" w:lineRule="auto"/>
              <w:ind w:firstLine="0"/>
              <w:jc w:val="left"/>
            </w:pPr>
            <w:r>
              <w:rPr>
                <w:rFonts w:ascii="Times New Roman" w:hAnsi="Times New Roman"/>
                <w:sz w:val="17"/>
              </w:rPr>
              <w:t xml:space="preserve">+0.071 [+0.046, +0.094]</w:t>
            </w:r>
          </w:p>
        </w:tc>
        <w:tc>
          <w:tcPr/>
          <w:p>
            <w:pPr>
              <w:pStyle w:val="Compact"/>
              <w:spacing w:before="20" w:after="20" w:line="240" w:lineRule="auto"/>
              <w:ind w:firstLine="0"/>
              <w:jc w:val="left"/>
            </w:pPr>
            <w:r>
              <w:rPr>
                <w:rFonts w:ascii="Times New Roman" w:hAnsi="Times New Roman"/>
                <w:sz w:val="17"/>
              </w:rPr>
              <w:t xml:space="preserve">+0.048 [+0.024, +0.074]</w:t>
            </w:r>
          </w:p>
        </w:tc>
        <w:tc>
          <w:tcPr/>
          <w:p>
            <w:pPr>
              <w:pStyle w:val="Compact"/>
              <w:spacing w:before="20" w:after="20" w:line="240" w:lineRule="auto"/>
              <w:ind w:firstLine="0"/>
              <w:jc w:val="left"/>
            </w:pPr>
            <w:r>
              <w:rPr>
                <w:rFonts w:ascii="Times New Roman" w:hAnsi="Times New Roman"/>
                <w:sz w:val="17"/>
              </w:rPr>
              <w:t xml:space="preserve">+0.023 [-0.021, +0.061]</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[+0.032, +0.043]*</w:t>
            </w:r>
          </w:p>
        </w:tc>
        <w:tc>
          <w:tcPr/>
          <w:p>
            <w:pPr>
              <w:pStyle w:val="Compact"/>
              <w:spacing w:before="20" w:after="20" w:line="240" w:lineRule="auto"/>
              <w:ind w:firstLine="0"/>
              <w:jc w:val="left"/>
            </w:pPr>
            <w:r>
              <w:rPr>
                <w:rFonts w:ascii="Times New Roman" w:hAnsi="Times New Roman"/>
                <w:sz w:val="17"/>
              </w:rPr>
              <w:t xml:space="preserve">+0.036 [+0.031, +0.043]*</w:t>
            </w:r>
          </w:p>
        </w:tc>
        <w:tc>
          <w:tcPr/>
          <w:p>
            <w:pPr>
              <w:pStyle w:val="Compact"/>
              <w:spacing w:before="20" w:after="20" w:line="240" w:lineRule="auto"/>
              <w:ind w:firstLine="0"/>
              <w:jc w:val="left"/>
            </w:pPr>
            <w:r>
              <w:rPr>
                <w:rFonts w:ascii="Times New Roman" w:hAnsi="Times New Roman"/>
                <w:sz w:val="17"/>
              </w:rPr>
              <w:t xml:space="preserve">+0.001 [-0.009, +0.011]*</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0.159</w:t>
            </w:r>
          </w:p>
        </w:tc>
        <w:tc>
          <w:tcPr/>
          <w:p>
            <w:pPr>
              <w:pStyle w:val="Compact"/>
              <w:spacing w:before="20" w:after="20" w:line="240" w:lineRule="auto"/>
              <w:ind w:firstLine="0"/>
              <w:jc w:val="left"/>
            </w:pPr>
            <w:r>
              <w:rPr>
                <w:rFonts w:ascii="Times New Roman" w:hAnsi="Times New Roman"/>
                <w:sz w:val="17"/>
              </w:rPr>
              <w:t xml:space="preserve">+0.078 [+0.062, +0.093]</w:t>
            </w:r>
          </w:p>
        </w:tc>
        <w:tc>
          <w:tcPr/>
          <w:p>
            <w:pPr>
              <w:pStyle w:val="Compact"/>
              <w:spacing w:before="20" w:after="20" w:line="240" w:lineRule="auto"/>
              <w:ind w:firstLine="0"/>
              <w:jc w:val="left"/>
            </w:pPr>
            <w:r>
              <w:rPr>
                <w:rFonts w:ascii="Times New Roman" w:hAnsi="Times New Roman"/>
                <w:sz w:val="17"/>
              </w:rPr>
              <w:t xml:space="preserve">+0.082 [+0.068, +0.097]*</w:t>
            </w:r>
          </w:p>
        </w:tc>
        <w:tc>
          <w:tcPr/>
          <w:p>
            <w:pPr>
              <w:pStyle w:val="Compact"/>
              <w:spacing w:before="20" w:after="20" w:line="240" w:lineRule="auto"/>
              <w:ind w:firstLine="0"/>
              <w:jc w:val="left"/>
            </w:pPr>
            <w:r>
              <w:rPr>
                <w:rFonts w:ascii="Times New Roman" w:hAnsi="Times New Roman"/>
                <w:sz w:val="17"/>
              </w:rPr>
              <w:t xml:space="preserve">-0.005 [-0.030, +0.019]*</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[+0.151, +0.168]*</w:t>
            </w:r>
          </w:p>
        </w:tc>
        <w:tc>
          <w:tcPr/>
          <w:p>
            <w:pPr>
              <w:pStyle w:val="Compact"/>
              <w:spacing w:before="20" w:after="20" w:line="240" w:lineRule="auto"/>
              <w:ind w:firstLine="0"/>
              <w:jc w:val="left"/>
            </w:pPr>
            <w:r>
              <w:rPr>
                <w:rFonts w:ascii="Times New Roman" w:hAnsi="Times New Roman"/>
                <w:sz w:val="17"/>
              </w:rPr>
              <w:t xml:space="preserve">+0.158 [+0.150, +0.167]*</w:t>
            </w:r>
          </w:p>
        </w:tc>
        <w:tc>
          <w:tcPr/>
          <w:p>
            <w:pPr>
              <w:pStyle w:val="Compact"/>
              <w:spacing w:before="20" w:after="20" w:line="240" w:lineRule="auto"/>
              <w:ind w:firstLine="0"/>
              <w:jc w:val="left"/>
            </w:pPr>
            <w:r>
              <w:rPr>
                <w:rFonts w:ascii="Times New Roman" w:hAnsi="Times New Roman"/>
                <w:sz w:val="17"/>
              </w:rPr>
              <w:t xml:space="preserve">+0.001 [-0.011, +0.014]*</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0.156</w:t>
            </w:r>
          </w:p>
        </w:tc>
        <w:tc>
          <w:tcPr/>
          <w:p>
            <w:pPr>
              <w:pStyle w:val="Compact"/>
              <w:spacing w:before="20" w:after="20" w:line="240" w:lineRule="auto"/>
              <w:ind w:firstLine="0"/>
              <w:jc w:val="left"/>
            </w:pPr>
            <w:r>
              <w:rPr>
                <w:rFonts w:ascii="Times New Roman" w:hAnsi="Times New Roman"/>
                <w:sz w:val="17"/>
              </w:rPr>
              <w:t xml:space="preserve">+0.180 [+0.155, +0.206]*</w:t>
            </w:r>
          </w:p>
        </w:tc>
        <w:tc>
          <w:tcPr/>
          <w:p>
            <w:pPr>
              <w:pStyle w:val="Compact"/>
              <w:spacing w:before="20" w:after="20" w:line="240" w:lineRule="auto"/>
              <w:ind w:firstLine="0"/>
              <w:jc w:val="left"/>
            </w:pPr>
            <w:r>
              <w:rPr>
                <w:rFonts w:ascii="Times New Roman" w:hAnsi="Times New Roman"/>
                <w:sz w:val="17"/>
              </w:rPr>
              <w:t xml:space="preserve">+0.196 [+0.173, +0.220]*</w:t>
            </w:r>
          </w:p>
        </w:tc>
        <w:tc>
          <w:tcPr/>
          <w:p>
            <w:pPr>
              <w:pStyle w:val="Compact"/>
              <w:spacing w:before="20" w:after="20" w:line="240" w:lineRule="auto"/>
              <w:ind w:firstLine="0"/>
              <w:jc w:val="left"/>
            </w:pPr>
            <w:r>
              <w:rPr>
                <w:rFonts w:ascii="Times New Roman" w:hAnsi="Times New Roman"/>
                <w:sz w:val="17"/>
              </w:rPr>
              <w:t xml:space="preserve">-0.017 [-0.062, +0.028]</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2.26*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0.063</w:t>
            </w:r>
          </w:p>
        </w:tc>
        <w:tc>
          <w:tcPr/>
          <w:p>
            <w:pPr>
              <w:pStyle w:val="Compact"/>
              <w:spacing w:before="20" w:after="20" w:line="240" w:lineRule="auto"/>
              <w:ind w:firstLine="0"/>
              <w:jc w:val="left"/>
            </w:pPr>
            <w:r>
              <w:rPr>
                <w:rFonts w:ascii="Times New Roman" w:hAnsi="Times New Roman"/>
                <w:sz w:val="17"/>
              </w:rPr>
              <w:t xml:space="preserve">+0.027 [+0.020, +0.035]*</w:t>
            </w:r>
          </w:p>
        </w:tc>
        <w:tc>
          <w:tcPr/>
          <w:p>
            <w:pPr>
              <w:pStyle w:val="Compact"/>
              <w:spacing w:before="20" w:after="20" w:line="240" w:lineRule="auto"/>
              <w:ind w:firstLine="0"/>
              <w:jc w:val="left"/>
            </w:pPr>
            <w:r>
              <w:rPr>
                <w:rFonts w:ascii="Times New Roman" w:hAnsi="Times New Roman"/>
                <w:sz w:val="17"/>
              </w:rPr>
              <w:t xml:space="preserve">+0.051 [+0.042, +0.059]*</w:t>
            </w:r>
          </w:p>
        </w:tc>
        <w:tc>
          <w:tcPr/>
          <w:p>
            <w:pPr>
              <w:pStyle w:val="Compact"/>
              <w:spacing w:before="20" w:after="20" w:line="240" w:lineRule="auto"/>
              <w:ind w:firstLine="0"/>
              <w:jc w:val="left"/>
            </w:pPr>
            <w:r>
              <w:rPr>
                <w:rFonts w:ascii="Times New Roman" w:hAnsi="Times New Roman"/>
                <w:sz w:val="17"/>
              </w:rPr>
              <w:t xml:space="preserve">-0.023 [-0.034, -0.012]*</w:t>
            </w:r>
          </w:p>
        </w:tc>
        <w:tc>
          <w:tcPr/>
          <w:p>
            <w:pPr>
              <w:pStyle w:val="Compact"/>
              <w:spacing w:before="20" w:after="20" w:line="240" w:lineRule="auto"/>
              <w:ind w:firstLine="0"/>
              <w:jc w:val="left"/>
            </w:pPr>
            <w:r>
              <w:rPr>
                <w:rFonts w:ascii="Times New Roman" w:hAnsi="Times New Roman"/>
                <w:sz w:val="17"/>
              </w:rPr>
              <w:t xml:space="preserve">1.44*</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0.090</w:t>
            </w:r>
          </w:p>
        </w:tc>
        <w:tc>
          <w:tcPr/>
          <w:p>
            <w:pPr>
              <w:pStyle w:val="Compact"/>
              <w:spacing w:before="20" w:after="20" w:line="240" w:lineRule="auto"/>
              <w:ind w:firstLine="0"/>
              <w:jc w:val="left"/>
            </w:pPr>
            <w:r>
              <w:rPr>
                <w:rFonts w:ascii="Times New Roman" w:hAnsi="Times New Roman"/>
                <w:sz w:val="17"/>
              </w:rPr>
              <w:t xml:space="preserve">+0.162 [+0.140, +0.186]*</w:t>
            </w:r>
          </w:p>
        </w:tc>
        <w:tc>
          <w:tcPr/>
          <w:p>
            <w:pPr>
              <w:pStyle w:val="Compact"/>
              <w:spacing w:before="20" w:after="20" w:line="240" w:lineRule="auto"/>
              <w:ind w:firstLine="0"/>
              <w:jc w:val="left"/>
            </w:pPr>
            <w:r>
              <w:rPr>
                <w:rFonts w:ascii="Times New Roman" w:hAnsi="Times New Roman"/>
                <w:sz w:val="17"/>
              </w:rPr>
              <w:t xml:space="preserve">+0.152 [+0.127, +0.178]*</w:t>
            </w:r>
          </w:p>
        </w:tc>
        <w:tc>
          <w:tcPr/>
          <w:p>
            <w:pPr>
              <w:pStyle w:val="Compact"/>
              <w:spacing w:before="20" w:after="20" w:line="240" w:lineRule="auto"/>
              <w:ind w:firstLine="0"/>
              <w:jc w:val="left"/>
            </w:pPr>
            <w:r>
              <w:rPr>
                <w:rFonts w:ascii="Times New Roman" w:hAnsi="Times New Roman"/>
                <w:sz w:val="17"/>
              </w:rPr>
              <w:t xml:space="preserve">+0.011 [-0.036, +0.057]</w:t>
            </w:r>
          </w:p>
        </w:tc>
        <w:tc>
          <w:tcPr/>
          <w:p>
            <w:pPr>
              <w:pStyle w:val="Compact"/>
              <w:spacing w:before="20" w:after="20" w:line="240" w:lineRule="auto"/>
              <w:ind w:firstLine="0"/>
              <w:jc w:val="left"/>
            </w:pPr>
            <w:r>
              <w:rPr>
                <w:rFonts w:ascii="Times New Roman" w:hAnsi="Times New Roman"/>
                <w:sz w:val="17"/>
              </w:rPr>
              <w:t xml:space="preserve">2.81*</w:t>
            </w:r>
          </w:p>
        </w:tc>
        <w:tc>
          <w:tcPr/>
          <w:p>
            <w:pPr>
              <w:pStyle w:val="Compact"/>
              <w:spacing w:before="20" w:after="20" w:line="240" w:lineRule="auto"/>
              <w:ind w:firstLine="0"/>
              <w:jc w:val="left"/>
            </w:pPr>
            <w:r>
              <w:rPr>
                <w:rFonts w:ascii="Times New Roman" w:hAnsi="Times New Roman"/>
                <w:sz w:val="17"/>
              </w:rPr>
              <w:t xml:space="preserve">2.69*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+0.163 [+0.140, +0.186]*</w:t>
            </w:r>
          </w:p>
        </w:tc>
        <w:tc>
          <w:tcPr/>
          <w:p>
            <w:pPr>
              <w:pStyle w:val="Compact"/>
              <w:spacing w:before="20" w:after="20" w:line="240" w:lineRule="auto"/>
              <w:ind w:firstLine="0"/>
              <w:jc w:val="left"/>
            </w:pPr>
            <w:r>
              <w:rPr>
                <w:rFonts w:ascii="Times New Roman" w:hAnsi="Times New Roman"/>
                <w:sz w:val="17"/>
              </w:rPr>
              <w:t xml:space="preserve">+0.156 [+0.135, +0.180]*</w:t>
            </w:r>
          </w:p>
        </w:tc>
        <w:tc>
          <w:tcPr/>
          <w:p>
            <w:pPr>
              <w:pStyle w:val="Compact"/>
              <w:spacing w:before="20" w:after="20" w:line="240" w:lineRule="auto"/>
              <w:ind w:firstLine="0"/>
              <w:jc w:val="left"/>
            </w:pPr>
            <w:r>
              <w:rPr>
                <w:rFonts w:ascii="Times New Roman" w:hAnsi="Times New Roman"/>
                <w:sz w:val="17"/>
              </w:rPr>
              <w:t xml:space="preserve">+0.006 [-0.035, +0.045]</w:t>
            </w:r>
          </w:p>
        </w:tc>
        <w:tc>
          <w:tcPr/>
          <w:p>
            <w:pPr>
              <w:pStyle w:val="Compact"/>
              <w:spacing w:before="20" w:after="20" w:line="240" w:lineRule="auto"/>
              <w:ind w:firstLine="0"/>
              <w:jc w:val="left"/>
            </w:pPr>
            <w:r>
              <w:rPr>
                <w:rFonts w:ascii="Times New Roman" w:hAnsi="Times New Roman"/>
                <w:sz w:val="17"/>
              </w:rPr>
              <w:t xml:space="preserve">45.10*</w:t>
            </w:r>
          </w:p>
        </w:tc>
        <w:tc>
          <w:tcPr/>
          <w:p>
            <w:pPr>
              <w:pStyle w:val="Compact"/>
              <w:spacing w:before="20" w:after="20" w:line="240" w:lineRule="auto"/>
              <w:ind w:firstLine="0"/>
              <w:jc w:val="left"/>
            </w:pPr>
            <w:r>
              <w:rPr>
                <w:rFonts w:ascii="Times New Roman" w:hAnsi="Times New Roman"/>
                <w:sz w:val="17"/>
              </w:rPr>
              <w:t xml:space="preserve">43.37*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0.098</w:t>
            </w:r>
          </w:p>
        </w:tc>
        <w:tc>
          <w:tcPr/>
          <w:p>
            <w:pPr>
              <w:pStyle w:val="Compact"/>
              <w:spacing w:before="20" w:after="20" w:line="240" w:lineRule="auto"/>
              <w:ind w:firstLine="0"/>
              <w:jc w:val="left"/>
            </w:pPr>
            <w:r>
              <w:rPr>
                <w:rFonts w:ascii="Times New Roman" w:hAnsi="Times New Roman"/>
                <w:sz w:val="17"/>
              </w:rPr>
              <w:t xml:space="preserve">+0.057 [+0.046, +0.068]*</w:t>
            </w:r>
          </w:p>
        </w:tc>
        <w:tc>
          <w:tcPr/>
          <w:p>
            <w:pPr>
              <w:pStyle w:val="Compact"/>
              <w:spacing w:before="20" w:after="20" w:line="240" w:lineRule="auto"/>
              <w:ind w:firstLine="0"/>
              <w:jc w:val="left"/>
            </w:pPr>
            <w:r>
              <w:rPr>
                <w:rFonts w:ascii="Times New Roman" w:hAnsi="Times New Roman"/>
                <w:sz w:val="17"/>
              </w:rPr>
              <w:t xml:space="preserve">+0.051 [+0.041, +0.060]*</w:t>
            </w:r>
          </w:p>
        </w:tc>
        <w:tc>
          <w:tcPr/>
          <w:p>
            <w:pPr>
              <w:pStyle w:val="Compact"/>
              <w:spacing w:before="20" w:after="20" w:line="240" w:lineRule="auto"/>
              <w:ind w:firstLine="0"/>
              <w:jc w:val="left"/>
            </w:pPr>
            <w:r>
              <w:rPr>
                <w:rFonts w:ascii="Times New Roman" w:hAnsi="Times New Roman"/>
                <w:sz w:val="17"/>
              </w:rPr>
              <w:t xml:space="preserve">+0.006 [-0.012, +0.025]</w:t>
            </w:r>
          </w:p>
        </w:tc>
        <w:tc>
          <w:tcPr/>
          <w:p>
            <w:pPr>
              <w:pStyle w:val="Compact"/>
              <w:spacing w:before="20" w:after="20" w:line="240" w:lineRule="auto"/>
              <w:ind w:firstLine="0"/>
              <w:jc w:val="left"/>
            </w:pPr>
            <w:r>
              <w:rPr>
                <w:rFonts w:ascii="Times New Roman" w:hAnsi="Times New Roman"/>
                <w:sz w:val="17"/>
              </w:rPr>
              <w:t xml:space="preserve">1.58*</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+0.115 [+0.104, +0.127]*</w:t>
            </w:r>
          </w:p>
        </w:tc>
        <w:tc>
          <w:tcPr/>
          <w:p>
            <w:pPr>
              <w:pStyle w:val="Compact"/>
              <w:spacing w:before="20" w:after="20" w:line="240" w:lineRule="auto"/>
              <w:ind w:firstLine="0"/>
              <w:jc w:val="left"/>
            </w:pPr>
            <w:r>
              <w:rPr>
                <w:rFonts w:ascii="Times New Roman" w:hAnsi="Times New Roman"/>
                <w:sz w:val="17"/>
              </w:rPr>
              <w:t xml:space="preserve">+0.118 [+0.108, +0.128]*</w:t>
            </w:r>
          </w:p>
        </w:tc>
        <w:tc>
          <w:tcPr/>
          <w:p>
            <w:pPr>
              <w:pStyle w:val="Compact"/>
              <w:spacing w:before="20" w:after="20" w:line="240" w:lineRule="auto"/>
              <w:ind w:firstLine="0"/>
              <w:jc w:val="left"/>
            </w:pPr>
            <w:r>
              <w:rPr>
                <w:rFonts w:ascii="Times New Roman" w:hAnsi="Times New Roman"/>
                <w:sz w:val="17"/>
              </w:rPr>
              <w:t xml:space="preserve">-0.003 [-0.019, +0.013]</w:t>
            </w:r>
          </w:p>
        </w:tc>
        <w:tc>
          <w:tcPr/>
          <w:p>
            <w:pPr>
              <w:pStyle w:val="Compact"/>
              <w:spacing w:before="20" w:after="20" w:line="240" w:lineRule="auto"/>
              <w:ind w:firstLine="0"/>
              <w:jc w:val="left"/>
            </w:pPr>
            <w:r>
              <w:rPr>
                <w:rFonts w:ascii="Times New Roman" w:hAnsi="Times New Roman"/>
                <w:sz w:val="17"/>
              </w:rPr>
              <w:t xml:space="preserve">16.36*</w:t>
            </w:r>
          </w:p>
        </w:tc>
        <w:tc>
          <w:tcPr/>
          <w:p>
            <w:pPr>
              <w:pStyle w:val="Compact"/>
              <w:spacing w:before="20" w:after="20" w:line="240" w:lineRule="auto"/>
              <w:ind w:firstLine="0"/>
              <w:jc w:val="left"/>
            </w:pPr>
            <w:r>
              <w:rPr>
                <w:rFonts w:ascii="Times New Roman" w:hAnsi="Times New Roman"/>
                <w:sz w:val="17"/>
              </w:rPr>
              <w:t xml:space="preserve">16.77*</w:t>
            </w:r>
          </w:p>
        </w:tc>
      </w:tr>
    </w:tbl>
    <w:p>
      <w:pPr>
        <w:pStyle w:val="BodyText"/>
        <w:spacing w:line="240" w:lineRule="auto"/>
        <w:ind w:firstLine="0"/>
      </w:pPr>
      <w:r>
        <w:rPr>
          <w:iCs/>
          <w:i/>
        </w:rPr>
        <w:t xml:space="preserve">Table 3. Probability-elicitation design (mean elicited probability over 300 simulated customers, three independent calls per customer). Lift = probability with the email minus probability without it; gap = lift of the men’s email minus lift of the women’s email; intervals are 95% paired bootstrap intervals over customers (real values: normal approximation). RR = risk ratio. * the simulated and the real intervals do not overlap (for RR: the simulated interval excludes the real risk ratio).</w:t>
      </w:r>
    </w:p>
    <w:p>
      <w:pPr>
        <w:pStyle w:val="CaptionedFigure"/>
      </w:pPr>
      <w:r>
        <w:drawing>
          <wp:inline>
            <wp:extent cx="5334000" cy="2029239"/>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46" name="Picture"/>
            <a:graphic>
              <a:graphicData uri="http://schemas.openxmlformats.org/drawingml/2006/picture">
                <pic:pic>
                  <pic:nvPicPr>
                    <pic:cNvPr descr="fig2_lift.png" id="47" name="Picture"/>
                    <pic:cNvPicPr>
                      <a:picLocks noChangeArrowheads="1" noChangeAspect="1"/>
                    </pic:cNvPicPr>
                  </pic:nvPicPr>
                  <pic:blipFill>
                    <a:blip r:embed="rId45"/>
                    <a:stretch>
                      <a:fillRect/>
                    </a:stretch>
                  </pic:blipFill>
                  <pic:spPr bwMode="auto">
                    <a:xfrm>
                      <a:off x="0" y="0"/>
                      <a:ext cx="5334000" cy="2029239"/>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12 probability-elicitation cells, but it is essentially one for GPT-4o-mini with the anchor for visits (1.01 and 1.06; the model answered about 10% regardless of the email), and Llama with the anchor gave a risk ratio below one (0.63) in the yes/no format for visits. Second, the size is unstable. For visits, Llama and Haiku without the anchor give lifts of +0.071 and +0.078, close to the real +0.077, but GPT-4o-mini gives +0.199 and Haiku with the anchor +0.159. Third, the absolute lift in purchase probability is overstated in every setting, by about 4 to 26 times (for example +0.180 for GPT-4o-mini without the anchor, against a real +0.0068). Providing the base rate lowers the no-email purchase probability toward the real 0.57% for Llama and Haiku but leaves the email-arm probability high, so the risk ratio explodes (16 to 45)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lift of +0.071 close to the real value, but a base rate of 0.30 instead of 0.106, and therefore a risk ratio of only 1.24 against the real 1.72. Fourth, the models do not reliably separate the men’s from the women’s email. In reality the men’s email has the larger lift (+0.077 against +0.045 for visits, a gap of +0.031 with interval +0.024 to +0.038). In 10 of the 12 probability-elicitation cells the interval of the simulated gap includes zero; in the other two (GPT-4o-mini with the anchor) the women’s email is rated higher, the opposite of the real result.</w:t>
      </w:r>
    </w:p>
    <w:p>
      <w:pPr>
        <w:pStyle w:val="BodyText"/>
      </w:pPr>
      <w:r>
        <w:t xml:space="preserve">Direct yes/no answers are not usable for rare events. Without an email GPT-4o-mini answered</w:t>
      </w:r>
      <w:r>
        <w:t xml:space="preserve"> </w:t>
      </w:r>
      <w:r>
        <w:t xml:space="preserve">“</w:t>
      </w:r>
      <w:r>
        <w:t xml:space="preserve">No</w:t>
      </w:r>
      <w:r>
        <w:t xml:space="preserve">”</w:t>
      </w:r>
      <w:r>
        <w:t xml:space="preserve"> </w:t>
      </w:r>
      <w:r>
        <w:t xml:space="preserve">for every customer, and with an email about half answered</w:t>
      </w:r>
      <w:r>
        <w:t xml:space="preserve"> </w:t>
      </w:r>
      <w:r>
        <w:t xml:space="preserve">“</w:t>
      </w:r>
      <w:r>
        <w:t xml:space="preserve">Yes</w:t>
      </w:r>
      <w:r>
        <w:t xml:space="preserve">”</w:t>
      </w:r>
      <w:r>
        <w:t xml:space="preserve">, so the risk ratio is undefined; the same happened with Llama and Haiku for purchases in several cells. In absolute terms the yes/no purchase lifts range from +0.14 to +0.55, 21 to 81 times the real lift.</w:t>
      </w:r>
    </w:p>
    <w:bookmarkEnd w:id="48"/>
    <w:bookmarkStart w:id="49" w:name="summary-of-hypotheses"/>
    <w:p>
      <w:pPr>
        <w:pStyle w:val="Heading2"/>
      </w:pPr>
      <w:r>
        <w:t xml:space="preserve">5.6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35 of 36 cells of designs A, B, and C across the two settings lie below the reference variance-to-mean ratio, and the zero share of designs A and B is below the real value in 23 of 24 cells (the exception: Llama with the anchor answered</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practically every customer).</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Supported. In the low-mean setting all six cells stay below the ceiling of 2.10; in the high-mean setting the anchored cells reach the ceiling of 6.61. Zero shares are too low in both.</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It matches dispersion in 7 of 12 cells, but its accuracy follows the model’s mean, which the anchor sometimes worsens.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(see Section 5.5 for exceptions).</w:t>
            </w:r>
          </w:p>
        </w:tc>
      </w:tr>
      <w:tr>
        <w:tc>
          <w:tcPr/>
          <w:p>
            <w:pPr>
              <w:pStyle w:val="Compact"/>
              <w:spacing w:before="20" w:after="20" w:line="240" w:lineRule="auto"/>
              <w:ind w:firstLine="0"/>
              <w:jc w:val="left"/>
            </w:pPr>
            <w:r>
              <w:rPr>
                <w:rFonts w:ascii="Times New Roman" w:hAnsi="Times New Roman"/>
                <w:sz w:val="17"/>
              </w:rPr>
              <w:t xml:space="preserve">H4b. Absolute lift is overstated with an overstated base rate.</w:t>
            </w:r>
          </w:p>
        </w:tc>
        <w:tc>
          <w:tcPr/>
          <w:p>
            <w:pPr>
              <w:pStyle w:val="Compact"/>
              <w:spacing w:before="20" w:after="20" w:line="240" w:lineRule="auto"/>
              <w:ind w:firstLine="0"/>
              <w:jc w:val="left"/>
            </w:pPr>
            <w:r>
              <w:rPr>
                <w:rFonts w:ascii="Times New Roman" w:hAnsi="Times New Roman"/>
                <w:sz w:val="17"/>
              </w:rPr>
              <w:t xml:space="preserve">Supported for purchases: lifts are 4 to 26 times the real value.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emails is indistinguishable from zero in 10 of 12 cells and has the wrong sign in two.</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a mean of 0.5 and of 4.8.</w:t>
            </w:r>
          </w:p>
        </w:tc>
      </w:tr>
    </w:tbl>
    <w:p>
      <w:pPr>
        <w:pStyle w:val="BodyText"/>
        <w:spacing w:line="240" w:lineRule="auto"/>
        <w:ind w:firstLine="0"/>
      </w:pPr>
      <w:r>
        <w:rPr>
          <w:iCs/>
          <w:i/>
        </w:rPr>
        <w:t xml:space="preserve">Table 4. Hypotheses and evidence.</w:t>
      </w:r>
    </w:p>
    <w:bookmarkEnd w:id="49"/>
    <w:bookmarkEnd w:id="50"/>
    <w:bookmarkStart w:id="54" w:name="discussion"/>
    <w:p>
      <w:pPr>
        <w:pStyle w:val="Heading1"/>
      </w:pPr>
      <w:r>
        <w:t xml:space="preserve">6. Discussion</w:t>
      </w:r>
    </w:p>
    <w:bookmarkStart w:id="51"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sit between 0.00 and 0.57 in both settings, whatever the mean. Proposition 2 clarifies what an external heterogeneity term can and cannot do: it restores dispersion, but only the within-persona part, and its accuracy then rests on the model’s mean.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both settings it under-produces zeros.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1"/>
    <w:bookmarkStart w:id="52" w:name="implications-for-practice"/>
    <w:p>
      <w:pPr>
        <w:pStyle w:val="Heading2"/>
      </w:pPr>
      <w:r>
        <w:t xml:space="preserve">6.2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bookmarkEnd w:id="52"/>
    <w:bookmarkStart w:id="53" w:name="limitations-and-future-research"/>
    <w:p>
      <w:pPr>
        <w:pStyle w:val="Heading2"/>
      </w:pPr>
      <w:r>
        <w:t xml:space="preserve">6.3 Limitations and future research</w:t>
      </w:r>
    </w:p>
    <w:p>
      <w:pPr>
        <w:pStyle w:val="FirstParagraph"/>
      </w:pPr>
      <w:r>
        <w:t xml:space="preserve">The evidence is preliminary. We used one random seed, 200 to 600 simulated customers per cell, one prompt wording per design, and three small models, so our intervals capture sampling of customers but not variation across prompts, personas, or seeds. Larger and more recent models may collapse less, and the persistence of overstated purchase lifts there is an open question. The low-mean reference is a calibrated parametric distribution rather than the raw data, and the Complete Journey households are loyalty-card shoppers with relatively high purchase frequency. Personas are simple, and their attributes were drawn independently; richer personas built from real demographic tables would test whether persona detail raises</w:t>
      </w:r>
      <w:r>
        <w:t xml:space="preserve"> </w:t>
      </w:r>
      <m:oMath>
        <m:r>
          <m:rPr>
            <m:nor/>
            <m:sty m:val="p"/>
          </m:rPr>
          <m:t>Var</m:t>
        </m:r>
        <m:d>
          <m:dPr>
            <m:begChr m:val="("/>
            <m:endChr m:val=")"/>
            <m:sepChr m:val=""/>
            <m:grow/>
          </m:dPr>
          <m:e>
            <m:r>
              <m:t>m</m:t>
            </m:r>
            <m:d>
              <m:dPr>
                <m:begChr m:val="("/>
                <m:endChr m:val=")"/>
                <m:sepChr m:val=""/>
                <m:grow/>
              </m:dPr>
              <m:e>
                <m:r>
                  <m:t>X</m:t>
                </m:r>
              </m:e>
            </m:d>
          </m:e>
        </m:d>
      </m:oMath>
      <w:r>
        <w:t xml:space="preserve"> </w:t>
      </w:r>
      <w:r>
        <w:t xml:space="preserve">enough to matter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53"/>
    <w:bookmarkEnd w:id="54"/>
    <w:bookmarkStart w:id="55"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or 4.8;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by a large factor and similar treatments are not told apart. Practitioners who use synthetic customers should check dispersion and zero share against their own data, rely on the model for means only, and validate absolute effects before they act on them.</w:t>
      </w:r>
    </w:p>
    <w:bookmarkEnd w:id="55"/>
    <w:bookmarkStart w:id="56"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56"/>
    <w:bookmarkStart w:id="57"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57"/>
    <w:bookmarkStart w:id="58"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13.57*</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0.44</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3.52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1.11*</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2.22*</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1.91*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0.60*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1.95*</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2.34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3.36*</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1.54*</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2.59</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2.67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1.28*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2.21</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2.42</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5.21</w:t>
            </w:r>
          </w:p>
        </w:tc>
        <w:tc>
          <w:tcPr/>
          <w:p>
            <w:pPr>
              <w:pStyle w:val="Compact"/>
              <w:spacing w:before="20" w:after="20" w:line="240" w:lineRule="auto"/>
              <w:ind w:firstLine="0"/>
              <w:jc w:val="left"/>
            </w:pPr>
            <w:r>
              <w:rPr>
                <w:rFonts w:ascii="Times New Roman" w:hAnsi="Times New Roman"/>
                <w:sz w:val="17"/>
              </w:rPr>
              <w:t xml:space="preserve">4.05*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8.70</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5.27</w:t>
            </w:r>
          </w:p>
        </w:tc>
        <w:tc>
          <w:tcPr/>
          <w:p>
            <w:pPr>
              <w:pStyle w:val="Compact"/>
              <w:spacing w:before="20" w:after="20" w:line="240" w:lineRule="auto"/>
              <w:ind w:firstLine="0"/>
              <w:jc w:val="left"/>
            </w:pPr>
            <w:r>
              <w:rPr>
                <w:rFonts w:ascii="Times New Roman" w:hAnsi="Times New Roman"/>
                <w:sz w:val="17"/>
              </w:rPr>
              <w:t xml:space="preserve">5.44*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4.62</w:t>
            </w:r>
          </w:p>
        </w:tc>
        <w:tc>
          <w:tcPr/>
          <w:p>
            <w:pPr>
              <w:pStyle w:val="Compact"/>
              <w:spacing w:before="20" w:after="20" w:line="240" w:lineRule="auto"/>
              <w:ind w:firstLine="0"/>
              <w:jc w:val="left"/>
            </w:pPr>
            <w:r>
              <w:rPr>
                <w:rFonts w:ascii="Times New Roman" w:hAnsi="Times New Roman"/>
                <w:sz w:val="17"/>
              </w:rPr>
              <w:t xml:space="preserve">9.66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9.98*</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6.96*</w:t>
            </w:r>
          </w:p>
        </w:tc>
        <w:tc>
          <w:tcPr/>
          <w:p>
            <w:pPr>
              <w:pStyle w:val="Compact"/>
              <w:spacing w:before="20" w:after="20" w:line="240" w:lineRule="auto"/>
              <w:ind w:firstLine="0"/>
              <w:jc w:val="left"/>
            </w:pPr>
            <w:r>
              <w:rPr>
                <w:rFonts w:ascii="Times New Roman" w:hAnsi="Times New Roman"/>
                <w:sz w:val="17"/>
              </w:rPr>
              <w:t xml:space="preserve">4.47*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5.34</w:t>
            </w:r>
          </w:p>
        </w:tc>
        <w:tc>
          <w:tcPr/>
          <w:p>
            <w:pPr>
              <w:pStyle w:val="Compact"/>
              <w:spacing w:before="20" w:after="20" w:line="240" w:lineRule="auto"/>
              <w:ind w:firstLine="0"/>
              <w:jc w:val="left"/>
            </w:pPr>
            <w:r>
              <w:rPr>
                <w:rFonts w:ascii="Times New Roman" w:hAnsi="Times New Roman"/>
                <w:sz w:val="17"/>
              </w:rPr>
              <w:t xml:space="preserve">8.97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1.49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5.96*</w:t>
            </w:r>
          </w:p>
        </w:tc>
        <w:tc>
          <w:tcPr/>
          <w:p>
            <w:pPr>
              <w:pStyle w:val="Compact"/>
              <w:spacing w:before="20" w:after="20" w:line="240" w:lineRule="auto"/>
              <w:ind w:firstLine="0"/>
              <w:jc w:val="left"/>
            </w:pPr>
            <w:r>
              <w:rPr>
                <w:rFonts w:ascii="Times New Roman" w:hAnsi="Times New Roman"/>
                <w:sz w:val="17"/>
              </w:rPr>
              <w:t xml:space="preserve">5.77*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3.83*</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7.78*</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10.02*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4.38*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4.29</w:t>
            </w:r>
          </w:p>
        </w:tc>
        <w:tc>
          <w:tcPr/>
          <w:p>
            <w:pPr>
              <w:pStyle w:val="Compact"/>
              <w:spacing w:before="20" w:after="20" w:line="240" w:lineRule="auto"/>
              <w:ind w:firstLine="0"/>
              <w:jc w:val="left"/>
            </w:pPr>
            <w:r>
              <w:rPr>
                <w:rFonts w:ascii="Times New Roman" w:hAnsi="Times New Roman"/>
                <w:sz w:val="17"/>
              </w:rPr>
              <w:t xml:space="preserve">7.99</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9.61*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6.28</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1.58</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bookmarkEnd w:id="58"/>
    <w:bookmarkStart w:id="59" w:name="appendix-c.-reproducibility"/>
    <w:p>
      <w:pPr>
        <w:pStyle w:val="Heading1"/>
      </w:pPr>
      <w:r>
        <w:t xml:space="preserve">Appendix C. Reproducibility</w:t>
      </w:r>
    </w:p>
    <w:p>
      <w:pPr>
        <w:pStyle w:val="FirstParagraph"/>
      </w:pPr>
      <w:r>
        <w:t xml:space="preserve">All code, the pilot grid runner,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45" Type="http://schemas.openxmlformats.org/officeDocument/2006/relationships/image" Target="media/rId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2026-10-16T23:10:55Z</dcterms:created>
  <dcterms:modified xsi:type="dcterms:W3CDTF">2026-10-16T23:10:55Z</dcterms:modified>
</cp:coreProperties>
</file>

<file path=docProps/custom.xml><?xml version="1.0" encoding="utf-8"?>
<Properties xmlns="http://schemas.openxmlformats.org/officeDocument/2006/custom-properties" xmlns:vt="http://schemas.openxmlformats.org/officeDocument/2006/docPropsVTypes"/>
</file>