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pPr>
      <w:r>
        <w:t xml:space="preserve">[Corresponding author name]</w:t>
      </w:r>
    </w:p>
    <w:p>
      <w:pPr>
        <w:pStyle w:val="BodyText"/>
      </w:pPr>
      <w:r>
        <w:t xml:space="preserve">[Department, university, postal address, country]</w:t>
      </w:r>
    </w:p>
    <w:p>
      <w:pPr>
        <w:pStyle w:val="BodyText"/>
      </w:pPr>
      <w:r>
        <w:t xml:space="preserve">Telephone: [number]</w:t>
      </w:r>
    </w:p>
    <w:p>
      <w:pPr>
        <w:pStyle w:val="BodyText"/>
      </w:pPr>
      <w:r>
        <w:t xml:space="preserve">E-mail: ooklee@hanyang.ac.kr</w:t>
      </w:r>
    </w:p>
    <w:p>
      <w:pPr>
        <w:pStyle w:val="BodyText"/>
      </w:pPr>
      <w:r>
        <w:t xml:space="preserve">22 October 2026</w:t>
      </w:r>
    </w:p>
    <w:p>
      <w:pPr>
        <w:pStyle w:val="BodyText"/>
      </w:pPr>
    </w:p>
    <w:p>
      <w:pPr>
        <w:pStyle w:val="BodyText"/>
      </w:pPr>
      <w:r>
        <w:t xml:space="preserve">Editor-in-Chief, Journal of Management Information Systems</w:t>
      </w:r>
    </w:p>
    <w:p>
      <w:pPr>
        <w:pStyle w:val="BodyText"/>
      </w:pPr>
      <w:r>
        <w:t xml:space="preserve">jmis@fdu.edu</w:t>
      </w:r>
    </w:p>
    <w:p>
      <w:pPr>
        <w:pStyle w:val="BodyText"/>
      </w:pPr>
    </w:p>
    <w:p>
      <w:pPr>
        <w:pStyle w:val="BodyText"/>
      </w:pPr>
      <w:r>
        <w:t xml:space="preserve">Dear Editor,</w:t>
      </w:r>
    </w:p>
    <w:p>
      <w:pPr>
        <w:pStyle w:val="BodyText"/>
      </w:pPr>
      <w:r>
        <w:t xml:space="preserve">We submit “Deference or Noise? Separating Stance Sensitivity from Instability in AI Reviewers and What It Costs” for consideration as a research article in the Journal of Management Information Systems.</w:t>
      </w:r>
    </w:p>
    <w:p>
      <w:pPr>
        <w:pStyle w:val="BodyText"/>
      </w:pPr>
      <w:r>
        <w:t xml:space="preserve">Organizations increasingly ask AI systems to review decisions that a requester has already leaned toward. When the AI’s answer follows the requester’s stated view, it is read as sycophancy. We argue that this reading is not yet a measurement: the change may come from run-to-run instability, from sensitivity to any added sentence, from treating the stance as evidence, or from deference. The paper makes three contributions. It gives a measurement design that separates these mechanisms (stance-free replicates, a length-matched neutral sentence, gradients in the stance’s claimed evidence and in the requester’s disclosed accuracy, and rotated option letters). It extends the value-of-review function of a deferential delegate with two results the measurement needs: the closed form with a measured conditional deference is biased by the covariance between ability and deference across stems, and a delegate that weights the stance at the rate rational for the requester’s accuracy loses nothing. And it applies the design to fourteen language models in five families on a new bank of 600 audited decision items (176,400 answers).</w:t>
      </w:r>
    </w:p>
    <w:p>
      <w:pPr>
        <w:pStyle w:val="BodyText"/>
      </w:pPr>
      <w:r>
        <w:t xml:space="preserve">The main findings are these. The baseline correction removes a median 9% of the conventionally measured deference, but 21% to 75% for the five least stable models. Stance-following responds to claimed evidence and to an explicit disclaimer in most models, yet no model meets our rule for pure deference. Larger models are not reliably less deferential (the corrected effect is lower for the larger model in three of five families, and significantly so in one). Ten of the fourteen models answer only 35% to 54% of the items correctly, so for a requester whose own accuracy is 50% or higher reviewing adds little or nothing. Some hypotheses were not supported (heterogeneity across stems, and ability as a ranking cue), and we report these results with the robustness checks, including those that show the classification of some models is unstable.</w:t>
      </w:r>
    </w:p>
    <w:p>
      <w:pPr>
        <w:pStyle w:val="BodyText"/>
      </w:pPr>
      <w:r>
        <w:t xml:space="preserve">We believe the paper fits the Journal because it addresses delegation to AI systems and the auditing of AI decision support with a formal model and a transparent empirical design, and because it gives managers an audit protocol they can run on their own review items. We are careful about scope: the study concerns models, not people, uses synthetic items with a single correct answer, and does not offer a theory of why models defer.</w:t>
      </w:r>
    </w:p>
    <w:p>
      <w:pPr>
        <w:pStyle w:val="BodyText"/>
      </w:pPr>
      <w:r>
        <w:t xml:space="preserve">The analysis plan (hypotheses, estimators, decision rules, exclusions) was fixed in a version-controlled repository before any model answered the main item bank; it was not registered with a third-party platform, and the manuscript says so. A separate stance-free pilot of 48 items informed the token limit and answer parser for three models and is described in the online appendix. The item bank was audited by an independent program and by two human reviewers on a stratified sample of 100 items. Anonymized supplementary files with the bank, prompts, raw outputs and code are provided; the online appendix is a separate file.</w:t>
      </w:r>
    </w:p>
    <w:p>
      <w:pPr>
        <w:pStyle w:val="BodyText"/>
      </w:pPr>
      <w:r>
        <w:t xml:space="preserve">By submitting this manuscript we certify that it is not copyrighted, and that it is not and will not be under simultaneous review by any other journal or proceedings. It has not been published. It has been prepared for double-blind review; the author names and affiliations appear only in the title page below. An AI assistant was used in the research and writing, as disclosed in the acknowledgments on the title page.</w:t>
      </w:r>
    </w:p>
    <w:p>
      <w:pPr>
        <w:pStyle w:val="BodyText"/>
      </w:pPr>
      <w:r>
        <w:t xml:space="preserve">Optional reviewer nominations (no conflicts of interest): [name, affiliation, e-mail, expertise] (up to three).</w:t>
      </w:r>
    </w:p>
    <w:p>
      <w:pPr>
        <w:pStyle w:val="BodyText"/>
      </w:pPr>
      <w:r>
        <w:t xml:space="preserve">Thank you for considering our work.</w:t>
      </w:r>
    </w:p>
    <w:p>
      <w:pPr>
        <w:pStyle w:val="BodyText"/>
      </w:pPr>
      <w:r>
        <w:t xml:space="preserve">Sincerely,</w:t>
      </w:r>
    </w:p>
    <w:p>
      <w:pPr>
        <w:pStyle w:val="BodyText"/>
      </w:pPr>
    </w:p>
    <w:p>
      <w:pPr>
        <w:pStyle w:val="BodyText"/>
      </w:pPr>
      <w:r>
        <w:t xml:space="preserve">[Corresponding author name], on behalf of all authors</w:t>
      </w:r>
    </w:p>
    <w:p>
      <w:r>
        <w:br w:type="page"/>
      </w:r>
    </w:p>
    <w:p>
      <w:pPr>
        <w:pStyle w:val="Title"/>
      </w:pPr>
      <w:r>
        <w:t xml:space="preserve">Deference or Noise? Separating Stance Sensitivity from Instability in AI Reviewers and What It Costs</w:t>
      </w:r>
    </w:p>
    <w:p>
      <w:pPr>
        <w:pStyle w:val="BodyText"/>
      </w:pPr>
      <w:r>
        <w:rPr>
          <w:i/>
          <w:iCs/>
        </w:rPr>
        <w:t xml:space="preserve">Title page</w:t>
      </w:r>
    </w:p>
    <w:p>
      <w:pPr>
        <w:pStyle w:val="Heading3"/>
      </w:pPr>
      <w:r>
        <w:t xml:space="preserve">Authors and affiliations</w:t>
      </w:r>
    </w:p>
    <w:p>
      <w:pPr>
        <w:pStyle w:val="BodyText"/>
      </w:pPr>
      <w:r>
        <w:t xml:space="preserve">[Author 1 name], [department, university, postal address, country], [e-mail], [telephone]. Corresponding author.</w:t>
      </w:r>
    </w:p>
    <w:p>
      <w:pPr>
        <w:pStyle w:val="BodyText"/>
      </w:pPr>
      <w:r>
        <w:t xml:space="preserve">[Author 2 name, and so on for every author: affiliation, postal address, e-mail, telephone].</w:t>
      </w:r>
    </w:p>
    <w:p>
      <w:pPr>
        <w:pStyle w:val="BodyText"/>
      </w:pPr>
      <w:r>
        <w:t xml:space="preserve">Corresponding author: [name], ooklee@hanyang.ac.kr, [telephone].</w:t>
      </w:r>
    </w:p>
    <w:p>
      <w:pPr>
        <w:pStyle w:val="Heading3"/>
      </w:pPr>
      <w:r>
        <w:t xml:space="preserve">Abstract</w:t>
      </w:r>
    </w:p>
    <w:p>
      <w:pPr>
        <w:pStyle w:val="BodyText"/>
      </w:pPr>
      <w:r>
        <w:t xml:space="preserve">Organizations ask AI systems to review decisions that a requester has already leaned toward. When the answer follows the requester’s stated view, this is read as sycophancy, but the change can also reflect run-to-run instability, sensitivity to any added sentence, or reasonable treatment of the stance as evidence. We separate these with a baseline-corrected measure of stance sensitivity and with gradients in the stance’s claimed evidence and the requester’s disclosed accuracy, and show how the corrected quantity enters the value of delegated review, (1 − s)(a − π). Across fourteen language models and 176,400 answers, correction removes a median 9% of raw deference but 21% to 75% for the five least stable models; stance-following responds to claimed evidence, no model shows pure deference, and larger models are not reliably less deferential. We offer an audit protocol and state its limits.</w:t>
      </w:r>
    </w:p>
    <w:p>
      <w:pPr>
        <w:pStyle w:val="BodyText"/>
      </w:pPr>
      <w:r>
        <w:t xml:space="preserve">Keywords: AI delegation, sycophancy, AI auditing, value of information, large language models, measurement</w:t>
      </w:r>
    </w:p>
    <w:p>
      <w:pPr>
        <w:pStyle w:val="Heading3"/>
      </w:pPr>
      <w:r>
        <w:t xml:space="preserve">Acknowledgments and funding</w:t>
      </w:r>
    </w:p>
    <w:p>
      <w:pPr>
        <w:pStyle w:val="BodyText"/>
      </w:pPr>
      <w:r>
        <w:t xml:space="preserve">Funding: [state every funding source, or “This research received no external funding.” The model queries were paid for with the authors’ own API credit.]</w:t>
      </w:r>
    </w:p>
    <w:p>
      <w:pPr>
        <w:pStyle w:val="BodyText"/>
      </w:pPr>
      <w:r>
        <w:t xml:space="preserve">Acknowledgments: [add, or state “none”.]</w:t>
      </w:r>
    </w:p>
    <w:p>
      <w:pPr>
        <w:pStyle w:val="BodyText"/>
      </w:pPr>
      <w:r>
        <w:t xml:space="preserve">Use of AI tools: [draft for the authors to confirm or correct before submission.] An AI assistant (Claude, Anthropic) was used under the authors’ direction to write and run analysis code, to generate and audit the item bank, to run the model queries, and to draft and edit parts of the text and tables. The authors reviewed the outputs and take responsibility for the content. Four of the fourteen language models studied are Claude models from the same vendor as the assistant.</w:t>
      </w:r>
    </w:p>
    <w:p>
      <w:pPr>
        <w:pStyle w:val="Heading3"/>
      </w:pPr>
      <w:r>
        <w:t xml:space="preserve">Authors’ biographical statements</w:t>
      </w:r>
    </w:p>
    <w:p>
      <w:pPr>
        <w:pStyle w:val="BodyText"/>
      </w:pPr>
      <w:r>
        <w:t xml:space="preserve">[Author 1: two to four sentences: position, institution, research interests, selected publications.]</w:t>
      </w:r>
    </w:p>
    <w:p>
      <w:pPr>
        <w:pStyle w:val="BodyText"/>
      </w:pPr>
      <w:r>
        <w:t xml:space="preserve">[Author 2: the same, for every author.]</w:t>
      </w:r>
    </w:p>
    <w:sectPr>
      <w:footerReference w:type="default" r:id="rIdFtr1"/>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w="http://schemas.openxmlformats.org/wordprocessingml/2006/main" xmlns:r="http://schemas.openxmlformats.org/officeDocument/2006/relationships">
  <w:p>
    <w:pPr>
      <w:pStyle w:val="Normal"/>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1"/>
    <w:lvlOverride w:ilvl="0">
      <w:startOverride w:val="1"/>
    </w:lvlOverride>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lineRule="auto" w:line="360" w:before="0" w:after="120"/>
      <w:jc w:val="left"/>
    </w:pPr>
    <w:rPr>
      <w:rFonts w:ascii="Times New Roman" w:hAnsi="Times New Roman" w:eastAsia="Times New Roman" w:cs="Times New Roman"/>
      <w:color w:val="000000"/>
      <w:kern w:val="0"/>
      <w:sz w:val="24"/>
      <w:szCs w:val="24"/>
      <w:lang w:val="en-US" w:eastAsia="en-US" w:bidi="ar-SA"/>
    </w:rPr>
  </w:style>
  <w:style w:type="paragraph" w:styleId="Heading1">
    <w:name w:val="Heading 1"/>
    <w:basedOn w:val="Normal"/>
    <w:next w:val="BodyText"/>
    <w:uiPriority w:val="9"/>
    <w:qFormat/>
    <w:pPr>
      <w:keepNext w:val="true"/>
      <w:keepLines/>
      <w:spacing w:before="280" w:after="120"/>
      <w:outlineLvl w:val="0"/>
    </w:pPr>
    <w:rPr>
      <w:rFonts w:ascii="Times New Roman" w:hAnsi="Times New Roman" w:eastAsia="Times New Roman" w:cs="Times New Roman"/>
      <w:b/>
      <w:bCs/>
      <w:i w:val="false"/>
      <w:color w:val="000000"/>
      <w:sz w:val="28"/>
      <w:szCs w:val="32"/>
    </w:rPr>
  </w:style>
  <w:style w:type="paragraph" w:styleId="Heading2">
    <w:name w:val="Heading 2"/>
    <w:basedOn w:val="Normal"/>
    <w:next w:val="BodyText"/>
    <w:uiPriority w:val="9"/>
    <w:unhideWhenUsed/>
    <w:qFormat/>
    <w:pPr>
      <w:keepNext w:val="true"/>
      <w:keepLines/>
      <w:spacing w:before="280" w:after="120"/>
      <w:outlineLvl w:val="1"/>
    </w:pPr>
    <w:rPr>
      <w:rFonts w:ascii="Times New Roman" w:hAnsi="Times New Roman" w:eastAsia="Times New Roman" w:cs="Times New Roman"/>
      <w:b/>
      <w:bCs/>
      <w:i w:val="false"/>
      <w:color w:val="000000"/>
      <w:sz w:val="24"/>
      <w:szCs w:val="28"/>
    </w:rPr>
  </w:style>
  <w:style w:type="paragraph" w:styleId="Heading3">
    <w:name w:val="Heading 3"/>
    <w:basedOn w:val="Normal"/>
    <w:next w:val="BodyText"/>
    <w:uiPriority w:val="9"/>
    <w:unhideWhenUsed/>
    <w:qFormat/>
    <w:pPr>
      <w:keepNext w:val="true"/>
      <w:keepLines/>
      <w:spacing w:before="280" w:after="120"/>
      <w:outlineLvl w:val="2"/>
    </w:pPr>
    <w:rPr>
      <w:rFonts w:ascii="Times New Roman" w:hAnsi="Times New Roman" w:eastAsia="Times New Roman" w:cs="Times New Roman"/>
      <w:b/>
      <w:bCs/>
      <w:i/>
      <w:color w:val="000000"/>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qFormat/>
    <w:pPr>
      <w:spacing w:lineRule="auto" w:line="360" w:before="0" w:after="120"/>
    </w:pPr>
    <w:rPr>
      <w:rFonts w:ascii="Times New Roman" w:hAnsi="Times New Roman" w:eastAsia="Times New Roman" w:cs="Times New Roman"/>
      <w:color w:val="000000"/>
      <w:sz w:val="24"/>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spacing w:lineRule="auto" w:line="360" w:before="0" w:after="120"/>
    </w:pPr>
    <w:rPr>
      <w:rFonts w:ascii="Times New Roman" w:hAnsi="Times New Roman" w:eastAsia="Times New Roman" w:cs="Times New Roman"/>
      <w:color w:val="000000"/>
      <w:sz w:val="24"/>
    </w:rPr>
  </w:style>
  <w:style w:type="paragraph" w:styleId="Compact" w:customStyle="1">
    <w:name w:val="Compact"/>
    <w:basedOn w:val="BodyText"/>
    <w:qFormat/>
    <w:pPr>
      <w:spacing w:lineRule="auto" w:line="360" w:before="0" w:after="120"/>
    </w:pPr>
    <w:rPr>
      <w:rFonts w:ascii="Times New Roman" w:hAnsi="Times New Roman" w:eastAsia="Times New Roman" w:cs="Times New Roman"/>
      <w:color w:val="000000"/>
      <w:sz w:val="24"/>
    </w:rPr>
  </w:style>
  <w:style w:type="paragraph" w:styleId="Title">
    <w:name w:val="Title"/>
    <w:basedOn w:val="Normal"/>
    <w:next w:val="BodyText"/>
    <w:qFormat/>
    <w:pPr>
      <w:keepNext w:val="true"/>
      <w:keepLines/>
      <w:spacing w:before="0" w:after="120"/>
      <w:jc w:val="center"/>
    </w:pPr>
    <w:rPr>
      <w:rFonts w:ascii="Times New Roman" w:hAnsi="Times New Roman" w:eastAsia="Times New Roman" w:cs="Times New Roman"/>
      <w:b/>
      <w:bCs/>
      <w:i w:val="false"/>
      <w:color w:val="000000"/>
      <w:sz w:val="32"/>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lineRule="auto" w:line="360" w:before="0" w:after="120"/>
      <w:ind w:hanging="0" w:left="480" w:right="480"/>
    </w:pPr>
    <w:rPr>
      <w:rFonts w:ascii="Times New Roman" w:hAnsi="Times New Roman" w:eastAsia="Times New Roman" w:cs="Times New Roman"/>
      <w:color w:val="000000"/>
      <w:sz w:val="24"/>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12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 Id="rIdFtr1" Type="http://schemas.openxmlformats.org/officeDocument/2006/relationships/footer" Target="footer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7</Pages>
  <Words>880</Words>
  <Characters>4584</Characters>
  <CharactersWithSpaces>5415</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2026-10-22T04:27:31Z</dcterms:created>
  <dc:creator/>
  <dc:description/>
  <dc:language>en-US</dc:language>
  <cp:lastModifiedBy/>
  <dcterms:modified xsi:type="dcterms:W3CDTF">2026-10-22T05:09:38Z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