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submitted to Management Science, Department of Information Systems.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speaks to researchers who study the economics of technology adoption and the governance of AI tools in organizations, in information systems and in management more broadly, and to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turns the decision from a choice into an acceptance. Before LLM assistance, E and Q are compared before either exists, and both lie in the future. With LLM assistance, an implementation, often an instance of E, exists as soon as the prompt returns, and the developer’s decision becomes whether to accept it or to do more work. The frame shift has three components, each of which activates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t xml:space="preserve">The frame shift is a claim about a structural condition, not about a new bias: it applies when generation precedes the quality decision, and it does not apply when the developer decides before the code exists. This boundary is what separates it from the general observation that people are biased.</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eleven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data-and-code-availability"/>
    <w:p>
      <w:pPr>
        <w:pStyle w:val="Heading1"/>
      </w:pPr>
      <w:r>
        <w:t xml:space="preserve">Data and Code Availability</w:t>
      </w:r>
    </w:p>
    <w:p>
      <w:pPr>
        <w:pStyle w:val="FirstParagraph"/>
      </w:pPr>
      <w:r>
        <w:t xml:space="preserve">All data used in Section 5 are public. GH Archive event logs (gharchive.org) supply the pull-request, review, and review-comment events. The AIDev dataset (Li et al. 2025, 2026; license CC BY 4.0) supplies agent-authored pull requests and their commit patches. CommitPackFT (Muennighoff et al. 2023; MIT license) supplies the human baseline for code patches. The code that extracts the events, builds the samples, and produces every table and figure in Section 5, together with the numerical check of the model in Section 4, will be deposited in a public repository at [repository and DOI to be added]. No individual-level data were collected from participants; the experiment described in Section 5.5 has not been run.</w:t>
      </w:r>
    </w:p>
    <w:bookmarkEnd w:id="53"/>
    <w:bookmarkStart w:id="54" w:name="funding"/>
    <w:p>
      <w:pPr>
        <w:pStyle w:val="Heading1"/>
      </w:pPr>
      <w:r>
        <w:t xml:space="preserve">Funding</w:t>
      </w:r>
    </w:p>
    <w:p>
      <w:pPr>
        <w:pStyle w:val="FirstParagraph"/>
      </w:pPr>
      <w:r>
        <w:t xml:space="preserve">[Funding statement to be completed, or: This research received no specific funding.]</w:t>
      </w:r>
    </w:p>
    <w:bookmarkEnd w:id="54"/>
    <w:bookmarkStart w:id="55" w:name="conflict-of-interest"/>
    <w:p>
      <w:pPr>
        <w:pStyle w:val="Heading1"/>
      </w:pPr>
      <w:r>
        <w:t xml:space="preserve">Conflict of Interest</w:t>
      </w:r>
    </w:p>
    <w:p>
      <w:pPr>
        <w:pStyle w:val="FirstParagraph"/>
      </w:pPr>
      <w:r>
        <w:t xml:space="preserve">[Conflict-of-interest statement to be completed.]</w:t>
      </w:r>
    </w:p>
    <w:bookmarkEnd w:id="55"/>
    <w:bookmarkStart w:id="56"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6"/>
    <w:bookmarkStart w:id="57" w:name="appendix-a.-proofs"/>
    <w:p>
      <w:pPr>
        <w:pStyle w:val="Heading1"/>
      </w:pPr>
      <w:r>
        <w:t xml:space="preserve">Appendix A. Proofs</w:t>
      </w:r>
    </w:p>
    <w:p>
      <w:pPr>
        <w:pStyle w:val="FirstParagraph"/>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7"/>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2026-10-11T09:03:38Z</dcterms:created>
  <dcterms:modified xsi:type="dcterms:W3CDTF">2026-10-11T09:03:38Z</dcterms:modified>
</cp:coreProperties>
</file>

<file path=docProps/custom.xml><?xml version="1.0" encoding="utf-8"?>
<Properties xmlns="http://schemas.openxmlformats.org/officeDocument/2006/custom-properties" xmlns:vt="http://schemas.openxmlformats.org/officeDocument/2006/docPropsVTypes"/>
</file>