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t xml:space="preserve">Ook</w:t>
      </w:r>
      <w:r>
        <w:t xml:space="preserve"> </w:t>
      </w:r>
      <w:r>
        <w:t xml:space="preserve">Lee</w:t>
      </w:r>
      <w:r>
        <w:br/>
      </w:r>
      <w:r>
        <w:t xml:space="preserve">Department</w:t>
      </w:r>
      <w:r>
        <w:t xml:space="preserve"> </w:t>
      </w:r>
      <w:r>
        <w:t xml:space="preserve">of</w:t>
      </w:r>
      <w:r>
        <w:t xml:space="preserve"> </w:t>
      </w:r>
      <w:r>
        <w:t xml:space="preserve">Information</w:t>
      </w:r>
      <w:r>
        <w:t xml:space="preserve"> </w:t>
      </w:r>
      <w:r>
        <w:t xml:space="preserve">System,</w:t>
      </w:r>
      <w:r>
        <w:t xml:space="preserve"> </w:t>
      </w:r>
      <w:r>
        <w:t xml:space="preserve">Hanyang</w:t>
      </w:r>
      <w:r>
        <w:t xml:space="preserve"> </w:t>
      </w:r>
      <w:r>
        <w:t xml:space="preserve">University,</w:t>
      </w:r>
      <w:r>
        <w:t xml:space="preserve"> </w:t>
      </w:r>
      <w:r>
        <w:t xml:space="preserve">Seoul,</w:t>
      </w:r>
      <w:r>
        <w:t xml:space="preserve"> </w:t>
      </w:r>
      <w:r>
        <w:t xml:space="preserve">Republic</w:t>
      </w:r>
      <w:r>
        <w:t xml:space="preserve"> </w:t>
      </w:r>
      <w:r>
        <w:t xml:space="preserve">of</w:t>
      </w:r>
      <w:r>
        <w:t xml:space="preserve"> </w:t>
      </w:r>
      <w:r>
        <w:t xml:space="preserve">Korea</w:t>
      </w:r>
      <w:r>
        <w:br/>
      </w:r>
      <w:r>
        <w:t xml:space="preserve">Corresponding</w:t>
      </w:r>
      <w:r>
        <w:t xml:space="preserve"> </w:t>
      </w:r>
      <w:r>
        <w:t xml:space="preserve">author.</w:t>
      </w:r>
      <w:r>
        <w:t xml:space="preserve"> </w:t>
      </w:r>
      <w:r>
        <w:t xml:space="preserve">E-mail:</w:t>
      </w:r>
      <w:r>
        <w:t xml:space="preserve"> </w:t>
      </w:r>
      <w:r>
        <w:rPr>
          <w:bCs/>
          <w:b/>
        </w:rPr>
        <w:t xml:space="preserve">[to</w:t>
      </w:r>
      <w:r>
        <w:rPr>
          <w:bCs/>
          <w:b/>
        </w:rPr>
        <w:t xml:space="preserve"> </w:t>
      </w:r>
      <w:r>
        <w:rPr>
          <w:bCs/>
          <w:b/>
        </w:rPr>
        <w:t xml:space="preserve">be</w:t>
      </w:r>
      <w:r>
        <w:rPr>
          <w:bCs/>
          <w:b/>
        </w:rPr>
        <w:t xml:space="preserve"> </w:t>
      </w:r>
      <w:r>
        <w:rPr>
          <w:bCs/>
          <w:b/>
        </w:rPr>
        <w:t xml:space="preserve">added]</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closed-form</w:t>
      </w:r>
      <w:r>
        <w:t xml:space="preserve"> </w:t>
      </w:r>
      <w:r>
        <w:t xml:space="preserve">retraining</w:t>
      </w:r>
      <w:r>
        <w:t xml:space="preserve"> </w:t>
      </w:r>
      <w:r>
        <w:t xml:space="preserve">threshold</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We</w:t>
      </w:r>
      <w:r>
        <w:t xml:space="preserve"> </w:t>
      </w:r>
      <w:r>
        <w:t xml:space="preserve">measure</w:t>
      </w:r>
      <w:r>
        <w:t xml:space="preserve"> </w:t>
      </w:r>
      <w:r>
        <w:t xml:space="preserve">recovery</w:t>
      </w:r>
      <w:r>
        <w:t xml:space="preserve"> </w:t>
      </w:r>
      <w:r>
        <w:t xml:space="preserve">on</w:t>
      </w:r>
      <w:r>
        <w:t xml:space="preserve"> </w:t>
      </w:r>
      <w:r>
        <w:t xml:space="preserve">open</w:t>
      </w:r>
      <w:r>
        <w:t xml:space="preserve"> </w:t>
      </w:r>
      <w:r>
        <w:t xml:space="preserve">model</w:t>
      </w:r>
      <w:r>
        <w:t xml:space="preserve"> </w:t>
      </w:r>
      <w:r>
        <w:t xml:space="preserve">pairs.</w:t>
      </w:r>
      <w:r>
        <w:t xml:space="preserve"> </w:t>
      </w:r>
      <w:r>
        <w:t xml:space="preserve">Within</w:t>
      </w:r>
      <w:r>
        <w:t xml:space="preserve"> </w:t>
      </w:r>
      <w:r>
        <w:t xml:space="preserve">one</w:t>
      </w:r>
      <w:r>
        <w:t xml:space="preserve"> </w:t>
      </w:r>
      <w:r>
        <w:t xml:space="preserve">model</w:t>
      </w:r>
      <w:r>
        <w:t xml:space="preserve"> </w:t>
      </w:r>
      <w:r>
        <w:t xml:space="preserve">family,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96</w:t>
      </w:r>
      <w:r>
        <w:t xml:space="preserve"> </w:t>
      </w:r>
      <w:r>
        <w:t xml:space="preserve">percent</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after</w:t>
      </w:r>
      <w:r>
        <w:t xml:space="preserve"> </w:t>
      </w:r>
      <w:r>
        <w:t xml:space="preserve">a</w:t>
      </w:r>
      <w:r>
        <w:t xml:space="preserve"> </w:t>
      </w:r>
      <w:r>
        <w:t xml:space="preserve">small</w:t>
      </w:r>
      <w:r>
        <w:t xml:space="preserve"> </w:t>
      </w:r>
      <w:r>
        <w:t xml:space="preserve">upgrade,</w:t>
      </w:r>
      <w:r>
        <w:t xml:space="preserve"> </w:t>
      </w:r>
      <w:r>
        <w:t xml:space="preserve">55</w:t>
      </w:r>
      <w:r>
        <w:t xml:space="preserve"> </w:t>
      </w:r>
      <w:r>
        <w:t xml:space="preserve">percent</w:t>
      </w:r>
      <w:r>
        <w:t xml:space="preserve"> </w:t>
      </w:r>
      <w:r>
        <w:t xml:space="preserve">after</w:t>
      </w:r>
      <w:r>
        <w:t xml:space="preserve"> </w:t>
      </w:r>
      <w:r>
        <w:t xml:space="preserve">a</w:t>
      </w:r>
      <w:r>
        <w:t xml:space="preserve"> </w:t>
      </w:r>
      <w:r>
        <w:t xml:space="preserve">larger</w:t>
      </w:r>
      <w:r>
        <w:t xml:space="preserve"> </w:t>
      </w:r>
      <w:r>
        <w:t xml:space="preserve">one,</w:t>
      </w:r>
      <w:r>
        <w:t xml:space="preserve"> </w:t>
      </w:r>
      <w:r>
        <w:t xml:space="preserve">and</w:t>
      </w:r>
      <w:r>
        <w:t xml:space="preserve"> </w:t>
      </w:r>
      <w:r>
        <w:t xml:space="preserve">only</w:t>
      </w:r>
      <w:r>
        <w:t xml:space="preserve"> </w:t>
      </w:r>
      <w:r>
        <w:t xml:space="preserve">32</w:t>
      </w:r>
      <w:r>
        <w:t xml:space="preserve"> </w:t>
      </w:r>
      <w:r>
        <w:t xml:space="preserve">to</w:t>
      </w:r>
      <w:r>
        <w:t xml:space="preserve"> </w:t>
      </w:r>
      <w:r>
        <w:t xml:space="preserve">36</w:t>
      </w:r>
      <w:r>
        <w:t xml:space="preserve"> </w:t>
      </w:r>
      <w:r>
        <w:t xml:space="preserve">percent</w:t>
      </w:r>
      <w:r>
        <w:t xml:space="preserve"> </w:t>
      </w:r>
      <w:r>
        <w:t xml:space="preserve">after</w:t>
      </w:r>
      <w:r>
        <w:t xml:space="preserve"> </w:t>
      </w:r>
      <w:r>
        <w:t xml:space="preserve">the</w:t>
      </w:r>
      <w:r>
        <w:t xml:space="preserve"> </w:t>
      </w:r>
      <w:r>
        <w:t xml:space="preserve">largest</w:t>
      </w:r>
      <w:r>
        <w:t xml:space="preserve"> </w:t>
      </w:r>
      <w:r>
        <w:t xml:space="preserve">(two</w:t>
      </w:r>
      <w:r>
        <w:t xml:space="preserve"> </w:t>
      </w:r>
      <w:r>
        <w:t xml:space="preserve">seeds);</w:t>
      </w:r>
      <w:r>
        <w:t xml:space="preserve"> </w:t>
      </w:r>
      <w:r>
        <w:t xml:space="preserve">after</w:t>
      </w:r>
      <w:r>
        <w:t xml:space="preserve"> </w:t>
      </w:r>
      <w:r>
        <w:t xml:space="preserve">instruction</w:t>
      </w:r>
      <w:r>
        <w:t xml:space="preserve"> </w:t>
      </w:r>
      <w:r>
        <w:t xml:space="preserve">tuning</w:t>
      </w:r>
      <w:r>
        <w:t xml:space="preserve"> </w:t>
      </w:r>
      <w:r>
        <w:t xml:space="preserve">it</w:t>
      </w:r>
      <w:r>
        <w:t xml:space="preserve"> </w:t>
      </w:r>
      <w:r>
        <w:t xml:space="preserve">restores</w:t>
      </w:r>
      <w:r>
        <w:t xml:space="preserve"> </w:t>
      </w:r>
      <w:r>
        <w:t xml:space="preserve">71</w:t>
      </w:r>
      <w:r>
        <w:t xml:space="preserve"> </w:t>
      </w:r>
      <w:r>
        <w:t xml:space="preserve">percent.</w:t>
      </w:r>
      <w:r>
        <w:t xml:space="preserve"> </w:t>
      </w:r>
      <w:r>
        <w:t xml:space="preserve">A</w:t>
      </w:r>
      <w:r>
        <w:t xml:space="preserve"> </w:t>
      </w:r>
      <w:r>
        <w:t xml:space="preserve">label-free,</w:t>
      </w:r>
      <w:r>
        <w:t xml:space="preserve"> </w:t>
      </w:r>
      <w:r>
        <w:t xml:space="preserve">closed-form</w:t>
      </w:r>
      <w:r>
        <w:t xml:space="preserve"> </w:t>
      </w:r>
      <w:r>
        <w:t xml:space="preserve">transfer</w:t>
      </w:r>
      <w:r>
        <w:t xml:space="preserve"> </w:t>
      </w:r>
      <w:r>
        <w:t xml:space="preserve">method,</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improves</w:t>
      </w:r>
      <w:r>
        <w:t xml:space="preserve"> </w:t>
      </w:r>
      <w:r>
        <w:t xml:space="preserve">on</w:t>
      </w:r>
      <w:r>
        <w:t xml:space="preserve"> </w:t>
      </w:r>
      <w:r>
        <w:t xml:space="preserve">copying</w:t>
      </w:r>
      <w:r>
        <w:t xml:space="preserve"> </w:t>
      </w:r>
      <w:r>
        <w:t xml:space="preserve">by</w:t>
      </w:r>
      <w:r>
        <w:t xml:space="preserve"> </w:t>
      </w:r>
      <w:r>
        <w:t xml:space="preserve">an</w:t>
      </w:r>
      <w:r>
        <w:t xml:space="preserve"> </w:t>
      </w:r>
      <w:r>
        <w:t xml:space="preserve">amount</w:t>
      </w:r>
      <w:r>
        <w:t xml:space="preserve"> </w:t>
      </w:r>
      <w:r>
        <w:t xml:space="preserve">that</w:t>
      </w:r>
      <w:r>
        <w:t xml:space="preserve"> </w:t>
      </w:r>
      <w:r>
        <w:t xml:space="preserve">rises</w:t>
      </w:r>
      <w:r>
        <w:t xml:space="preserve"> </w:t>
      </w:r>
      <w:r>
        <w:t xml:space="preserve">steadily</w:t>
      </w:r>
      <w:r>
        <w:t xml:space="preserve"> </w:t>
      </w:r>
      <w:r>
        <w:t xml:space="preserve">with</w:t>
      </w:r>
      <w:r>
        <w:t xml:space="preserve"> </w:t>
      </w:r>
      <w:r>
        <w:t xml:space="preserve">the</w:t>
      </w:r>
      <w:r>
        <w:t xml:space="preserve"> </w:t>
      </w:r>
      <w:r>
        <w:t xml:space="preserve">size</w:t>
      </w:r>
      <w:r>
        <w:t xml:space="preserve"> </w:t>
      </w:r>
      <w:r>
        <w:t xml:space="preserve">of</w:t>
      </w:r>
      <w:r>
        <w:t xml:space="preserve"> </w:t>
      </w:r>
      <w:r>
        <w:t xml:space="preserve">the</w:t>
      </w:r>
      <w:r>
        <w:t xml:space="preserve"> </w:t>
      </w:r>
      <w:r>
        <w:t xml:space="preserve">upgrade.</w:t>
      </w:r>
      <w:r>
        <w:t xml:space="preserve"> </w:t>
      </w:r>
      <w:r>
        <w:t xml:space="preserve">After</w:t>
      </w:r>
      <w:r>
        <w:t xml:space="preserve"> </w:t>
      </w:r>
      <w:r>
        <w:t xml:space="preserve">the</w:t>
      </w:r>
      <w:r>
        <w:t xml:space="preserve"> </w:t>
      </w:r>
      <w:r>
        <w:t xml:space="preserve">largest</w:t>
      </w:r>
      <w:r>
        <w:t xml:space="preserve"> </w:t>
      </w:r>
      <w:r>
        <w:t xml:space="preserve">upgrade</w:t>
      </w:r>
      <w:r>
        <w:t xml:space="preserve"> </w:t>
      </w:r>
      <w:r>
        <w:t xml:space="preserve">it</w:t>
      </w:r>
      <w:r>
        <w:t xml:space="preserve"> </w:t>
      </w:r>
      <w:r>
        <w:t xml:space="preserve">restores</w:t>
      </w:r>
      <w:r>
        <w:t xml:space="preserve"> </w:t>
      </w:r>
      <w:r>
        <w:t xml:space="preserve">69</w:t>
      </w:r>
      <w:r>
        <w:t xml:space="preserve"> </w:t>
      </w:r>
      <w:r>
        <w:t xml:space="preserve">to</w:t>
      </w:r>
      <w:r>
        <w:t xml:space="preserve"> </w:t>
      </w:r>
      <w:r>
        <w:t xml:space="preserve">72</w:t>
      </w:r>
      <w:r>
        <w:t xml:space="preserve"> </w:t>
      </w:r>
      <w:r>
        <w:t xml:space="preserve">percent</w:t>
      </w:r>
      <w:r>
        <w:t xml:space="preserve"> </w:t>
      </w:r>
      <w:r>
        <w:t xml:space="preserve">at</w:t>
      </w:r>
      <w:r>
        <w:t xml:space="preserve"> </w:t>
      </w:r>
      <w:r>
        <w:t xml:space="preserve">about</w:t>
      </w:r>
      <w:r>
        <w:t xml:space="preserve"> </w:t>
      </w:r>
      <w:r>
        <w:t xml:space="preserve">a</w:t>
      </w:r>
      <w:r>
        <w:t xml:space="preserve"> </w:t>
      </w:r>
      <w:r>
        <w:t xml:space="preserve">third</w:t>
      </w:r>
      <w:r>
        <w:t xml:space="preserve"> </w:t>
      </w:r>
      <w:r>
        <w:t xml:space="preserve">of</w:t>
      </w:r>
      <w:r>
        <w:t xml:space="preserve"> </w:t>
      </w:r>
      <w:r>
        <w:t xml:space="preserve">the</w:t>
      </w:r>
      <w:r>
        <w:t xml:space="preserve"> </w:t>
      </w:r>
      <w:r>
        <w:t xml:space="preserve">retraining</w:t>
      </w:r>
      <w:r>
        <w:t xml:space="preserve"> </w:t>
      </w:r>
      <w:r>
        <w:t xml:space="preserve">compute</w:t>
      </w:r>
      <w:r>
        <w:t xml:space="preserve"> </w:t>
      </w:r>
      <w:r>
        <w:t xml:space="preserve">time,</w:t>
      </w:r>
      <w:r>
        <w:t xml:space="preserve"> </w:t>
      </w:r>
      <w:r>
        <w:t xml:space="preserve">which</w:t>
      </w:r>
      <w:r>
        <w:t xml:space="preserve"> </w:t>
      </w:r>
      <w:r>
        <w:t xml:space="preserve">makes</w:t>
      </w:r>
      <w:r>
        <w:t xml:space="preserve"> </w:t>
      </w:r>
      <w:r>
        <w:t xml:space="preserve">it</w:t>
      </w:r>
      <w:r>
        <w:t xml:space="preserve"> </w:t>
      </w:r>
      <w:r>
        <w:t xml:space="preserve">the</w:t>
      </w:r>
      <w:r>
        <w:t xml:space="preserve"> </w:t>
      </w:r>
      <w:r>
        <w:t xml:space="preserve">cost-minimizing</w:t>
      </w:r>
      <w:r>
        <w:t xml:space="preserve"> </w:t>
      </w:r>
      <w:r>
        <w:t xml:space="preserve">policy</w:t>
      </w:r>
      <w:r>
        <w:t xml:space="preserve"> </w:t>
      </w:r>
      <w:r>
        <w:t xml:space="preserve">for</w:t>
      </w:r>
      <w:r>
        <w:t xml:space="preserve"> </w:t>
      </w:r>
      <w:r>
        <w:t xml:space="preserve">adapters</w:t>
      </w:r>
      <w:r>
        <w:t xml:space="preserve"> </w:t>
      </w:r>
      <w:r>
        <w:t xml:space="preserve">whose</w:t>
      </w:r>
      <w:r>
        <w:t xml:space="preserve"> </w:t>
      </w:r>
      <w:r>
        <w:t xml:space="preserve">annual</w:t>
      </w:r>
      <w:r>
        <w:t xml:space="preserve"> </w:t>
      </w:r>
      <w:r>
        <w:t xml:space="preserve">value</w:t>
      </w:r>
      <w:r>
        <w:t xml:space="preserve"> </w:t>
      </w:r>
      <w:r>
        <w:t xml:space="preserve">is</w:t>
      </w:r>
      <w:r>
        <w:t xml:space="preserve"> </w:t>
      </w:r>
      <w:r>
        <w:t xml:space="preserve">roughly</w:t>
      </w:r>
      <w:r>
        <w:t xml:space="preserve"> </w:t>
      </w:r>
      <w:r>
        <w:t xml:space="preserve">1.8</w:t>
      </w:r>
      <w:r>
        <w:t xml:space="preserve"> </w:t>
      </w:r>
      <w:r>
        <w:t xml:space="preserve">to</w:t>
      </w:r>
      <w:r>
        <w:t xml:space="preserve"> </w:t>
      </w:r>
      <w:r>
        <w:t xml:space="preserve">4.4</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The</w:t>
      </w:r>
      <w:r>
        <w:t xml:space="preserve"> </w:t>
      </w:r>
      <w:r>
        <w:t xml:space="preserve">pattern</w:t>
      </w:r>
      <w:r>
        <w:t xml:space="preserve"> </w:t>
      </w:r>
      <w:r>
        <w:t xml:space="preserve">repeats</w:t>
      </w:r>
      <w:r>
        <w:t xml:space="preserve"> </w:t>
      </w:r>
      <w:r>
        <w:t xml:space="preserve">at</w:t>
      </w:r>
      <w:r>
        <w:t xml:space="preserve"> </w:t>
      </w:r>
      <w:r>
        <w:t xml:space="preserve">70</w:t>
      </w:r>
      <w:r>
        <w:t xml:space="preserve"> </w:t>
      </w:r>
      <w:r>
        <w:t xml:space="preserve">and</w:t>
      </w:r>
      <w:r>
        <w:t xml:space="preserve"> </w:t>
      </w:r>
      <w:r>
        <w:t xml:space="preserve">410</w:t>
      </w:r>
      <w:r>
        <w:t xml:space="preserve"> </w:t>
      </w:r>
      <w:r>
        <w:t xml:space="preserve">million</w:t>
      </w:r>
      <w:r>
        <w:t xml:space="preserve"> </w:t>
      </w:r>
      <w:r>
        <w:t xml:space="preserve">parameters.</w:t>
      </w:r>
      <w:r>
        <w:t xml:space="preserve"> </w:t>
      </w:r>
      <w:r>
        <w:t xml:space="preserve">ACT’s</w:t>
      </w:r>
      <w:r>
        <w:t xml:space="preserve"> </w:t>
      </w:r>
      <w:r>
        <w:t xml:space="preserve">compute</w:t>
      </w:r>
      <w:r>
        <w:t xml:space="preserve"> </w:t>
      </w:r>
      <w:r>
        <w:t xml:space="preserve">time</w:t>
      </w:r>
      <w:r>
        <w:t xml:space="preserve"> </w:t>
      </w:r>
      <w:r>
        <w:t xml:space="preserve">relative</w:t>
      </w:r>
      <w:r>
        <w:t xml:space="preserve"> </w:t>
      </w:r>
      <w:r>
        <w:t xml:space="preserve">to</w:t>
      </w:r>
      <w:r>
        <w:t xml:space="preserve"> </w:t>
      </w:r>
      <w:r>
        <w:t xml:space="preserve">retraining</w:t>
      </w:r>
      <w:r>
        <w:t xml:space="preserve"> </w:t>
      </w:r>
      <w:r>
        <w:t xml:space="preserve">rose</w:t>
      </w:r>
      <w:r>
        <w:t xml:space="preserve"> </w:t>
      </w:r>
      <w:r>
        <w:t xml:space="preserve">from</w:t>
      </w:r>
      <w:r>
        <w:t xml:space="preserve"> </w:t>
      </w:r>
      <w:r>
        <w:t xml:space="preserve">0.14</w:t>
      </w:r>
      <w:r>
        <w:t xml:space="preserve"> </w:t>
      </w:r>
      <w:r>
        <w:t xml:space="preserve">to</w:t>
      </w:r>
      <w:r>
        <w:t xml:space="preserve"> </w:t>
      </w:r>
      <w:r>
        <w:t xml:space="preserve">0.70</w:t>
      </w:r>
      <w:r>
        <w:t xml:space="preserve"> </w:t>
      </w:r>
      <w:r>
        <w:t xml:space="preserve">with</w:t>
      </w:r>
      <w:r>
        <w:t xml:space="preserve"> </w:t>
      </w:r>
      <w:r>
        <w:t xml:space="preserve">model</w:t>
      </w:r>
      <w:r>
        <w:t xml:space="preserve"> </w:t>
      </w:r>
      <w:r>
        <w:t xml:space="preserve">size</w:t>
      </w:r>
      <w:r>
        <w:t xml:space="preserve"> </w:t>
      </w:r>
      <w:r>
        <w:t xml:space="preserve">in</w:t>
      </w:r>
      <w:r>
        <w:t xml:space="preserve"> </w:t>
      </w:r>
      <w:r>
        <w:t xml:space="preserve">our</w:t>
      </w:r>
      <w:r>
        <w:t xml:space="preserve"> </w:t>
      </w:r>
      <w:r>
        <w:t xml:space="preserve">first</w:t>
      </w:r>
      <w:r>
        <w:t xml:space="preserve"> </w:t>
      </w:r>
      <w:r>
        <w:t xml:space="preserve">implementation;</w:t>
      </w:r>
      <w:r>
        <w:t xml:space="preserve"> </w:t>
      </w:r>
      <w:r>
        <w:t xml:space="preserve">caching</w:t>
      </w:r>
      <w:r>
        <w:t xml:space="preserve"> </w:t>
      </w:r>
      <w:r>
        <w:t xml:space="preserve">layer</w:t>
      </w:r>
      <w:r>
        <w:t xml:space="preserve"> </w:t>
      </w:r>
      <w:r>
        <w:t xml:space="preserve">inputs,</w:t>
      </w:r>
      <w:r>
        <w:t xml:space="preserve"> </w:t>
      </w:r>
      <w:r>
        <w:t xml:space="preserve">which</w:t>
      </w:r>
      <w:r>
        <w:t xml:space="preserve"> </w:t>
      </w:r>
      <w:r>
        <w:t xml:space="preserve">leaves</w:t>
      </w:r>
      <w:r>
        <w:t xml:space="preserve"> </w:t>
      </w:r>
      <w:r>
        <w:t xml:space="preserve">its</w:t>
      </w:r>
      <w:r>
        <w:t xml:space="preserve"> </w:t>
      </w:r>
      <w:r>
        <w:t xml:space="preserve">output</w:t>
      </w:r>
      <w:r>
        <w:t xml:space="preserve"> </w:t>
      </w:r>
      <w:r>
        <w:t xml:space="preserve">unchanged,</w:t>
      </w:r>
      <w:r>
        <w:t xml:space="preserve"> </w:t>
      </w:r>
      <w:r>
        <w:t xml:space="preserve">lowers</w:t>
      </w:r>
      <w:r>
        <w:t xml:space="preserve"> </w:t>
      </w:r>
      <w:r>
        <w:t xml:space="preserve">the</w:t>
      </w:r>
      <w:r>
        <w:t xml:space="preserve"> </w:t>
      </w:r>
      <w:r>
        <w:t xml:space="preserve">410-million</w:t>
      </w:r>
      <w:r>
        <w:t xml:space="preserve"> </w:t>
      </w:r>
      <w:r>
        <w:t xml:space="preserve">figure</w:t>
      </w:r>
      <w:r>
        <w:t xml:space="preserve"> </w:t>
      </w:r>
      <w:r>
        <w:t xml:space="preserve">to</w:t>
      </w:r>
      <w:r>
        <w:t xml:space="preserve"> </w:t>
      </w:r>
      <w:r>
        <w:t xml:space="preserve">0.28,</w:t>
      </w:r>
      <w:r>
        <w:t xml:space="preserve"> </w:t>
      </w:r>
      <w:r>
        <w:t xml:space="preserve">still</w:t>
      </w:r>
      <w:r>
        <w:t xml:space="preserve"> </w:t>
      </w:r>
      <w:r>
        <w:t xml:space="preserve">above</w:t>
      </w:r>
      <w:r>
        <w:t xml:space="preserve"> </w:t>
      </w:r>
      <w:r>
        <w:t xml:space="preserve">the</w:t>
      </w:r>
      <w:r>
        <w:t xml:space="preserve"> </w:t>
      </w:r>
      <w:r>
        <w:t xml:space="preserve">break-even</w:t>
      </w:r>
      <w:r>
        <w:t xml:space="preserve"> </w:t>
      </w:r>
      <w:r>
        <w:t xml:space="preserve">of</w:t>
      </w:r>
      <w:r>
        <w:t xml:space="preserve"> </w:t>
      </w:r>
      <w:r>
        <w:t xml:space="preserve">0.21,</w:t>
      </w:r>
      <w:r>
        <w:t xml:space="preserve"> </w:t>
      </w:r>
      <w:r>
        <w:t xml:space="preserve">so</w:t>
      </w:r>
      <w:r>
        <w:t xml:space="preserve"> </w:t>
      </w:r>
      <w:r>
        <w:t xml:space="preserve">at</w:t>
      </w:r>
      <w:r>
        <w:t xml:space="preserve"> </w:t>
      </w:r>
      <w:r>
        <w:t xml:space="preserve">that</w:t>
      </w:r>
      <w:r>
        <w:t xml:space="preserve"> </w:t>
      </w:r>
      <w:r>
        <w:t xml:space="preserve">size</w:t>
      </w:r>
      <w:r>
        <w:t xml:space="preserve"> </w:t>
      </w:r>
      <w:r>
        <w:t xml:space="preserve">ACT</w:t>
      </w:r>
      <w:r>
        <w:t xml:space="preserve"> </w:t>
      </w:r>
      <w:r>
        <w:t xml:space="preserve">does</w:t>
      </w:r>
      <w:r>
        <w:t xml:space="preserve"> </w:t>
      </w:r>
      <w:r>
        <w:t xml:space="preserve">not</w:t>
      </w:r>
      <w:r>
        <w:t xml:space="preserve"> </w:t>
      </w:r>
      <w:r>
        <w:t xml:space="preserve">pay.</w:t>
      </w:r>
      <w:r>
        <w:t xml:space="preserve"> </w:t>
      </w:r>
      <w:r>
        <w:t xml:space="preserve">After</w:t>
      </w:r>
      <w:r>
        <w:t xml:space="preserve"> </w:t>
      </w:r>
      <w:r>
        <w:t xml:space="preserve">smaller</w:t>
      </w:r>
      <w:r>
        <w:t xml:space="preserve"> </w:t>
      </w:r>
      <w:r>
        <w:t xml:space="preserve">upgrades</w:t>
      </w:r>
      <w:r>
        <w:t xml:space="preserve"> </w:t>
      </w:r>
      <w:r>
        <w:t xml:space="preserve">its</w:t>
      </w:r>
      <w:r>
        <w:t xml:space="preserve"> </w:t>
      </w:r>
      <w:r>
        <w:t xml:space="preserve">gain</w:t>
      </w:r>
      <w:r>
        <w:t xml:space="preserve"> </w:t>
      </w:r>
      <w:r>
        <w:t xml:space="preserve">does</w:t>
      </w:r>
      <w:r>
        <w:t xml:space="preserve"> </w:t>
      </w:r>
      <w:r>
        <w:t xml:space="preserve">not</w:t>
      </w:r>
      <w:r>
        <w:t xml:space="preserve"> </w:t>
      </w:r>
      <w:r>
        <w:t xml:space="preserve">cover</w:t>
      </w:r>
      <w:r>
        <w:t xml:space="preserve"> </w:t>
      </w:r>
      <w:r>
        <w:t xml:space="preserve">its</w:t>
      </w:r>
      <w:r>
        <w:t xml:space="preserve"> </w:t>
      </w:r>
      <w:r>
        <w:t xml:space="preserve">cost,</w:t>
      </w:r>
      <w:r>
        <w:t xml:space="preserve"> </w:t>
      </w:r>
      <w:r>
        <w:t xml:space="preserve">and</w:t>
      </w:r>
      <w:r>
        <w:t xml:space="preserve"> </w:t>
      </w:r>
      <w:r>
        <w:t xml:space="preserve">on</w:t>
      </w:r>
      <w:r>
        <w:t xml:space="preserve"> </w:t>
      </w:r>
      <w:r>
        <w:t xml:space="preserve">an</w:t>
      </w:r>
      <w:r>
        <w:t xml:space="preserve"> </w:t>
      </w:r>
      <w:r>
        <w:t xml:space="preserve">instruction-tuned</w:t>
      </w:r>
      <w:r>
        <w:t xml:space="preserve"> </w:t>
      </w:r>
      <w:r>
        <w:t xml:space="preserve">pair</w:t>
      </w:r>
      <w:r>
        <w:t xml:space="preserve"> </w:t>
      </w:r>
      <w:r>
        <w:t xml:space="preserve">it</w:t>
      </w:r>
      <w:r>
        <w:t xml:space="preserve"> </w:t>
      </w:r>
      <w:r>
        <w:t xml:space="preserve">gives</w:t>
      </w:r>
      <w:r>
        <w:t xml:space="preserve"> </w:t>
      </w:r>
      <w:r>
        <w:t xml:space="preserve">no</w:t>
      </w:r>
      <w:r>
        <w:t xml:space="preserve"> </w:t>
      </w:r>
      <w:r>
        <w:t xml:space="preserve">gain</w:t>
      </w:r>
      <w:r>
        <w:t xml:space="preserve"> </w:t>
      </w:r>
      <w:r>
        <w:t xml:space="preserve">at</w:t>
      </w:r>
      <w:r>
        <w:t xml:space="preserve"> </w:t>
      </w:r>
      <w:r>
        <w:t xml:space="preserve">all,</w:t>
      </w:r>
      <w:r>
        <w:t xml:space="preserve"> </w:t>
      </w:r>
      <w:r>
        <w:t xml:space="preserve">for</w:t>
      </w:r>
      <w:r>
        <w:t xml:space="preserve"> </w:t>
      </w:r>
      <w:r>
        <w:t xml:space="preserve">a</w:t>
      </w:r>
      <w:r>
        <w:t xml:space="preserve"> </w:t>
      </w:r>
      <w:r>
        <w:t xml:space="preserve">reason</w:t>
      </w:r>
      <w:r>
        <w:t xml:space="preserve"> </w:t>
      </w:r>
      <w:r>
        <w:t xml:space="preserve">we</w:t>
      </w:r>
      <w:r>
        <w:t xml:space="preserve"> </w:t>
      </w:r>
      <w:r>
        <w:t xml:space="preserve">could</w:t>
      </w:r>
      <w:r>
        <w:t xml:space="preserve"> </w:t>
      </w:r>
      <w:r>
        <w:t xml:space="preserve">not</w:t>
      </w:r>
      <w:r>
        <w:t xml:space="preserve"> </w:t>
      </w:r>
      <w:r>
        <w:t xml:space="preserve">identify.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model</w:t>
      </w:r>
      <w:r>
        <w:t xml:space="preserve"> </w:t>
      </w:r>
      <w:r>
        <w:t xml:space="preserve">gives</w:t>
      </w:r>
      <w:r>
        <w:t xml:space="preserve"> </w:t>
      </w:r>
      <w:r>
        <w:t xml:space="preserve">practitioners</w:t>
      </w:r>
      <w:r>
        <w:t xml:space="preserve"> </w:t>
      </w:r>
      <w:r>
        <w:t xml:space="preserve">a</w:t>
      </w:r>
      <w:r>
        <w:t xml:space="preserve"> </w:t>
      </w:r>
      <w:r>
        <w:t xml:space="preserve">checkable</w:t>
      </w:r>
      <w:r>
        <w:t xml:space="preserve"> </w:t>
      </w:r>
      <w:r>
        <w:t xml:space="preserve">rule</w:t>
      </w:r>
      <w:r>
        <w:t xml:space="preserve"> </w:t>
      </w:r>
      <w:r>
        <w:t xml:space="preserve">for</w:t>
      </w:r>
      <w:r>
        <w:t xml:space="preserve"> </w:t>
      </w:r>
      <w:r>
        <w:t xml:space="preserve">when</w:t>
      </w:r>
      <w:r>
        <w:t xml:space="preserve"> </w:t>
      </w:r>
      <w:r>
        <w:t xml:space="preserve">transfer</w:t>
      </w:r>
      <w:r>
        <w:t xml:space="preserve"> </w:t>
      </w:r>
      <w:r>
        <w:t xml:space="preserve">is</w:t>
      </w:r>
      <w:r>
        <w:t xml:space="preserve"> </w:t>
      </w:r>
      <w:r>
        <w:t xml:space="preserve">worth</w:t>
      </w:r>
      <w:r>
        <w:t xml:space="preserve"> </w:t>
      </w:r>
      <w:r>
        <w:t xml:space="preserve">buying.</w:t>
      </w:r>
    </w:p>
    <w:p>
      <w:pPr>
        <w:pStyle w:val="FirstParagraph"/>
      </w:pPr>
      <w:r>
        <w:rPr>
          <w:bCs/>
          <w:b/>
        </w:rPr>
        <w:t xml:space="preserve">Keywords:</w:t>
      </w:r>
      <w:r>
        <w:t xml:space="preserve"> </w:t>
      </w:r>
      <w:r>
        <w:t xml:space="preserve">AI asset management; foundation model upgrades; parameter-efficient fine-tuning; maintenance policy; optimal stopping; adapter transfer</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Recovery of naive reuse as a function of upgrade size.</w:t>
      </w:r>
      <w:r>
        <w:t xml:space="preserve"> </w:t>
      </w:r>
      <w:r>
        <w:t xml:space="preserve">On open model pairs, copying the old adapter recovers 96% of the retraining</w:t>
      </w:r>
      <w:r>
        <w:t xml:space="preserve"> </w:t>
      </w:r>
      <w:r>
        <w:t xml:space="preserve">benefit after a small upgrade, 55% after a larger one, and only 32% to 36% after the largest; after an instruction-tuning upgrade it recovers 71%. Through the model these numbers imply</w:t>
      </w:r>
      <w:r>
        <w:t xml:space="preserve"> </w:t>
      </w:r>
      <w:r>
        <w:t xml:space="preserve">retraining thresholds from about 4 to about 56 times the retraining cost, so the right policy depends strongly on how far the model moved.</w:t>
      </w:r>
    </w:p>
    <w:p>
      <w:pPr>
        <w:numPr>
          <w:ilvl w:val="0"/>
          <w:numId w:val="1001"/>
        </w:numPr>
      </w:pPr>
      <w:r>
        <w:rPr>
          <w:iCs/>
          <w:i/>
        </w:rPr>
        <w:t xml:space="preserve">A transfer method priced by the rule.</w:t>
      </w:r>
      <w:r>
        <w:t xml:space="preserve"> </w:t>
      </w:r>
      <w:r>
        <w:t xml:space="preserve">We propose Anchored Calibration Transfer (ACT), a closed-form, label-free correction of the adapter.</w:t>
      </w:r>
      <w:r>
        <w:t xml:space="preserve"> </w:t>
      </w:r>
      <w:r>
        <w:t xml:space="preserve">Its gain over copying rises steadily with the size of the upgrade, reaching 0.33 to 0.40 after the largest at 160 million parameters (two seeds), where it restores 69% to 72% of the retraining benefit at 30% to 36% of the retraining compute time and is the</w:t>
      </w:r>
      <w:r>
        <w:t xml:space="preserve"> </w:t>
      </w:r>
      <w:r>
        <w:t xml:space="preserve">cost-minimizing policy over a bounded range of adapter values. The gain also appears at 70 and 410 million parameters. ACT’s compute time relative to retraining rose from 0.14 to 0.70 with model size in our first implementation, and a version that caches layer inputs and leaves the output unchanged lowers the 410-million figure to 0.28, which is still above the break-even of 0.21, so at that size ACT does not pay.</w:t>
      </w:r>
      <w:r>
        <w:t xml:space="preserve"> </w:t>
      </w:r>
      <w:r>
        <w:t xml:space="preserve">After smaller upgrades its gain does not cover its cost, and on the instruction-tuned pair it gives no gain, for a reason we could not identify.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asks where ACT helps and tests explanations for its exceptions,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This paper concerns the transfer of an adapter</w:t>
      </w:r>
      <w:r>
        <w:t xml:space="preserve"> </w:t>
      </w:r>
      <w:r>
        <w:rPr>
          <w:iCs/>
          <w:i/>
        </w:rPr>
        <w:t xml:space="preserve">across</w:t>
      </w:r>
      <w:r>
        <w:t xml:space="preserve"> </w:t>
      </w:r>
      <w:r>
        <w:t xml:space="preserve">base-model versions. ACT is a closed-form, label-free candidate method for that setting,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30%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456"/>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181"/>
          </w:tcPr>
          <w:p>
            <w:pPr>
              <w:pStyle w:val="Compact"/>
              <w:spacing w:line="240" w:lineRule="auto"/>
              <w:jc w:val="center"/>
            </w:pPr>
            <w:r>
              <w:rPr>
                <w:rFonts w:ascii="Times New Roman" w:hAnsi="Times New Roman"/>
                <w:sz w:val="20"/>
              </w:rPr>
              <w:t xml:space="preserve">0.996</w:t>
            </w:r>
          </w:p>
        </w:tc>
        <w:tc>
          <w:tcPr>
            <w:tcW w:type="dxa" w:w="1181"/>
          </w:tcPr>
          <w:p>
            <w:pPr>
              <w:pStyle w:val="Compact"/>
              <w:spacing w:line="240" w:lineRule="auto"/>
              <w:jc w:val="center"/>
            </w:pPr>
            <w:r>
              <w:rPr>
                <w:rFonts w:ascii="Times New Roman" w:hAnsi="Times New Roman"/>
                <w:sz w:val="20"/>
              </w:rPr>
              <w:t xml:space="preserve">0.982</w:t>
            </w:r>
          </w:p>
        </w:tc>
        <w:tc>
          <w:tcPr>
            <w:tcW w:type="dxa" w:w="1181"/>
          </w:tcPr>
          <w:p>
            <w:pPr>
              <w:pStyle w:val="Compact"/>
              <w:spacing w:line="240" w:lineRule="auto"/>
              <w:jc w:val="center"/>
            </w:pPr>
            <w:r>
              <w:rPr>
                <w:rFonts w:ascii="Times New Roman" w:hAnsi="Times New Roman"/>
                <w:sz w:val="20"/>
              </w:rPr>
              <w:t xml:space="preserve">0.955</w:t>
            </w:r>
          </w:p>
        </w:tc>
        <w:tc>
          <w:tcPr>
            <w:tcW w:type="dxa" w:w="1181"/>
          </w:tcPr>
          <w:p>
            <w:pPr>
              <w:pStyle w:val="Compact"/>
              <w:spacing w:line="240" w:lineRule="auto"/>
              <w:jc w:val="center"/>
            </w:pPr>
            <w:r>
              <w:rPr>
                <w:rFonts w:ascii="Times New Roman" w:hAnsi="Times New Roman"/>
                <w:sz w:val="20"/>
              </w:rPr>
              <w:t xml:space="preserve">0.846</w:t>
            </w:r>
          </w:p>
        </w:tc>
        <w:tc>
          <w:tcPr>
            <w:tcW w:type="dxa" w:w="1181"/>
          </w:tcPr>
          <w:p>
            <w:pPr>
              <w:pStyle w:val="Compact"/>
              <w:spacing w:line="240" w:lineRule="auto"/>
              <w:jc w:val="center"/>
            </w:pPr>
            <w:r>
              <w:rPr>
                <w:rFonts w:ascii="Times New Roman" w:hAnsi="Times New Roman"/>
                <w:sz w:val="20"/>
              </w:rPr>
              <w:t xml:space="preserve">0.489</w:t>
            </w:r>
          </w:p>
        </w:tc>
      </w:tr>
      <w:tr>
        <w:tc>
          <w:tcPr>
            <w:tcW w:type="dxa" w:w="3456"/>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181"/>
          </w:tcPr>
          <w:p>
            <w:pPr>
              <w:pStyle w:val="Compact"/>
              <w:spacing w:line="240" w:lineRule="auto"/>
              <w:jc w:val="center"/>
            </w:pPr>
            <w:r>
              <w:rPr>
                <w:rFonts w:ascii="Times New Roman" w:hAnsi="Times New Roman"/>
                <w:sz w:val="20"/>
              </w:rPr>
              <w:t xml:space="preserve">0.998</w:t>
            </w:r>
          </w:p>
        </w:tc>
        <w:tc>
          <w:tcPr>
            <w:tcW w:type="dxa" w:w="1181"/>
          </w:tcPr>
          <w:p>
            <w:pPr>
              <w:pStyle w:val="Compact"/>
              <w:spacing w:line="240" w:lineRule="auto"/>
              <w:jc w:val="center"/>
            </w:pPr>
            <w:r>
              <w:rPr>
                <w:rFonts w:ascii="Times New Roman" w:hAnsi="Times New Roman"/>
                <w:sz w:val="20"/>
              </w:rPr>
              <w:t xml:space="preserve">0.990</w:t>
            </w:r>
          </w:p>
        </w:tc>
        <w:tc>
          <w:tcPr>
            <w:tcW w:type="dxa" w:w="1181"/>
          </w:tcPr>
          <w:p>
            <w:pPr>
              <w:pStyle w:val="Compact"/>
              <w:spacing w:line="240" w:lineRule="auto"/>
              <w:jc w:val="center"/>
            </w:pPr>
            <w:r>
              <w:rPr>
                <w:rFonts w:ascii="Times New Roman" w:hAnsi="Times New Roman"/>
                <w:sz w:val="20"/>
              </w:rPr>
              <w:t xml:space="preserve">0.975</w:t>
            </w:r>
          </w:p>
        </w:tc>
        <w:tc>
          <w:tcPr>
            <w:tcW w:type="dxa" w:w="1181"/>
          </w:tcPr>
          <w:p>
            <w:pPr>
              <w:pStyle w:val="Compact"/>
              <w:spacing w:line="240" w:lineRule="auto"/>
              <w:jc w:val="center"/>
            </w:pPr>
            <w:r>
              <w:rPr>
                <w:rFonts w:ascii="Times New Roman" w:hAnsi="Times New Roman"/>
                <w:sz w:val="20"/>
              </w:rPr>
              <w:t xml:space="preserve">0.910</w:t>
            </w:r>
          </w:p>
        </w:tc>
        <w:tc>
          <w:tcPr>
            <w:tcW w:type="dxa" w:w="1181"/>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456"/>
          </w:tcPr>
          <w:p>
            <w:pPr>
              <w:pStyle w:val="Compact"/>
              <w:spacing w:line="240" w:lineRule="auto"/>
              <w:jc w:val="left"/>
            </w:pPr>
            <w:r>
              <w:rPr>
                <w:rFonts w:ascii="Times New Roman" w:hAnsi="Times New Roman"/>
                <w:sz w:val="20"/>
              </w:rPr>
              <w:t xml:space="preserve">0.8</w:t>
            </w:r>
          </w:p>
        </w:tc>
        <w:tc>
          <w:tcPr>
            <w:tcW w:type="dxa" w:w="984"/>
          </w:tcPr>
          <w:p>
            <w:pPr>
              <w:pStyle w:val="Compact"/>
              <w:spacing w:line="240" w:lineRule="auto"/>
              <w:jc w:val="center"/>
            </w:pPr>
            <w:r>
              <w:rPr>
                <w:rFonts w:ascii="Times New Roman" w:hAnsi="Times New Roman"/>
                <w:sz w:val="20"/>
              </w:rPr>
              <w:t xml:space="preserve">0.489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4.81</w:t>
            </w:r>
          </w:p>
        </w:tc>
        <w:tc>
          <w:tcPr>
            <w:tcW w:type="dxa" w:w="984"/>
          </w:tcPr>
          <w:p>
            <w:pPr>
              <w:pStyle w:val="Compact"/>
              <w:spacing w:line="240" w:lineRule="auto"/>
              <w:jc w:val="center"/>
            </w:pPr>
            <w:r>
              <w:rPr>
                <w:rFonts w:ascii="Times New Roman" w:hAnsi="Times New Roman"/>
                <w:sz w:val="20"/>
              </w:rPr>
              <w:t xml:space="preserve">7.96</w:t>
            </w:r>
          </w:p>
        </w:tc>
        <w:tc>
          <w:tcPr>
            <w:tcW w:type="dxa" w:w="984"/>
          </w:tcPr>
          <w:p>
            <w:pPr>
              <w:pStyle w:val="Compact"/>
              <w:spacing w:line="240" w:lineRule="auto"/>
              <w:jc w:val="center"/>
            </w:pPr>
            <w:r>
              <w:rPr>
                <w:rFonts w:ascii="Times New Roman" w:hAnsi="Times New Roman"/>
                <w:sz w:val="20"/>
              </w:rPr>
              <w:t xml:space="preserve">[0.47, 6.68)</w:t>
            </w:r>
          </w:p>
        </w:tc>
        <w:tc>
          <w:tcPr>
            <w:tcW w:type="dxa" w:w="984"/>
          </w:tcPr>
          <w:p>
            <w:pPr>
              <w:pStyle w:val="Compact"/>
              <w:spacing w:line="240" w:lineRule="auto"/>
              <w:jc w:val="center"/>
            </w:pPr>
            <w:r>
              <w:rPr>
                <w:rFonts w:ascii="Times New Roman" w:hAnsi="Times New Roman"/>
                <w:sz w:val="20"/>
              </w:rPr>
              <w:t xml:space="preserve">0.31</w:t>
            </w:r>
          </w:p>
        </w:tc>
      </w:tr>
      <w:tr>
        <w:tc>
          <w:tcPr>
            <w:tcW w:type="dxa" w:w="3456"/>
          </w:tcPr>
          <w:p>
            <w:pPr>
              <w:pStyle w:val="Compact"/>
              <w:spacing w:line="240" w:lineRule="auto"/>
              <w:jc w:val="left"/>
            </w:pPr>
            <w:r>
              <w:rPr>
                <w:rFonts w:ascii="Times New Roman" w:hAnsi="Times New Roman"/>
                <w:sz w:val="20"/>
              </w:rPr>
              <w:t xml:space="preserve">0.3</w:t>
            </w:r>
          </w:p>
        </w:tc>
        <w:tc>
          <w:tcPr>
            <w:tcW w:type="dxa" w:w="984"/>
          </w:tcPr>
          <w:p>
            <w:pPr>
              <w:pStyle w:val="Compact"/>
              <w:spacing w:line="240" w:lineRule="auto"/>
              <w:jc w:val="center"/>
            </w:pPr>
            <w:r>
              <w:rPr>
                <w:rFonts w:ascii="Times New Roman" w:hAnsi="Times New Roman"/>
                <w:sz w:val="20"/>
              </w:rPr>
              <w:t xml:space="preserve">0.955</w:t>
            </w:r>
          </w:p>
        </w:tc>
        <w:tc>
          <w:tcPr>
            <w:tcW w:type="dxa" w:w="984"/>
          </w:tcPr>
          <w:p>
            <w:pPr>
              <w:pStyle w:val="Compact"/>
              <w:spacing w:line="240" w:lineRule="auto"/>
              <w:jc w:val="center"/>
            </w:pPr>
            <w:r>
              <w:rPr>
                <w:rFonts w:ascii="Times New Roman" w:hAnsi="Times New Roman"/>
                <w:sz w:val="20"/>
              </w:rPr>
              <w:t xml:space="preserve">0.975</w:t>
            </w:r>
          </w:p>
        </w:tc>
        <w:tc>
          <w:tcPr>
            <w:tcW w:type="dxa" w:w="984"/>
          </w:tcPr>
          <w:p>
            <w:pPr>
              <w:pStyle w:val="Compact"/>
              <w:spacing w:line="240" w:lineRule="auto"/>
              <w:jc w:val="center"/>
            </w:pPr>
            <w:r>
              <w:rPr>
                <w:rFonts w:ascii="Times New Roman" w:hAnsi="Times New Roman"/>
                <w:sz w:val="20"/>
              </w:rPr>
              <w:t xml:space="preserve">54.6</w:t>
            </w:r>
          </w:p>
        </w:tc>
        <w:tc>
          <w:tcPr>
            <w:tcW w:type="dxa" w:w="984"/>
          </w:tcPr>
          <w:p>
            <w:pPr>
              <w:pStyle w:val="Compact"/>
              <w:spacing w:line="240" w:lineRule="auto"/>
              <w:jc w:val="center"/>
            </w:pPr>
            <w:r>
              <w:rPr>
                <w:rFonts w:ascii="Times New Roman" w:hAnsi="Times New Roman"/>
                <w:sz w:val="20"/>
              </w:rPr>
              <w:t xml:space="preserve">97.9</w:t>
            </w:r>
          </w:p>
        </w:tc>
        <w:tc>
          <w:tcPr>
            <w:tcW w:type="dxa" w:w="984"/>
          </w:tcPr>
          <w:p>
            <w:pPr>
              <w:pStyle w:val="Compact"/>
              <w:spacing w:line="240" w:lineRule="auto"/>
              <w:jc w:val="center"/>
            </w:pPr>
            <w:r>
              <w:rPr>
                <w:rFonts w:ascii="Times New Roman" w:hAnsi="Times New Roman"/>
                <w:sz w:val="20"/>
              </w:rPr>
              <w:t xml:space="preserve">[4.78, 82.2)</w:t>
            </w:r>
          </w:p>
        </w:tc>
        <w:tc>
          <w:tcPr>
            <w:tcW w:type="dxa" w:w="984"/>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 using the copy recoveries and</w:t>
      </w:r>
      <w:r>
        <w:t xml:space="preserve"> </w:t>
      </w:r>
      <w:r>
        <w:t xml:space="preserve">the ACT cost ratios measured in Section 7. When transfer is cheap (</w:t>
      </w:r>
      <m:oMath>
        <m:sSub>
          <m:e>
            <m:r>
              <m:t>C</m:t>
            </m:r>
          </m:e>
          <m:sub>
            <m:r>
              <m:t>A</m:t>
            </m:r>
          </m:sub>
        </m:sSub>
        <m:r>
          <m:rPr>
            <m:sty m:val="p"/>
          </m:rPr>
          <m:t>=</m:t>
        </m:r>
        <m:r>
          <m:t>0.05</m:t>
        </m:r>
        <m:sSub>
          <m:e>
            <m:r>
              <m:t>C</m:t>
            </m:r>
          </m:e>
          <m:sub>
            <m:r>
              <m:t>N</m:t>
            </m:r>
          </m:sub>
        </m:sSub>
      </m:oMath>
      <w:r>
        <w:t xml:space="preserve">), a gain of half a point over copy suffices where copy is already</w:t>
      </w:r>
      <w:r>
        <w:t xml:space="preserve"> </w:t>
      </w:r>
      <w:r>
        <w:t xml:space="preserve">near-perfect (</w:t>
      </w:r>
      <m:oMath>
        <m:sSub>
          <m:e>
            <m:r>
              <m:t>R</m:t>
            </m:r>
          </m:e>
          <m:sub>
            <m:r>
              <m:t>C</m:t>
            </m:r>
          </m:sub>
        </m:sSub>
        <m:r>
          <m:rPr>
            <m:sty m:val="p"/>
          </m:rPr>
          <m:t>≥</m:t>
        </m:r>
        <m:r>
          <m:t>0.93</m:t>
        </m:r>
      </m:oMath>
      <w:r>
        <w:t xml:space="preserve">), and about 2 to 5 points where copy is mediocre or poor (</w:t>
      </w:r>
      <m:oMath>
        <m:sSub>
          <m:e>
            <m:r>
              <m:t>R</m:t>
            </m:r>
          </m:e>
          <m:sub>
            <m:r>
              <m:t>C</m:t>
            </m:r>
          </m:sub>
        </m:sSub>
        <m:r>
          <m:rPr>
            <m:sty m:val="p"/>
          </m:rPr>
          <m:t>=</m:t>
        </m:r>
        <m:r>
          <m:t>0.71</m:t>
        </m:r>
      </m:oMath>
      <w:r>
        <w:t xml:space="preserve">,</w:t>
      </w:r>
      <w:r>
        <w:t xml:space="preserve"> </w:t>
      </w:r>
      <m:oMath>
        <m:r>
          <m:t>0.55</m:t>
        </m:r>
      </m:oMath>
      <w:r>
        <w:t xml:space="preserve">, and</w:t>
      </w:r>
      <w:r>
        <w:t xml:space="preserve"> </w:t>
      </w:r>
      <m:oMath>
        <m:r>
          <m:t>0.32</m:t>
        </m:r>
      </m:oMath>
      <w:r>
        <w:t xml:space="preserve">). At the compute costs we measure for ACT (0.30 to 0.65 of</w:t>
      </w:r>
      <w:r>
        <w:t xml:space="preserve"> </w:t>
      </w:r>
      <m:oMath>
        <m:sSub>
          <m:e>
            <m:r>
              <m:t>C</m:t>
            </m:r>
          </m:e>
          <m:sub>
            <m:r>
              <m:t>N</m:t>
            </m:r>
          </m:sub>
        </m:sSub>
      </m:oMath>
      <w:r>
        <w:t xml:space="preserve">),</w:t>
      </w:r>
      <w:r>
        <w:t xml:space="preserve"> </w:t>
      </w:r>
      <w:r>
        <w:t xml:space="preserve">the required gain is 2 to 5 points where copy recovers 90% to 96%, about 20 points where copy recovers 55%, about 30 points where copy recovers 32%, and 21 points for the instruction-tuned pair, where ACT costs 0.65.</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456"/>
          </w:tcPr>
          <w:p>
            <w:pPr>
              <w:pStyle w:val="Compact"/>
              <w:spacing w:line="240" w:lineRule="auto"/>
              <w:jc w:val="left"/>
            </w:pPr>
            <w:r>
              <w:rPr>
                <w:rFonts w:ascii="Times New Roman" w:hAnsi="Times New Roman"/>
                <w:sz w:val="20"/>
              </w:rPr>
              <w:t xml:space="preserve">0.49 (controlled simulation)</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0.527</w:t>
            </w:r>
          </w:p>
        </w:tc>
        <w:tc>
          <w:tcPr>
            <w:tcW w:type="dxa" w:w="1968"/>
          </w:tcPr>
          <w:p>
            <w:pPr>
              <w:pStyle w:val="Compact"/>
              <w:spacing w:line="240" w:lineRule="auto"/>
              <w:jc w:val="center"/>
            </w:pPr>
            <w:r>
              <w:rPr>
                <w:rFonts w:ascii="Times New Roman" w:hAnsi="Times New Roman"/>
                <w:sz w:val="20"/>
              </w:rPr>
              <w:t xml:space="preserve">0.038</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0.370</w:t>
            </w:r>
          </w:p>
        </w:tc>
        <w:tc>
          <w:tcPr>
            <w:tcW w:type="dxa" w:w="1968"/>
          </w:tcPr>
          <w:p>
            <w:pPr>
              <w:pStyle w:val="Compact"/>
              <w:spacing w:line="240" w:lineRule="auto"/>
              <w:jc w:val="center"/>
            </w:pPr>
            <w:r>
              <w:rPr>
                <w:rFonts w:ascii="Times New Roman" w:hAnsi="Times New Roman"/>
                <w:sz w:val="20"/>
              </w:rPr>
              <w:t xml:space="preserve">0.051</w:t>
            </w:r>
          </w:p>
        </w:tc>
      </w:tr>
      <w:tr>
        <w:tc>
          <w:tcPr>
            <w:tcW w:type="dxa" w:w="3456"/>
          </w:tcPr>
          <w:p>
            <w:pPr>
              <w:pStyle w:val="Compact"/>
              <w:spacing w:line="240" w:lineRule="auto"/>
              <w:jc w:val="left"/>
            </w:pPr>
            <w:r>
              <w:rPr>
                <w:rFonts w:ascii="Times New Roman" w:hAnsi="Times New Roman"/>
                <w:sz w:val="20"/>
              </w:rPr>
              <w:t xml:space="preserve">0.32 (Pythia, largest upgrade)</w:t>
            </w:r>
          </w:p>
        </w:tc>
        <w:tc>
          <w:tcPr>
            <w:tcW w:type="dxa" w:w="1968"/>
          </w:tcPr>
          <w:p>
            <w:pPr>
              <w:pStyle w:val="Compact"/>
              <w:spacing w:line="240" w:lineRule="auto"/>
              <w:jc w:val="center"/>
            </w:pPr>
            <w:r>
              <w:rPr>
                <w:rFonts w:ascii="Times New Roman" w:hAnsi="Times New Roman"/>
                <w:sz w:val="20"/>
              </w:rPr>
              <w:t xml:space="preserve">0.36 (measured, ACT)</w:t>
            </w:r>
          </w:p>
        </w:tc>
        <w:tc>
          <w:tcPr>
            <w:tcW w:type="dxa" w:w="1968"/>
          </w:tcPr>
          <w:p>
            <w:pPr>
              <w:pStyle w:val="Compact"/>
              <w:spacing w:line="240" w:lineRule="auto"/>
              <w:jc w:val="center"/>
            </w:pPr>
            <w:r>
              <w:rPr>
                <w:rFonts w:ascii="Times New Roman" w:hAnsi="Times New Roman"/>
                <w:sz w:val="20"/>
              </w:rPr>
              <w:t xml:space="preserve">0.622</w:t>
            </w:r>
          </w:p>
        </w:tc>
        <w:tc>
          <w:tcPr>
            <w:tcW w:type="dxa" w:w="1968"/>
          </w:tcPr>
          <w:p>
            <w:pPr>
              <w:pStyle w:val="Compact"/>
              <w:spacing w:line="240" w:lineRule="auto"/>
              <w:jc w:val="center"/>
            </w:pPr>
            <w:r>
              <w:rPr>
                <w:rFonts w:ascii="Times New Roman" w:hAnsi="Times New Roman"/>
                <w:sz w:val="20"/>
              </w:rPr>
              <w:t xml:space="preserve">0.303</w:t>
            </w:r>
          </w:p>
        </w:tc>
      </w:tr>
      <w:tr>
        <w:tc>
          <w:tcPr>
            <w:tcW w:type="dxa" w:w="3456"/>
          </w:tcPr>
          <w:p>
            <w:pPr>
              <w:pStyle w:val="Compact"/>
              <w:spacing w:line="240" w:lineRule="auto"/>
              <w:jc w:val="left"/>
            </w:pPr>
            <w:r>
              <w:rPr>
                <w:rFonts w:ascii="Times New Roman" w:hAnsi="Times New Roman"/>
                <w:sz w:val="20"/>
              </w:rPr>
              <w:t xml:space="preserve">0.55 (Pythia, large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0.750</w:t>
            </w:r>
          </w:p>
        </w:tc>
        <w:tc>
          <w:tcPr>
            <w:tcW w:type="dxa" w:w="1968"/>
          </w:tcPr>
          <w:p>
            <w:pPr>
              <w:pStyle w:val="Compact"/>
              <w:spacing w:line="240" w:lineRule="auto"/>
              <w:jc w:val="center"/>
            </w:pPr>
            <w:r>
              <w:rPr>
                <w:rFonts w:ascii="Times New Roman" w:hAnsi="Times New Roman"/>
                <w:sz w:val="20"/>
              </w:rPr>
              <w:t xml:space="preserve">0.196</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0.05</w:t>
            </w:r>
          </w:p>
        </w:tc>
        <w:tc>
          <w:tcPr>
            <w:tcW w:type="dxa" w:w="1968"/>
          </w:tcPr>
          <w:p>
            <w:pPr>
              <w:pStyle w:val="Compact"/>
              <w:spacing w:line="240" w:lineRule="auto"/>
              <w:jc w:val="center"/>
            </w:pPr>
            <w:r>
              <w:rPr>
                <w:rFonts w:ascii="Times New Roman" w:hAnsi="Times New Roman"/>
                <w:sz w:val="20"/>
              </w:rPr>
              <w:t xml:space="preserve">0.728</w:t>
            </w:r>
          </w:p>
        </w:tc>
        <w:tc>
          <w:tcPr>
            <w:tcW w:type="dxa" w:w="1968"/>
          </w:tcPr>
          <w:p>
            <w:pPr>
              <w:pStyle w:val="Compact"/>
              <w:spacing w:line="240" w:lineRule="auto"/>
              <w:jc w:val="center"/>
            </w:pPr>
            <w:r>
              <w:rPr>
                <w:rFonts w:ascii="Times New Roman" w:hAnsi="Times New Roman"/>
                <w:sz w:val="20"/>
              </w:rPr>
              <w:t xml:space="preserve">0.022</w:t>
            </w:r>
          </w:p>
        </w:tc>
      </w:tr>
      <w:tr>
        <w:tc>
          <w:tcPr>
            <w:tcW w:type="dxa" w:w="3456"/>
          </w:tcPr>
          <w:p>
            <w:pPr>
              <w:pStyle w:val="Compact"/>
              <w:spacing w:line="240" w:lineRule="auto"/>
              <w:jc w:val="left"/>
            </w:pPr>
            <w:r>
              <w:rPr>
                <w:rFonts w:ascii="Times New Roman" w:hAnsi="Times New Roman"/>
                <w:sz w:val="20"/>
              </w:rPr>
              <w:t xml:space="preserve">0.71 (SmolLM2)</w:t>
            </w:r>
          </w:p>
        </w:tc>
        <w:tc>
          <w:tcPr>
            <w:tcW w:type="dxa" w:w="1968"/>
          </w:tcPr>
          <w:p>
            <w:pPr>
              <w:pStyle w:val="Compact"/>
              <w:spacing w:line="240" w:lineRule="auto"/>
              <w:jc w:val="center"/>
            </w:pPr>
            <w:r>
              <w:rPr>
                <w:rFonts w:ascii="Times New Roman" w:hAnsi="Times New Roman"/>
                <w:sz w:val="20"/>
              </w:rPr>
              <w:t xml:space="preserve">0.65 (measured, ACT)</w:t>
            </w:r>
          </w:p>
        </w:tc>
        <w:tc>
          <w:tcPr>
            <w:tcW w:type="dxa" w:w="1968"/>
          </w:tcPr>
          <w:p>
            <w:pPr>
              <w:pStyle w:val="Compact"/>
              <w:spacing w:line="240" w:lineRule="auto"/>
              <w:jc w:val="center"/>
            </w:pPr>
            <w:r>
              <w:rPr>
                <w:rFonts w:ascii="Times New Roman" w:hAnsi="Times New Roman"/>
                <w:sz w:val="20"/>
              </w:rPr>
              <w:t xml:space="preserve">0.916</w:t>
            </w:r>
          </w:p>
        </w:tc>
        <w:tc>
          <w:tcPr>
            <w:tcW w:type="dxa" w:w="1968"/>
          </w:tcPr>
          <w:p>
            <w:pPr>
              <w:pStyle w:val="Compact"/>
              <w:spacing w:line="240" w:lineRule="auto"/>
              <w:jc w:val="center"/>
            </w:pPr>
            <w:r>
              <w:rPr>
                <w:rFonts w:ascii="Times New Roman" w:hAnsi="Times New Roman"/>
                <w:sz w:val="20"/>
              </w:rPr>
              <w:t xml:space="preserve">0.210</w:t>
            </w:r>
          </w:p>
        </w:tc>
      </w:tr>
      <w:tr>
        <w:tc>
          <w:tcPr>
            <w:tcW w:type="dxa" w:w="3456"/>
          </w:tcPr>
          <w:p>
            <w:pPr>
              <w:pStyle w:val="Compact"/>
              <w:spacing w:line="240" w:lineRule="auto"/>
              <w:jc w:val="left"/>
            </w:pPr>
            <w:r>
              <w:rPr>
                <w:rFonts w:ascii="Times New Roman" w:hAnsi="Times New Roman"/>
                <w:sz w:val="20"/>
              </w:rPr>
              <w:t xml:space="preserve">0.93 (Pythia, medium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0.959</w:t>
            </w:r>
          </w:p>
        </w:tc>
        <w:tc>
          <w:tcPr>
            <w:tcW w:type="dxa" w:w="1968"/>
          </w:tcPr>
          <w:p>
            <w:pPr>
              <w:pStyle w:val="Compact"/>
              <w:spacing w:line="240" w:lineRule="auto"/>
              <w:jc w:val="center"/>
            </w:pPr>
            <w:r>
              <w:rPr>
                <w:rFonts w:ascii="Times New Roman" w:hAnsi="Times New Roman"/>
                <w:sz w:val="20"/>
              </w:rPr>
              <w:t xml:space="preserve">0.031</w:t>
            </w:r>
          </w:p>
        </w:tc>
      </w:tr>
      <w:tr>
        <w:tc>
          <w:tcPr>
            <w:tcW w:type="dxa" w:w="3456"/>
          </w:tcPr>
          <w:p>
            <w:pPr>
              <w:pStyle w:val="Compact"/>
              <w:spacing w:line="240" w:lineRule="auto"/>
              <w:jc w:val="left"/>
            </w:pPr>
            <w:r>
              <w:rPr>
                <w:rFonts w:ascii="Times New Roman" w:hAnsi="Times New Roman"/>
                <w:sz w:val="20"/>
              </w:rPr>
              <w:t xml:space="preserve">0.96 (Pythia, small upgrade)</w:t>
            </w:r>
          </w:p>
        </w:tc>
        <w:tc>
          <w:tcPr>
            <w:tcW w:type="dxa" w:w="1968"/>
          </w:tcPr>
          <w:p>
            <w:pPr>
              <w:pStyle w:val="Compact"/>
              <w:spacing w:line="240" w:lineRule="auto"/>
              <w:jc w:val="center"/>
            </w:pPr>
            <w:r>
              <w:rPr>
                <w:rFonts w:ascii="Times New Roman" w:hAnsi="Times New Roman"/>
                <w:sz w:val="20"/>
              </w:rPr>
              <w:t xml:space="preserve">0.35 (measured, ACT)</w:t>
            </w:r>
          </w:p>
        </w:tc>
        <w:tc>
          <w:tcPr>
            <w:tcW w:type="dxa" w:w="1968"/>
          </w:tcPr>
          <w:p>
            <w:pPr>
              <w:pStyle w:val="Compact"/>
              <w:spacing w:line="240" w:lineRule="auto"/>
              <w:jc w:val="center"/>
            </w:pPr>
            <w:r>
              <w:rPr>
                <w:rFonts w:ascii="Times New Roman" w:hAnsi="Times New Roman"/>
                <w:sz w:val="20"/>
              </w:rPr>
              <w:t xml:space="preserve">0.975</w:t>
            </w:r>
          </w:p>
        </w:tc>
        <w:tc>
          <w:tcPr>
            <w:tcW w:type="dxa" w:w="1968"/>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Costs are compute time only. We evaluate six upgrades. Five are Pythia-160M checkpoints (Biderman et al., 2023)</w:t>
      </w:r>
      <w:r>
        <w:t xml:space="preserve"> </w:t>
      </w:r>
      <w:r>
        <w:t xml:space="preserve">upgraded to the same final checkpoint, step 143k, from steps 133k, 113k, 103k, 83k, and 73k, which gives upgrades of increasing size within one model family. The sixth is SmolLM2-360M, base to instruction-tuned.</w:t>
      </w:r>
      <w:r>
        <w:t xml:space="preserve"> </w:t>
      </w:r>
      <w:r>
        <w:t xml:space="preserve">Each pair is run once with seed 0. The largest Pythia upgrade is repeated with seed 1, which changes the training, evaluation, and calibration examples, the adapter initialization, and the batch order. As a measure of upgrade size we report the median relative change of</w:t>
      </w:r>
      <w:r>
        <w:t xml:space="preserve"> </w:t>
      </w:r>
      <w:r>
        <w:t xml:space="preserve">module inputs between source and target models over the calibration set, which we call the activation drift.</w:t>
      </w:r>
    </w:p>
    <w:p>
      <w:pPr>
        <w:pStyle w:val="TableCaption"/>
      </w:pPr>
      <w:r>
        <w:t xml:space="preserve">Held-out response NLL (200 examples) and median activation drift. The seed-1 run uses a different example sample, so its NLL values are not comparable in level with seed 0.</w:t>
      </w:r>
    </w:p>
    <w:tbl>
      <w:tblPr>
        <w:tblStyle w:val="Table"/>
        <w:tblW w:type="dxa" w:w="9360"/>
        <w:tblLook w:firstRow="1" w:lastRow="0" w:firstColumn="0" w:lastColumn="0" w:noHBand="0" w:noVBand="0" w:val="0020"/>
        <w:jc w:val="start"/>
        <w:tblCaption w:val="Held-out response NLL (200 examples) and median activation drift. The seed-1 run uses a different example sample, so its NLL values are not comparable in level with seed 0."/>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None</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Retrain</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Copy</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ACT</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1181"/>
          </w:tcPr>
          <w:p>
            <w:pPr>
              <w:pStyle w:val="Compact"/>
              <w:spacing w:line="240" w:lineRule="auto"/>
              <w:jc w:val="center"/>
            </w:pPr>
            <w:r>
              <w:rPr>
                <w:rFonts w:ascii="Times New Roman" w:hAnsi="Times New Roman"/>
                <w:sz w:val="20"/>
              </w:rPr>
              <w:t xml:space="preserve">0.25</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1.355</w:t>
            </w:r>
          </w:p>
        </w:tc>
        <w:tc>
          <w:tcPr>
            <w:tcW w:type="dxa" w:w="1181"/>
          </w:tcPr>
          <w:p>
            <w:pPr>
              <w:pStyle w:val="Compact"/>
              <w:spacing w:line="240" w:lineRule="auto"/>
              <w:jc w:val="center"/>
            </w:pPr>
            <w:r>
              <w:rPr>
                <w:rFonts w:ascii="Times New Roman" w:hAnsi="Times New Roman"/>
                <w:sz w:val="20"/>
              </w:rPr>
              <w:t xml:space="preserve">1.417</w:t>
            </w:r>
          </w:p>
        </w:tc>
        <w:tc>
          <w:tcPr>
            <w:tcW w:type="dxa" w:w="1181"/>
          </w:tcPr>
          <w:p>
            <w:pPr>
              <w:pStyle w:val="Compact"/>
              <w:spacing w:line="240" w:lineRule="auto"/>
              <w:jc w:val="center"/>
            </w:pPr>
            <w:r>
              <w:rPr>
                <w:rFonts w:ascii="Times New Roman" w:hAnsi="Times New Roman"/>
                <w:sz w:val="20"/>
              </w:rPr>
              <w:t xml:space="preserve">1.423</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1181"/>
          </w:tcPr>
          <w:p>
            <w:pPr>
              <w:pStyle w:val="Compact"/>
              <w:spacing w:line="240" w:lineRule="auto"/>
              <w:jc w:val="center"/>
            </w:pPr>
            <w:r>
              <w:rPr>
                <w:rFonts w:ascii="Times New Roman" w:hAnsi="Times New Roman"/>
                <w:sz w:val="20"/>
              </w:rPr>
              <w:t xml:space="preserve">0.31</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1.359</w:t>
            </w:r>
          </w:p>
        </w:tc>
        <w:tc>
          <w:tcPr>
            <w:tcW w:type="dxa" w:w="1181"/>
          </w:tcPr>
          <w:p>
            <w:pPr>
              <w:pStyle w:val="Compact"/>
              <w:spacing w:line="240" w:lineRule="auto"/>
              <w:jc w:val="center"/>
            </w:pPr>
            <w:r>
              <w:rPr>
                <w:rFonts w:ascii="Times New Roman" w:hAnsi="Times New Roman"/>
                <w:sz w:val="20"/>
              </w:rPr>
              <w:t xml:space="preserve">1.460</w:t>
            </w:r>
          </w:p>
        </w:tc>
        <w:tc>
          <w:tcPr>
            <w:tcW w:type="dxa" w:w="1181"/>
          </w:tcPr>
          <w:p>
            <w:pPr>
              <w:pStyle w:val="Compact"/>
              <w:spacing w:line="240" w:lineRule="auto"/>
              <w:jc w:val="center"/>
            </w:pPr>
            <w:r>
              <w:rPr>
                <w:rFonts w:ascii="Times New Roman" w:hAnsi="Times New Roman"/>
                <w:sz w:val="20"/>
              </w:rPr>
              <w:t xml:space="preserve">1.445</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1181"/>
          </w:tcPr>
          <w:p>
            <w:pPr>
              <w:pStyle w:val="Compact"/>
              <w:spacing w:line="240" w:lineRule="auto"/>
              <w:jc w:val="center"/>
            </w:pPr>
            <w:r>
              <w:rPr>
                <w:rFonts w:ascii="Times New Roman" w:hAnsi="Times New Roman"/>
                <w:sz w:val="20"/>
              </w:rPr>
              <w:t xml:space="preserve">0.36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1.357</w:t>
            </w:r>
          </w:p>
        </w:tc>
        <w:tc>
          <w:tcPr>
            <w:tcW w:type="dxa" w:w="1181"/>
          </w:tcPr>
          <w:p>
            <w:pPr>
              <w:pStyle w:val="Compact"/>
              <w:spacing w:line="240" w:lineRule="auto"/>
              <w:jc w:val="center"/>
            </w:pPr>
            <w:r>
              <w:rPr>
                <w:rFonts w:ascii="Times New Roman" w:hAnsi="Times New Roman"/>
                <w:sz w:val="20"/>
              </w:rPr>
              <w:t xml:space="preserve">1.505</w:t>
            </w:r>
          </w:p>
        </w:tc>
        <w:tc>
          <w:tcPr>
            <w:tcW w:type="dxa" w:w="1181"/>
          </w:tcPr>
          <w:p>
            <w:pPr>
              <w:pStyle w:val="Compact"/>
              <w:spacing w:line="240" w:lineRule="auto"/>
              <w:jc w:val="center"/>
            </w:pPr>
            <w:r>
              <w:rPr>
                <w:rFonts w:ascii="Times New Roman" w:hAnsi="Times New Roman"/>
                <w:sz w:val="20"/>
              </w:rPr>
              <w:t xml:space="preserve">1.450</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1181"/>
          </w:tcPr>
          <w:p>
            <w:pPr>
              <w:pStyle w:val="Compact"/>
              <w:spacing w:line="240" w:lineRule="auto"/>
              <w:jc w:val="center"/>
            </w:pPr>
            <w:r>
              <w:rPr>
                <w:rFonts w:ascii="Times New Roman" w:hAnsi="Times New Roman"/>
                <w:sz w:val="20"/>
              </w:rPr>
              <w:t xml:space="preserve">0.56</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1.339</w:t>
            </w:r>
          </w:p>
        </w:tc>
        <w:tc>
          <w:tcPr>
            <w:tcW w:type="dxa" w:w="1181"/>
          </w:tcPr>
          <w:p>
            <w:pPr>
              <w:pStyle w:val="Compact"/>
              <w:spacing w:line="240" w:lineRule="auto"/>
              <w:jc w:val="center"/>
            </w:pPr>
            <w:r>
              <w:rPr>
                <w:rFonts w:ascii="Times New Roman" w:hAnsi="Times New Roman"/>
                <w:sz w:val="20"/>
              </w:rPr>
              <w:t xml:space="preserve">1.974</w:t>
            </w:r>
          </w:p>
        </w:tc>
        <w:tc>
          <w:tcPr>
            <w:tcW w:type="dxa" w:w="1181"/>
          </w:tcPr>
          <w:p>
            <w:pPr>
              <w:pStyle w:val="Compact"/>
              <w:spacing w:line="240" w:lineRule="auto"/>
              <w:jc w:val="center"/>
            </w:pPr>
            <w:r>
              <w:rPr>
                <w:rFonts w:ascii="Times New Roman" w:hAnsi="Times New Roman"/>
                <w:sz w:val="20"/>
              </w:rPr>
              <w:t xml:space="preserve">1.718</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2.761</w:t>
            </w:r>
          </w:p>
        </w:tc>
        <w:tc>
          <w:tcPr>
            <w:tcW w:type="dxa" w:w="1181"/>
          </w:tcPr>
          <w:p>
            <w:pPr>
              <w:pStyle w:val="Compact"/>
              <w:spacing w:line="240" w:lineRule="auto"/>
              <w:jc w:val="center"/>
            </w:pPr>
            <w:r>
              <w:rPr>
                <w:rFonts w:ascii="Times New Roman" w:hAnsi="Times New Roman"/>
                <w:sz w:val="20"/>
              </w:rPr>
              <w:t xml:space="preserve">1.396</w:t>
            </w:r>
          </w:p>
        </w:tc>
        <w:tc>
          <w:tcPr>
            <w:tcW w:type="dxa" w:w="1181"/>
          </w:tcPr>
          <w:p>
            <w:pPr>
              <w:pStyle w:val="Compact"/>
              <w:spacing w:line="240" w:lineRule="auto"/>
              <w:jc w:val="center"/>
            </w:pPr>
            <w:r>
              <w:rPr>
                <w:rFonts w:ascii="Times New Roman" w:hAnsi="Times New Roman"/>
                <w:sz w:val="20"/>
              </w:rPr>
              <w:t xml:space="preserve">2.326</w:t>
            </w:r>
          </w:p>
        </w:tc>
        <w:tc>
          <w:tcPr>
            <w:tcW w:type="dxa" w:w="1181"/>
          </w:tcPr>
          <w:p>
            <w:pPr>
              <w:pStyle w:val="Compact"/>
              <w:spacing w:line="240" w:lineRule="auto"/>
              <w:jc w:val="center"/>
            </w:pPr>
            <w:r>
              <w:rPr>
                <w:rFonts w:ascii="Times New Roman" w:hAnsi="Times New Roman"/>
                <w:sz w:val="20"/>
              </w:rPr>
              <w:t xml:space="preserve">1.782</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1181"/>
          </w:tcPr>
          <w:p>
            <w:pPr>
              <w:pStyle w:val="Compact"/>
              <w:spacing w:line="240" w:lineRule="auto"/>
              <w:jc w:val="center"/>
            </w:pPr>
            <w:r>
              <w:rPr>
                <w:rFonts w:ascii="Times New Roman" w:hAnsi="Times New Roman"/>
                <w:sz w:val="20"/>
              </w:rPr>
              <w:t xml:space="preserve">0.60</w:t>
            </w:r>
          </w:p>
        </w:tc>
        <w:tc>
          <w:tcPr>
            <w:tcW w:type="dxa" w:w="1181"/>
          </w:tcPr>
          <w:p>
            <w:pPr>
              <w:pStyle w:val="Compact"/>
              <w:spacing w:line="240" w:lineRule="auto"/>
              <w:jc w:val="center"/>
            </w:pPr>
            <w:r>
              <w:rPr>
                <w:rFonts w:ascii="Times New Roman" w:hAnsi="Times New Roman"/>
                <w:sz w:val="20"/>
              </w:rPr>
              <w:t xml:space="preserve">2.743</w:t>
            </w:r>
          </w:p>
        </w:tc>
        <w:tc>
          <w:tcPr>
            <w:tcW w:type="dxa" w:w="1181"/>
          </w:tcPr>
          <w:p>
            <w:pPr>
              <w:pStyle w:val="Compact"/>
              <w:spacing w:line="240" w:lineRule="auto"/>
              <w:jc w:val="center"/>
            </w:pPr>
            <w:r>
              <w:rPr>
                <w:rFonts w:ascii="Times New Roman" w:hAnsi="Times New Roman"/>
                <w:sz w:val="20"/>
              </w:rPr>
              <w:t xml:space="preserve">1.336</w:t>
            </w:r>
          </w:p>
        </w:tc>
        <w:tc>
          <w:tcPr>
            <w:tcW w:type="dxa" w:w="1181"/>
          </w:tcPr>
          <w:p>
            <w:pPr>
              <w:pStyle w:val="Compact"/>
              <w:spacing w:line="240" w:lineRule="auto"/>
              <w:jc w:val="center"/>
            </w:pPr>
            <w:r>
              <w:rPr>
                <w:rFonts w:ascii="Times New Roman" w:hAnsi="Times New Roman"/>
                <w:sz w:val="20"/>
              </w:rPr>
              <w:t xml:space="preserve">2.238</w:t>
            </w:r>
          </w:p>
        </w:tc>
        <w:tc>
          <w:tcPr>
            <w:tcW w:type="dxa" w:w="1181"/>
          </w:tcPr>
          <w:p>
            <w:pPr>
              <w:pStyle w:val="Compact"/>
              <w:spacing w:line="240" w:lineRule="auto"/>
              <w:jc w:val="center"/>
            </w:pPr>
            <w:r>
              <w:rPr>
                <w:rFonts w:ascii="Times New Roman" w:hAnsi="Times New Roman"/>
                <w:sz w:val="20"/>
              </w:rPr>
              <w:t xml:space="preserve">1.769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1181"/>
          </w:tcPr>
          <w:p>
            <w:pPr>
              <w:pStyle w:val="Compact"/>
              <w:spacing w:line="240" w:lineRule="auto"/>
              <w:jc w:val="center"/>
            </w:pPr>
            <w:r>
              <w:rPr>
                <w:rFonts w:ascii="Times New Roman" w:hAnsi="Times New Roman"/>
                <w:sz w:val="20"/>
              </w:rPr>
              <w:t xml:space="preserve">0.27</w:t>
            </w:r>
          </w:p>
        </w:tc>
        <w:tc>
          <w:tcPr>
            <w:tcW w:type="dxa" w:w="1181"/>
          </w:tcPr>
          <w:p>
            <w:pPr>
              <w:pStyle w:val="Compact"/>
              <w:spacing w:line="240" w:lineRule="auto"/>
              <w:jc w:val="center"/>
            </w:pPr>
            <w:r>
              <w:rPr>
                <w:rFonts w:ascii="Times New Roman" w:hAnsi="Times New Roman"/>
                <w:sz w:val="20"/>
              </w:rPr>
              <w:t xml:space="preserve">1.015</w:t>
            </w:r>
          </w:p>
        </w:tc>
        <w:tc>
          <w:tcPr>
            <w:tcW w:type="dxa" w:w="1181"/>
          </w:tcPr>
          <w:p>
            <w:pPr>
              <w:pStyle w:val="Compact"/>
              <w:spacing w:line="240" w:lineRule="auto"/>
              <w:jc w:val="center"/>
            </w:pPr>
            <w:r>
              <w:rPr>
                <w:rFonts w:ascii="Times New Roman" w:hAnsi="Times New Roman"/>
                <w:sz w:val="20"/>
              </w:rPr>
              <w:t xml:space="preserve">0.652</w:t>
            </w:r>
          </w:p>
        </w:tc>
        <w:tc>
          <w:tcPr>
            <w:tcW w:type="dxa" w:w="1181"/>
          </w:tcPr>
          <w:p>
            <w:pPr>
              <w:pStyle w:val="Compact"/>
              <w:spacing w:line="240" w:lineRule="auto"/>
              <w:jc w:val="center"/>
            </w:pPr>
            <w:r>
              <w:rPr>
                <w:rFonts w:ascii="Times New Roman" w:hAnsi="Times New Roman"/>
                <w:sz w:val="20"/>
              </w:rPr>
              <w:t xml:space="preserve">0.759</w:t>
            </w:r>
          </w:p>
        </w:tc>
        <w:tc>
          <w:tcPr>
            <w:tcW w:type="dxa" w:w="1181"/>
          </w:tcPr>
          <w:p>
            <w:pPr>
              <w:pStyle w:val="Compact"/>
              <w:spacing w:line="240" w:lineRule="auto"/>
              <w:jc w:val="center"/>
            </w:pPr>
            <w:r>
              <w:rPr>
                <w:rFonts w:ascii="Times New Roman" w:hAnsi="Times New Roman"/>
                <w:sz w:val="20"/>
              </w:rPr>
              <w:t xml:space="preserve">0.761</w:t>
            </w:r>
          </w:p>
        </w:tc>
      </w:tr>
    </w:tbl>
    <w:p/>
    <w:p>
      <w:pPr>
        <w:pStyle w:val="TableCaption"/>
      </w:pPr>
      <w:r>
        <w:t xml:space="preserve">Recovery, ACT cost ratio, and the policy implied by the model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v</m:t>
        </m:r>
      </m:oMath>
      <w:r>
        <w:t xml:space="preserve"> </w:t>
      </w:r>
      <w:r>
        <w:t xml:space="preserve">and</w:t>
      </w:r>
      <w:r>
        <w:t xml:space="preserve"> </w:t>
      </w:r>
      <m:oMath>
        <m:r>
          <m:t>Γ</m:t>
        </m:r>
      </m:oMath>
      <w:r>
        <w:t xml:space="preserve"> </w:t>
      </w:r>
      <w:r>
        <w:t xml:space="preserve">in multiples of</w:t>
      </w:r>
      <w:r>
        <w:t xml:space="preserve"> </w:t>
      </w:r>
      <m:oMath>
        <m:sSub>
          <m:e>
            <m:r>
              <m:t>C</m:t>
            </m:r>
          </m:e>
          <m:sub>
            <m:r>
              <m:t>N</m:t>
            </m:r>
          </m:sub>
        </m:sSub>
      </m:oMath>
      <w:r>
        <w:t xml:space="preserve">, using each pair’s measured</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ACT cost ratio, and the policy implied by the model (\rho=0.10, \mu=2, g=0.20, \sigma=0.40; v and \Gamma in multiples of C_N, using each pair’s measured C_A/C_N)."/>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Pythia, step 133k to 143k</w:t>
            </w:r>
          </w:p>
        </w:tc>
        <w:tc>
          <w:tcPr>
            <w:tcW w:type="dxa" w:w="984"/>
          </w:tcPr>
          <w:p>
            <w:pPr>
              <w:pStyle w:val="Compact"/>
              <w:spacing w:line="240" w:lineRule="auto"/>
              <w:jc w:val="center"/>
            </w:pPr>
            <w:r>
              <w:rPr>
                <w:rFonts w:ascii="Times New Roman" w:hAnsi="Times New Roman"/>
                <w:sz w:val="20"/>
              </w:rPr>
              <w:t xml:space="preserve">0.956</w:t>
            </w:r>
          </w:p>
        </w:tc>
        <w:tc>
          <w:tcPr>
            <w:tcW w:type="dxa" w:w="984"/>
          </w:tcPr>
          <w:p>
            <w:pPr>
              <w:pStyle w:val="Compact"/>
              <w:spacing w:line="240" w:lineRule="auto"/>
              <w:jc w:val="center"/>
            </w:pPr>
            <w:r>
              <w:rPr>
                <w:rFonts w:ascii="Times New Roman" w:hAnsi="Times New Roman"/>
                <w:sz w:val="20"/>
              </w:rPr>
              <w:t xml:space="preserve">0.952</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55.6</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113k to 143k</w:t>
            </w:r>
          </w:p>
        </w:tc>
        <w:tc>
          <w:tcPr>
            <w:tcW w:type="dxa" w:w="984"/>
          </w:tcPr>
          <w:p>
            <w:pPr>
              <w:pStyle w:val="Compact"/>
              <w:spacing w:line="240" w:lineRule="auto"/>
              <w:jc w:val="center"/>
            </w:pPr>
            <w:r>
              <w:rPr>
                <w:rFonts w:ascii="Times New Roman" w:hAnsi="Times New Roman"/>
                <w:sz w:val="20"/>
              </w:rPr>
              <w:t xml:space="preserve">0.928</w:t>
            </w:r>
          </w:p>
        </w:tc>
        <w:tc>
          <w:tcPr>
            <w:tcW w:type="dxa" w:w="984"/>
          </w:tcPr>
          <w:p>
            <w:pPr>
              <w:pStyle w:val="Compact"/>
              <w:spacing w:line="240" w:lineRule="auto"/>
              <w:jc w:val="center"/>
            </w:pPr>
            <w:r>
              <w:rPr>
                <w:rFonts w:ascii="Times New Roman" w:hAnsi="Times New Roman"/>
                <w:sz w:val="20"/>
              </w:rPr>
              <w:t xml:space="preserve">0.939</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0.11</w:t>
            </w:r>
          </w:p>
        </w:tc>
        <w:tc>
          <w:tcPr>
            <w:tcW w:type="dxa" w:w="984"/>
          </w:tcPr>
          <w:p>
            <w:pPr>
              <w:pStyle w:val="Compact"/>
              <w:spacing w:line="240" w:lineRule="auto"/>
              <w:jc w:val="center"/>
            </w:pPr>
            <w:r>
              <w:rPr>
                <w:rFonts w:ascii="Times New Roman" w:hAnsi="Times New Roman"/>
                <w:sz w:val="20"/>
              </w:rPr>
              <w:t xml:space="preserve">34.0</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103k to 143k</w:t>
            </w:r>
          </w:p>
        </w:tc>
        <w:tc>
          <w:tcPr>
            <w:tcW w:type="dxa" w:w="984"/>
          </w:tcPr>
          <w:p>
            <w:pPr>
              <w:pStyle w:val="Compact"/>
              <w:spacing w:line="240" w:lineRule="auto"/>
              <w:jc w:val="center"/>
            </w:pPr>
            <w:r>
              <w:rPr>
                <w:rFonts w:ascii="Times New Roman" w:hAnsi="Times New Roman"/>
                <w:sz w:val="20"/>
              </w:rPr>
              <w:t xml:space="preserve">0.895</w:t>
            </w:r>
          </w:p>
        </w:tc>
        <w:tc>
          <w:tcPr>
            <w:tcW w:type="dxa" w:w="984"/>
          </w:tcPr>
          <w:p>
            <w:pPr>
              <w:pStyle w:val="Compact"/>
              <w:spacing w:line="240" w:lineRule="auto"/>
              <w:jc w:val="center"/>
            </w:pPr>
            <w:r>
              <w:rPr>
                <w:rFonts w:ascii="Times New Roman" w:hAnsi="Times New Roman"/>
                <w:sz w:val="20"/>
              </w:rPr>
              <w:t xml:space="preserve">0.934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0.29</w:t>
            </w:r>
          </w:p>
        </w:tc>
        <w:tc>
          <w:tcPr>
            <w:tcW w:type="dxa" w:w="984"/>
          </w:tcPr>
          <w:p>
            <w:pPr>
              <w:pStyle w:val="Compact"/>
              <w:spacing w:line="240" w:lineRule="auto"/>
              <w:jc w:val="center"/>
            </w:pPr>
            <w:r>
              <w:rPr>
                <w:rFonts w:ascii="Times New Roman" w:hAnsi="Times New Roman"/>
                <w:sz w:val="20"/>
              </w:rPr>
              <w:t xml:space="preserve">23.3</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83k to 143k</w:t>
            </w:r>
          </w:p>
        </w:tc>
        <w:tc>
          <w:tcPr>
            <w:tcW w:type="dxa" w:w="984"/>
          </w:tcPr>
          <w:p>
            <w:pPr>
              <w:pStyle w:val="Compact"/>
              <w:spacing w:line="240" w:lineRule="auto"/>
              <w:jc w:val="center"/>
            </w:pPr>
            <w:r>
              <w:rPr>
                <w:rFonts w:ascii="Times New Roman" w:hAnsi="Times New Roman"/>
                <w:sz w:val="20"/>
              </w:rPr>
              <w:t xml:space="preserve">0.554</w:t>
            </w:r>
          </w:p>
        </w:tc>
        <w:tc>
          <w:tcPr>
            <w:tcW w:type="dxa" w:w="984"/>
          </w:tcPr>
          <w:p>
            <w:pPr>
              <w:pStyle w:val="Compact"/>
              <w:spacing w:line="240" w:lineRule="auto"/>
              <w:jc w:val="center"/>
            </w:pPr>
            <w:r>
              <w:rPr>
                <w:rFonts w:ascii="Times New Roman" w:hAnsi="Times New Roman"/>
                <w:sz w:val="20"/>
              </w:rPr>
              <w:t xml:space="preserve">0.734</w:t>
            </w:r>
          </w:p>
        </w:tc>
        <w:tc>
          <w:tcPr>
            <w:tcW w:type="dxa" w:w="984"/>
          </w:tcPr>
          <w:p>
            <w:pPr>
              <w:pStyle w:val="Compact"/>
              <w:spacing w:line="240" w:lineRule="auto"/>
              <w:jc w:val="center"/>
            </w:pPr>
            <w:r>
              <w:rPr>
                <w:rFonts w:ascii="Times New Roman" w:hAnsi="Times New Roman"/>
                <w:sz w:val="20"/>
              </w:rPr>
              <w:t xml:space="preserve">0.35</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5.5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Pythia, step 73k to 143k (seed 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3.6</w:t>
            </w:r>
          </w:p>
        </w:tc>
        <w:tc>
          <w:tcPr>
            <w:tcW w:type="dxa" w:w="984"/>
          </w:tcPr>
          <w:p>
            <w:pPr>
              <w:pStyle w:val="Compact"/>
              <w:spacing w:line="240" w:lineRule="auto"/>
              <w:jc w:val="center"/>
            </w:pPr>
            <w:r>
              <w:rPr>
                <w:rFonts w:ascii="Times New Roman" w:hAnsi="Times New Roman"/>
                <w:sz w:val="20"/>
              </w:rPr>
              <w:t xml:space="preserve">[1.78, 4.40)</w:t>
            </w:r>
          </w:p>
        </w:tc>
      </w:tr>
      <w:tr>
        <w:tc>
          <w:tcPr>
            <w:tcW w:type="dxa" w:w="3456"/>
          </w:tcPr>
          <w:p>
            <w:pPr>
              <w:pStyle w:val="Compact"/>
              <w:spacing w:line="240" w:lineRule="auto"/>
              <w:jc w:val="left"/>
            </w:pPr>
            <w:r>
              <w:rPr>
                <w:rFonts w:ascii="Times New Roman" w:hAnsi="Times New Roman"/>
                <w:sz w:val="20"/>
              </w:rPr>
              <w:t xml:space="preserve">Pythia, step 73k to 143k (seed 1)</w:t>
            </w:r>
          </w:p>
        </w:tc>
        <w:tc>
          <w:tcPr>
            <w:tcW w:type="dxa" w:w="984"/>
          </w:tcPr>
          <w:p>
            <w:pPr>
              <w:pStyle w:val="Compact"/>
              <w:spacing w:line="240" w:lineRule="auto"/>
              <w:jc w:val="center"/>
            </w:pPr>
            <w:r>
              <w:rPr>
                <w:rFonts w:ascii="Times New Roman" w:hAnsi="Times New Roman"/>
                <w:sz w:val="20"/>
              </w:rPr>
              <w:t xml:space="preserve">0.359</w:t>
            </w:r>
          </w:p>
        </w:tc>
        <w:tc>
          <w:tcPr>
            <w:tcW w:type="dxa" w:w="984"/>
          </w:tcPr>
          <w:p>
            <w:pPr>
              <w:pStyle w:val="Compact"/>
              <w:spacing w:line="240" w:lineRule="auto"/>
              <w:jc w:val="center"/>
            </w:pPr>
            <w:r>
              <w:rPr>
                <w:rFonts w:ascii="Times New Roman" w:hAnsi="Times New Roman"/>
                <w:sz w:val="20"/>
              </w:rPr>
              <w:t xml:space="preserve">0.692</w:t>
            </w:r>
          </w:p>
        </w:tc>
        <w:tc>
          <w:tcPr>
            <w:tcW w:type="dxa" w:w="984"/>
          </w:tcPr>
          <w:p>
            <w:pPr>
              <w:pStyle w:val="Compact"/>
              <w:spacing w:line="240" w:lineRule="auto"/>
              <w:jc w:val="center"/>
            </w:pPr>
            <w:r>
              <w:rPr>
                <w:rFonts w:ascii="Times New Roman" w:hAnsi="Times New Roman"/>
                <w:sz w:val="20"/>
              </w:rPr>
              <w:t xml:space="preserve">0.30</w:t>
            </w:r>
          </w:p>
        </w:tc>
        <w:tc>
          <w:tcPr>
            <w:tcW w:type="dxa" w:w="984"/>
          </w:tcPr>
          <w:p>
            <w:pPr>
              <w:pStyle w:val="Compact"/>
              <w:spacing w:line="240" w:lineRule="auto"/>
              <w:jc w:val="center"/>
            </w:pPr>
            <w:r>
              <w:rPr>
                <w:rFonts w:ascii="Times New Roman" w:hAnsi="Times New Roman"/>
                <w:sz w:val="20"/>
              </w:rPr>
              <w:t xml:space="preserve">0.43</w:t>
            </w:r>
          </w:p>
        </w:tc>
        <w:tc>
          <w:tcPr>
            <w:tcW w:type="dxa" w:w="984"/>
          </w:tcPr>
          <w:p>
            <w:pPr>
              <w:pStyle w:val="Compact"/>
              <w:spacing w:line="240" w:lineRule="auto"/>
              <w:jc w:val="center"/>
            </w:pPr>
            <w:r>
              <w:rPr>
                <w:rFonts w:ascii="Times New Roman" w:hAnsi="Times New Roman"/>
                <w:sz w:val="20"/>
              </w:rPr>
              <w:t xml:space="preserve">3.8</w:t>
            </w:r>
          </w:p>
        </w:tc>
        <w:tc>
          <w:tcPr>
            <w:tcW w:type="dxa" w:w="984"/>
          </w:tcPr>
          <w:p>
            <w:pPr>
              <w:pStyle w:val="Compact"/>
              <w:spacing w:line="240" w:lineRule="auto"/>
              <w:jc w:val="center"/>
            </w:pPr>
            <w:r>
              <w:rPr>
                <w:rFonts w:ascii="Times New Roman" w:hAnsi="Times New Roman"/>
                <w:sz w:val="20"/>
              </w:rPr>
              <w:t xml:space="preserve">[1.73, 4.49)</w:t>
            </w:r>
          </w:p>
        </w:tc>
      </w:tr>
      <w:tr>
        <w:tc>
          <w:tcPr>
            <w:tcW w:type="dxa" w:w="3456"/>
          </w:tcPr>
          <w:p>
            <w:pPr>
              <w:pStyle w:val="Compact"/>
              <w:spacing w:line="240" w:lineRule="auto"/>
              <w:jc w:val="left"/>
            </w:pPr>
            <w:r>
              <w:rPr>
                <w:rFonts w:ascii="Times New Roman" w:hAnsi="Times New Roman"/>
                <w:sz w:val="20"/>
              </w:rPr>
              <w:t xml:space="preserve">SmolLM2-360M, base to instruct</w:t>
            </w:r>
          </w:p>
        </w:tc>
        <w:tc>
          <w:tcPr>
            <w:tcW w:type="dxa" w:w="984"/>
          </w:tcPr>
          <w:p>
            <w:pPr>
              <w:pStyle w:val="Compact"/>
              <w:spacing w:line="240" w:lineRule="auto"/>
              <w:jc w:val="center"/>
            </w:pPr>
            <w:r>
              <w:rPr>
                <w:rFonts w:ascii="Times New Roman" w:hAnsi="Times New Roman"/>
                <w:sz w:val="20"/>
              </w:rPr>
              <w:t xml:space="preserve">0.706</w:t>
            </w:r>
          </w:p>
        </w:tc>
        <w:tc>
          <w:tcPr>
            <w:tcW w:type="dxa" w:w="984"/>
          </w:tcPr>
          <w:p>
            <w:pPr>
              <w:pStyle w:val="Compact"/>
              <w:spacing w:line="240" w:lineRule="auto"/>
              <w:jc w:val="center"/>
            </w:pPr>
            <w:r>
              <w:rPr>
                <w:rFonts w:ascii="Times New Roman" w:hAnsi="Times New Roman"/>
                <w:sz w:val="20"/>
              </w:rPr>
              <w:t xml:space="preserve">0.700</w:t>
            </w:r>
          </w:p>
        </w:tc>
        <w:tc>
          <w:tcPr>
            <w:tcW w:type="dxa" w:w="984"/>
          </w:tcPr>
          <w:p>
            <w:pPr>
              <w:pStyle w:val="Compact"/>
              <w:spacing w:line="240" w:lineRule="auto"/>
              <w:jc w:val="center"/>
            </w:pPr>
            <w:r>
              <w:rPr>
                <w:rFonts w:ascii="Times New Roman" w:hAnsi="Times New Roman"/>
                <w:sz w:val="20"/>
              </w:rPr>
              <w:t xml:space="preserve">0.65</w:t>
            </w:r>
          </w:p>
        </w:tc>
        <w:tc>
          <w:tcPr>
            <w:tcW w:type="dxa" w:w="984"/>
          </w:tcPr>
          <w:p>
            <w:pPr>
              <w:pStyle w:val="Compact"/>
              <w:spacing w:line="240" w:lineRule="auto"/>
              <w:jc w:val="center"/>
            </w:pPr>
            <w:r>
              <w:rPr>
                <w:rFonts w:ascii="Times New Roman" w:hAnsi="Times New Roman"/>
                <w:sz w:val="20"/>
              </w:rPr>
              <w:t xml:space="preserve">0.00</w:t>
            </w:r>
          </w:p>
        </w:tc>
        <w:tc>
          <w:tcPr>
            <w:tcW w:type="dxa" w:w="984"/>
          </w:tcPr>
          <w:p>
            <w:pPr>
              <w:pStyle w:val="Compact"/>
              <w:spacing w:line="240" w:lineRule="auto"/>
              <w:jc w:val="center"/>
            </w:pPr>
            <w:r>
              <w:rPr>
                <w:rFonts w:ascii="Times New Roman" w:hAnsi="Times New Roman"/>
                <w:sz w:val="20"/>
              </w:rPr>
              <w:t xml:space="preserve">8.4</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rPr>
          <w:bCs/>
          <w:b/>
        </w:rPr>
        <w:t xml:space="preserve">Results.</w:t>
      </w:r>
      <w:r>
        <w:t xml:space="preserve"> </w:t>
      </w:r>
      <w:r>
        <w:t xml:space="preserve">Copying degrades sharply with the size of the upgrade. Across the five Pythia upgrades the activation drift rises from 0.25 to 0.31, 0.36, 0.56, and 0.60, and</w:t>
      </w:r>
      <w:r>
        <w:t xml:space="preserve"> </w:t>
      </w:r>
      <w:r>
        <w:t xml:space="preserve">copy recovery falls from 0.956 to 0.928, 0.895, 0.554, and 0.319 (0.359 on the second seed). ACT’s gain over copying rises in the same order:</w:t>
      </w:r>
      <w:r>
        <w:t xml:space="preserve"> </w:t>
      </w:r>
      <m:oMath>
        <m:r>
          <m:rPr>
            <m:sty m:val="p"/>
          </m:rPr>
          <m:t>−</m:t>
        </m:r>
        <m:r>
          <m:t>0.004</m:t>
        </m:r>
      </m:oMath>
      <w:r>
        <w:t xml:space="preserve">,</w:t>
      </w:r>
      <w:r>
        <w:t xml:space="preserve"> </w:t>
      </w:r>
      <m:oMath>
        <m:r>
          <m:rPr>
            <m:sty m:val="p"/>
          </m:rPr>
          <m:t>+</m:t>
        </m:r>
        <m:r>
          <m:t>0.011</m:t>
        </m:r>
      </m:oMath>
      <w:r>
        <w:t xml:space="preserve">,</w:t>
      </w:r>
      <w:r>
        <w:t xml:space="preserve"> </w:t>
      </w:r>
      <m:oMath>
        <m:r>
          <m:rPr>
            <m:sty m:val="p"/>
          </m:rPr>
          <m:t>+</m:t>
        </m:r>
        <m:r>
          <m:t>0.039</m:t>
        </m:r>
      </m:oMath>
      <w:r>
        <w:t xml:space="preserve">,</w:t>
      </w:r>
      <w:r>
        <w:t xml:space="preserve"> </w:t>
      </w:r>
      <m:oMath>
        <m:r>
          <m:rPr>
            <m:sty m:val="p"/>
          </m:rPr>
          <m:t>+</m:t>
        </m:r>
        <m:r>
          <m:t>0.180</m:t>
        </m:r>
      </m:oMath>
      <w:r>
        <w:t xml:space="preserve">, and</w:t>
      </w:r>
      <w:r>
        <w:t xml:space="preserve"> </w:t>
      </w:r>
      <m:oMath>
        <m:r>
          <m:rPr>
            <m:sty m:val="p"/>
          </m:rPr>
          <m:t>+</m:t>
        </m:r>
        <m:r>
          <m:t>0.398</m:t>
        </m:r>
      </m:oMath>
      <w:r>
        <w:t xml:space="preserve"> </w:t>
      </w:r>
      <w:r>
        <w:t xml:space="preserve">(</w:t>
      </w:r>
      <m:oMath>
        <m:r>
          <m:rPr>
            <m:sty m:val="p"/>
          </m:rPr>
          <m:t>+</m:t>
        </m:r>
        <m:r>
          <m:t>0.333</m:t>
        </m:r>
      </m:oMath>
      <w:r>
        <w:t xml:space="preserve"> </w:t>
      </w:r>
      <w:r>
        <w:t xml:space="preserve">on the second seed).</w:t>
      </w:r>
    </w:p>
    <w:p>
      <w:pPr>
        <w:pStyle w:val="BodyText"/>
      </w:pPr>
      <w:r>
        <w:t xml:space="preserve">Whether the gain is worth paying for depends on its cost. At the measured cost ratio of about 0.35, ACT’s gain falls short of the break-even in the four smaller Pythia upgrades, narrowly in the largest of them: at a drift of 0.56 it recovers 0.73 against a break-even of 0.75 (</w:t>
      </w:r>
      <m:oMath>
        <m:r>
          <m:t>Γ</m:t>
        </m:r>
        <m:r>
          <m:rPr>
            <m:sty m:val="p"/>
          </m:rPr>
          <m:t>=</m:t>
        </m:r>
        <m:r>
          <m:t>0.32</m:t>
        </m:r>
      </m:oMath>
      <w:r>
        <w:t xml:space="preserve"> </w:t>
      </w:r>
      <w:r>
        <w:t xml:space="preserve">against</w:t>
      </w:r>
      <w:r>
        <w:t xml:space="preserve"> </w:t>
      </w:r>
      <m:oMath>
        <m:sSub>
          <m:e>
            <m:r>
              <m:t>C</m:t>
            </m:r>
          </m:e>
          <m:sub>
            <m:r>
              <m:t>A</m:t>
            </m:r>
          </m:sub>
        </m:sSub>
        <m:r>
          <m:rPr>
            <m:sty m:val="p"/>
          </m:rPr>
          <m:t>=</m:t>
        </m:r>
        <m:r>
          <m:t>0.35</m:t>
        </m:r>
      </m:oMath>
      <w:r>
        <w:t xml:space="preserve">).</w:t>
      </w:r>
      <w:r>
        <w:t xml:space="preserve"> </w:t>
      </w:r>
      <w:r>
        <w:t xml:space="preserve">Only after the largest upgrade does it clear the bar. There ACT recovers 0.69 to 0.72 of the retraining benefit at 30% to 36% of the retraining compute time, which makes it the cost-minimizing policy for adapters</w:t>
      </w:r>
      <w:r>
        <w:t xml:space="preserve"> </w:t>
      </w:r>
      <w:r>
        <w:t xml:space="preserve">whose annual value lies between about 1.8 and 4.4 times</w:t>
      </w:r>
      <w:r>
        <w:t xml:space="preserve"> </w:t>
      </w:r>
      <m:oMath>
        <m:sSub>
          <m:e>
            <m:r>
              <m:t>C</m:t>
            </m:r>
          </m:e>
          <m:sub>
            <m:r>
              <m:t>N</m:t>
            </m:r>
          </m:sub>
        </m:sSub>
      </m:oMath>
      <w:r>
        <w:t xml:space="preserve"> </w:t>
      </w:r>
      <w:r>
        <w:t xml:space="preserve">(Table 5): below that range, keep the copy; above it, retrain immediately. A cheaper implementation would move the boundary: at a cost of</w:t>
      </w:r>
      <w:r>
        <w:t xml:space="preserve"> </w:t>
      </w:r>
      <m:oMath>
        <m:r>
          <m:t>0.05</m:t>
        </m:r>
        <m:sSub>
          <m:e>
            <m:r>
              <m:t>C</m:t>
            </m:r>
          </m:e>
          <m:sub>
            <m:r>
              <m:t>N</m:t>
            </m:r>
          </m:sub>
        </m:sSub>
      </m:oMath>
      <w:r>
        <w:t xml:space="preserve">, the gain at a drift of 0.56 would already be worth paying for (break-even recovery 0.59).</w:t>
      </w:r>
    </w:p>
    <w:p>
      <w:pPr>
        <w:pStyle w:val="BodyText"/>
      </w:pPr>
      <w:r>
        <w:t xml:space="preserve">The instruction-tuned pair is an exception that we cannot explain. Copy recovers 71%, which leaves room for improvement, and the activation drift (0.27) is similar to that of the small Pythia upgrades, but ACT recovers 70%, no more than copy, at 65% of the retraining compute time.</w:t>
      </w:r>
      <w:r>
        <w:t xml:space="preserve"> </w:t>
      </w:r>
      <w:r>
        <w:t xml:space="preserve">A shorter-schedule re-run of this pair on a different machine (100 steps, batch 2, 60 evaluation examples) gives 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w:t>
      </w:r>
      <w:r>
        <w:t xml:space="preserve"> </w:t>
      </w:r>
      <w:r>
        <w:t xml:space="preserve">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every threshold.</w:t>
      </w:r>
    </w:p>
    <w:p>
      <w:pPr>
        <w:pStyle w:val="BodyText"/>
      </w:pPr>
      <w:r>
        <w:rPr>
          <w:bCs/>
          <w:b/>
        </w:rPr>
        <w:t xml:space="preserve">Model size.</w:t>
      </w:r>
      <w:r>
        <w:t xml:space="preserve"> </w:t>
      </w:r>
      <w:r>
        <w:t xml:space="preserve">To check whether the pattern depends on scale, we repeat the smallest, a medium, and the largest upgrade at 70 million parameters, and the largest upgrade at 410 million parameters (Table 6); the 160-million row is repeated for comparison.</w:t>
      </w:r>
      <w:r>
        <w:t xml:space="preserve"> </w:t>
      </w:r>
      <w:r>
        <w:t xml:space="preserve">The shape repeats at 70 million: copy recovery falls from 0.972 to 0.933 to 0.621 as the drift rises from 0.25 to 0.32 to 0.49, and ACT’s gain rises from</w:t>
      </w:r>
      <w:r>
        <w:t xml:space="preserve"> </w:t>
      </w:r>
      <m:oMath>
        <m:r>
          <m:rPr>
            <m:sty m:val="p"/>
          </m:rPr>
          <m:t>+</m:t>
        </m:r>
        <m:r>
          <m:t>0.002</m:t>
        </m:r>
      </m:oMath>
      <w:r>
        <w:t xml:space="preserve"> </w:t>
      </w:r>
      <w:r>
        <w:t xml:space="preserve">to</w:t>
      </w:r>
      <w:r>
        <w:t xml:space="preserve"> </w:t>
      </w:r>
      <m:oMath>
        <m:r>
          <m:rPr>
            <m:sty m:val="p"/>
          </m:rPr>
          <m:t>+</m:t>
        </m:r>
        <m:r>
          <m:t>0.026</m:t>
        </m:r>
      </m:oMath>
      <w:r>
        <w:t xml:space="preserve"> </w:t>
      </w:r>
      <w:r>
        <w:t xml:space="preserve">to</w:t>
      </w:r>
      <w:r>
        <w:t xml:space="preserve"> </w:t>
      </w:r>
      <m:oMath>
        <m:r>
          <m:rPr>
            <m:sty m:val="p"/>
          </m:rPr>
          <m:t>+</m:t>
        </m:r>
        <m:r>
          <m:t>0.171</m:t>
        </m:r>
      </m:oMath>
      <w:r>
        <w:t xml:space="preserve">. ACT is cheaper relative to retraining at this size (0.14 to 0.16), so it already pays after the medium upgrade, for adapter values between about 12 and 42 times</w:t>
      </w:r>
      <w:r>
        <w:t xml:space="preserve"> </w:t>
      </w:r>
      <m:oMath>
        <m:sSub>
          <m:e>
            <m:r>
              <m:t>C</m:t>
            </m:r>
          </m:e>
          <m:sub>
            <m:r>
              <m:t>N</m:t>
            </m:r>
          </m:sub>
        </m:sSub>
      </m:oMath>
      <w:r>
        <w:t xml:space="preserve">, and over a range of 1.6 to 8.4 after the largest.</w:t>
      </w:r>
      <w:r>
        <w:t xml:space="preserve"> </w:t>
      </w:r>
      <w:r>
        <w:t xml:space="preserve">At 410 million parameters ACT again improves on copying after the largest upgrade (recovery 0.63 against 0.47, a gain of 0.16), but its compute time relative to retraining has risen to 0.70, so the gain is smaller than the break-even (</w:t>
      </w:r>
      <m:oMath>
        <m:r>
          <m:t>Γ</m:t>
        </m:r>
        <m:r>
          <m:rPr>
            <m:sty m:val="p"/>
          </m:rPr>
          <m:t>=</m:t>
        </m:r>
        <m:r>
          <m:t>0.23</m:t>
        </m:r>
      </m:oMath>
      <w:r>
        <w:t xml:space="preserve"> </w:t>
      </w:r>
      <w:r>
        <w:t xml:space="preserve">against</w:t>
      </w:r>
      <w:r>
        <w:t xml:space="preserve"> </w:t>
      </w:r>
      <m:oMath>
        <m:sSub>
          <m:e>
            <m:r>
              <m:t>C</m:t>
            </m:r>
          </m:e>
          <m:sub>
            <m:r>
              <m:t>A</m:t>
            </m:r>
          </m:sub>
        </m:sSub>
        <m:r>
          <m:rPr>
            <m:sty m:val="p"/>
          </m:rPr>
          <m:t>=</m:t>
        </m:r>
        <m:r>
          <m:t>0.70</m:t>
        </m:r>
      </m:oMath>
      <w:r>
        <w:t xml:space="preserve">) and ACT is never the cost-minimizing policy. A more efficient implementation, described below, lowers this cost ratio to 0.28 without changing the result, which is closer to the break-even but still above it.</w:t>
      </w:r>
    </w:p>
    <w:p>
      <w:pPr>
        <w:pStyle w:val="TableCaption"/>
      </w:pPr>
      <w:r>
        <w:t xml:space="preserve">The same pattern at three model sizes (Pythia; step 73k to 143k unless noted). Cost ratio is compute time of ACT over compute time of retraining;</w:t>
      </w:r>
      <w:r>
        <w:t xml:space="preserve"> </w:t>
      </w:r>
      <m:oMath>
        <m:r>
          <m:t>Γ</m:t>
        </m:r>
      </m:oMath>
      <w:r>
        <w:t xml:space="preserve"> </w:t>
      </w:r>
      <w:r>
        <w:t xml:space="preserve">and ACT-optimal range use each run’s own cost ratio.</w:t>
      </w:r>
    </w:p>
    <w:tbl>
      <w:tblPr>
        <w:tblStyle w:val="Table"/>
        <w:tblW w:type="dxa" w:w="9360"/>
        <w:tblLook w:firstRow="1" w:lastRow="0" w:firstColumn="0" w:lastColumn="0" w:noHBand="0" w:noVBand="0" w:val="0020"/>
        <w:jc w:val="start"/>
        <w:tblCaption w:val="The same pattern at three model sizes (Pythia; step 73k to 143k unless noted). Cost ratio is compute time of ACT over compute time of retraining; \Gamma and ACT-optimal range use each run’s own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 and upgrade</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Drift</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 step 133k to 143k</w:t>
            </w:r>
          </w:p>
        </w:tc>
        <w:tc>
          <w:tcPr>
            <w:tcW w:type="dxa" w:w="984"/>
          </w:tcPr>
          <w:p>
            <w:pPr>
              <w:pStyle w:val="Compact"/>
              <w:spacing w:line="240" w:lineRule="auto"/>
              <w:jc w:val="center"/>
            </w:pPr>
            <w:r>
              <w:rPr>
                <w:rFonts w:ascii="Times New Roman" w:hAnsi="Times New Roman"/>
                <w:sz w:val="20"/>
              </w:rPr>
              <w:t xml:space="preserve">0.25</w:t>
            </w:r>
          </w:p>
        </w:tc>
        <w:tc>
          <w:tcPr>
            <w:tcW w:type="dxa" w:w="984"/>
          </w:tcPr>
          <w:p>
            <w:pPr>
              <w:pStyle w:val="Compact"/>
              <w:spacing w:line="240" w:lineRule="auto"/>
              <w:jc w:val="center"/>
            </w:pPr>
            <w:r>
              <w:rPr>
                <w:rFonts w:ascii="Times New Roman" w:hAnsi="Times New Roman"/>
                <w:sz w:val="20"/>
              </w:rPr>
              <w:t xml:space="preserve">0.972</w:t>
            </w:r>
          </w:p>
        </w:tc>
        <w:tc>
          <w:tcPr>
            <w:tcW w:type="dxa" w:w="984"/>
          </w:tcPr>
          <w:p>
            <w:pPr>
              <w:pStyle w:val="Compact"/>
              <w:spacing w:line="240" w:lineRule="auto"/>
              <w:jc w:val="center"/>
            </w:pPr>
            <w:r>
              <w:rPr>
                <w:rFonts w:ascii="Times New Roman" w:hAnsi="Times New Roman"/>
                <w:sz w:val="20"/>
              </w:rPr>
              <w:t xml:space="preserve">0.974</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0.05</w:t>
            </w:r>
          </w:p>
        </w:tc>
        <w:tc>
          <w:tcPr>
            <w:tcW w:type="dxa" w:w="984"/>
          </w:tcPr>
          <w:p>
            <w:pPr>
              <w:pStyle w:val="Compact"/>
              <w:spacing w:line="240" w:lineRule="auto"/>
              <w:jc w:val="center"/>
            </w:pPr>
            <w:r>
              <w:rPr>
                <w:rFonts w:ascii="Times New Roman" w:hAnsi="Times New Roman"/>
                <w:sz w:val="20"/>
              </w:rPr>
              <w:t xml:space="preserve">never</w:t>
            </w:r>
          </w:p>
        </w:tc>
      </w:tr>
      <w:tr>
        <w:tc>
          <w:tcPr>
            <w:tcW w:type="dxa" w:w="3456"/>
          </w:tcPr>
          <w:p>
            <w:pPr>
              <w:pStyle w:val="Compact"/>
              <w:spacing w:line="240" w:lineRule="auto"/>
              <w:jc w:val="left"/>
            </w:pPr>
            <w:r>
              <w:rPr>
                <w:rFonts w:ascii="Times New Roman" w:hAnsi="Times New Roman"/>
                <w:sz w:val="20"/>
              </w:rPr>
              <w:t xml:space="preserve">70M, step 103k to 143k</w:t>
            </w:r>
          </w:p>
        </w:tc>
        <w:tc>
          <w:tcPr>
            <w:tcW w:type="dxa" w:w="984"/>
          </w:tcPr>
          <w:p>
            <w:pPr>
              <w:pStyle w:val="Compact"/>
              <w:spacing w:line="240" w:lineRule="auto"/>
              <w:jc w:val="center"/>
            </w:pPr>
            <w:r>
              <w:rPr>
                <w:rFonts w:ascii="Times New Roman" w:hAnsi="Times New Roman"/>
                <w:sz w:val="20"/>
              </w:rPr>
              <w:t xml:space="preserve">0.32</w:t>
            </w:r>
          </w:p>
        </w:tc>
        <w:tc>
          <w:tcPr>
            <w:tcW w:type="dxa" w:w="984"/>
          </w:tcPr>
          <w:p>
            <w:pPr>
              <w:pStyle w:val="Compact"/>
              <w:spacing w:line="240" w:lineRule="auto"/>
              <w:jc w:val="center"/>
            </w:pPr>
            <w:r>
              <w:rPr>
                <w:rFonts w:ascii="Times New Roman" w:hAnsi="Times New Roman"/>
                <w:sz w:val="20"/>
              </w:rPr>
              <w:t xml:space="preserve">0.933</w:t>
            </w:r>
          </w:p>
        </w:tc>
        <w:tc>
          <w:tcPr>
            <w:tcW w:type="dxa" w:w="984"/>
          </w:tcPr>
          <w:p>
            <w:pPr>
              <w:pStyle w:val="Compact"/>
              <w:spacing w:line="240" w:lineRule="auto"/>
              <w:jc w:val="center"/>
            </w:pPr>
            <w:r>
              <w:rPr>
                <w:rFonts w:ascii="Times New Roman" w:hAnsi="Times New Roman"/>
                <w:sz w:val="20"/>
              </w:rPr>
              <w:t xml:space="preserve">0.959</w:t>
            </w:r>
          </w:p>
        </w:tc>
        <w:tc>
          <w:tcPr>
            <w:tcW w:type="dxa" w:w="984"/>
          </w:tcPr>
          <w:p>
            <w:pPr>
              <w:pStyle w:val="Compact"/>
              <w:spacing w:line="240" w:lineRule="auto"/>
              <w:jc w:val="center"/>
            </w:pPr>
            <w:r>
              <w:rPr>
                <w:rFonts w:ascii="Times New Roman" w:hAnsi="Times New Roman"/>
                <w:sz w:val="20"/>
              </w:rPr>
              <w:t xml:space="preserve">0.16</w:t>
            </w:r>
          </w:p>
        </w:tc>
        <w:tc>
          <w:tcPr>
            <w:tcW w:type="dxa" w:w="984"/>
          </w:tcPr>
          <w:p>
            <w:pPr>
              <w:pStyle w:val="Compact"/>
              <w:spacing w:line="240" w:lineRule="auto"/>
              <w:jc w:val="center"/>
            </w:pPr>
            <w:r>
              <w:rPr>
                <w:rFonts w:ascii="Times New Roman" w:hAnsi="Times New Roman"/>
                <w:sz w:val="20"/>
              </w:rPr>
              <w:t xml:space="preserve">0.31</w:t>
            </w:r>
          </w:p>
        </w:tc>
        <w:tc>
          <w:tcPr>
            <w:tcW w:type="dxa" w:w="984"/>
          </w:tcPr>
          <w:p>
            <w:pPr>
              <w:pStyle w:val="Compact"/>
              <w:spacing w:line="240" w:lineRule="auto"/>
              <w:jc w:val="center"/>
            </w:pPr>
            <w:r>
              <w:rPr>
                <w:rFonts w:ascii="Times New Roman" w:hAnsi="Times New Roman"/>
                <w:sz w:val="20"/>
              </w:rPr>
              <w:t xml:space="preserve">[11.7, 42.1)</w:t>
            </w:r>
          </w:p>
        </w:tc>
      </w:tr>
      <w:tr>
        <w:tc>
          <w:tcPr>
            <w:tcW w:type="dxa" w:w="3456"/>
          </w:tcPr>
          <w:p>
            <w:pPr>
              <w:pStyle w:val="Compact"/>
              <w:spacing w:line="240" w:lineRule="auto"/>
              <w:jc w:val="left"/>
            </w:pPr>
            <w:r>
              <w:rPr>
                <w:rFonts w:ascii="Times New Roman" w:hAnsi="Times New Roman"/>
                <w:sz w:val="20"/>
              </w:rPr>
              <w:t xml:space="preserve">70M, step 73k to 143k</w:t>
            </w:r>
          </w:p>
        </w:tc>
        <w:tc>
          <w:tcPr>
            <w:tcW w:type="dxa" w:w="984"/>
          </w:tcPr>
          <w:p>
            <w:pPr>
              <w:pStyle w:val="Compact"/>
              <w:spacing w:line="240" w:lineRule="auto"/>
              <w:jc w:val="center"/>
            </w:pPr>
            <w:r>
              <w:rPr>
                <w:rFonts w:ascii="Times New Roman" w:hAnsi="Times New Roman"/>
                <w:sz w:val="20"/>
              </w:rPr>
              <w:t xml:space="preserve">0.49</w:t>
            </w:r>
          </w:p>
        </w:tc>
        <w:tc>
          <w:tcPr>
            <w:tcW w:type="dxa" w:w="984"/>
          </w:tcPr>
          <w:p>
            <w:pPr>
              <w:pStyle w:val="Compact"/>
              <w:spacing w:line="240" w:lineRule="auto"/>
              <w:jc w:val="center"/>
            </w:pPr>
            <w:r>
              <w:rPr>
                <w:rFonts w:ascii="Times New Roman" w:hAnsi="Times New Roman"/>
                <w:sz w:val="20"/>
              </w:rPr>
              <w:t xml:space="preserve">0.621</w:t>
            </w:r>
          </w:p>
        </w:tc>
        <w:tc>
          <w:tcPr>
            <w:tcW w:type="dxa" w:w="984"/>
          </w:tcPr>
          <w:p>
            <w:pPr>
              <w:pStyle w:val="Compact"/>
              <w:spacing w:line="240" w:lineRule="auto"/>
              <w:jc w:val="center"/>
            </w:pPr>
            <w:r>
              <w:rPr>
                <w:rFonts w:ascii="Times New Roman" w:hAnsi="Times New Roman"/>
                <w:sz w:val="20"/>
              </w:rPr>
              <w:t xml:space="preserve">0.791</w:t>
            </w:r>
          </w:p>
        </w:tc>
        <w:tc>
          <w:tcPr>
            <w:tcW w:type="dxa" w:w="984"/>
          </w:tcPr>
          <w:p>
            <w:pPr>
              <w:pStyle w:val="Compact"/>
              <w:spacing w:line="240" w:lineRule="auto"/>
              <w:jc w:val="center"/>
            </w:pPr>
            <w:r>
              <w:rPr>
                <w:rFonts w:ascii="Times New Roman" w:hAnsi="Times New Roman"/>
                <w:sz w:val="20"/>
              </w:rPr>
              <w:t xml:space="preserve">0.14</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[1.6, 8.4)</w:t>
            </w:r>
          </w:p>
        </w:tc>
      </w:tr>
      <w:tr>
        <w:tc>
          <w:tcPr>
            <w:tcW w:type="dxa" w:w="3456"/>
          </w:tcPr>
          <w:p>
            <w:pPr>
              <w:pStyle w:val="Compact"/>
              <w:spacing w:line="240" w:lineRule="auto"/>
              <w:jc w:val="left"/>
            </w:pPr>
            <w:r>
              <w:rPr>
                <w:rFonts w:ascii="Times New Roman" w:hAnsi="Times New Roman"/>
                <w:sz w:val="20"/>
              </w:rPr>
              <w:t xml:space="preserve">160M, step 73k to 143k (seed 0)</w:t>
            </w:r>
          </w:p>
        </w:tc>
        <w:tc>
          <w:tcPr>
            <w:tcW w:type="dxa" w:w="984"/>
          </w:tcPr>
          <w:p>
            <w:pPr>
              <w:pStyle w:val="Compact"/>
              <w:spacing w:line="240" w:lineRule="auto"/>
              <w:jc w:val="center"/>
            </w:pPr>
            <w:r>
              <w:rPr>
                <w:rFonts w:ascii="Times New Roman" w:hAnsi="Times New Roman"/>
                <w:sz w:val="20"/>
              </w:rPr>
              <w:t xml:space="preserve">0.60</w:t>
            </w:r>
          </w:p>
        </w:tc>
        <w:tc>
          <w:tcPr>
            <w:tcW w:type="dxa" w:w="984"/>
          </w:tcPr>
          <w:p>
            <w:pPr>
              <w:pStyle w:val="Compact"/>
              <w:spacing w:line="240" w:lineRule="auto"/>
              <w:jc w:val="center"/>
            </w:pPr>
            <w:r>
              <w:rPr>
                <w:rFonts w:ascii="Times New Roman" w:hAnsi="Times New Roman"/>
                <w:sz w:val="20"/>
              </w:rPr>
              <w:t xml:space="preserve">0.319</w:t>
            </w:r>
          </w:p>
        </w:tc>
        <w:tc>
          <w:tcPr>
            <w:tcW w:type="dxa" w:w="984"/>
          </w:tcPr>
          <w:p>
            <w:pPr>
              <w:pStyle w:val="Compact"/>
              <w:spacing w:line="240" w:lineRule="auto"/>
              <w:jc w:val="center"/>
            </w:pPr>
            <w:r>
              <w:rPr>
                <w:rFonts w:ascii="Times New Roman" w:hAnsi="Times New Roman"/>
                <w:sz w:val="20"/>
              </w:rPr>
              <w:t xml:space="preserve">0.717</w:t>
            </w:r>
          </w:p>
        </w:tc>
        <w:tc>
          <w:tcPr>
            <w:tcW w:type="dxa" w:w="984"/>
          </w:tcPr>
          <w:p>
            <w:pPr>
              <w:pStyle w:val="Compact"/>
              <w:spacing w:line="240" w:lineRule="auto"/>
              <w:jc w:val="center"/>
            </w:pPr>
            <w:r>
              <w:rPr>
                <w:rFonts w:ascii="Times New Roman" w:hAnsi="Times New Roman"/>
                <w:sz w:val="20"/>
              </w:rPr>
              <w:t xml:space="preserve">0.36</w:t>
            </w:r>
          </w:p>
        </w:tc>
        <w:tc>
          <w:tcPr>
            <w:tcW w:type="dxa" w:w="984"/>
          </w:tcPr>
          <w:p>
            <w:pPr>
              <w:pStyle w:val="Compact"/>
              <w:spacing w:line="240" w:lineRule="auto"/>
              <w:jc w:val="center"/>
            </w:pPr>
            <w:r>
              <w:rPr>
                <w:rFonts w:ascii="Times New Roman" w:hAnsi="Times New Roman"/>
                <w:sz w:val="20"/>
              </w:rPr>
              <w:t xml:space="preserve">0.50</w:t>
            </w:r>
          </w:p>
        </w:tc>
        <w:tc>
          <w:tcPr>
            <w:tcW w:type="dxa" w:w="984"/>
          </w:tcPr>
          <w:p>
            <w:pPr>
              <w:pStyle w:val="Compact"/>
              <w:spacing w:line="240" w:lineRule="auto"/>
              <w:jc w:val="center"/>
            </w:pPr>
            <w:r>
              <w:rPr>
                <w:rFonts w:ascii="Times New Roman" w:hAnsi="Times New Roman"/>
                <w:sz w:val="20"/>
              </w:rPr>
              <w:t xml:space="preserve">[1.8, 4.4)</w:t>
            </w:r>
          </w:p>
        </w:tc>
      </w:tr>
      <w:tr>
        <w:tc>
          <w:tcPr>
            <w:tcW w:type="dxa" w:w="3456"/>
          </w:tcPr>
          <w:p>
            <w:pPr>
              <w:pStyle w:val="Compact"/>
              <w:spacing w:line="240" w:lineRule="auto"/>
              <w:jc w:val="left"/>
            </w:pPr>
            <w:r>
              <w:rPr>
                <w:rFonts w:ascii="Times New Roman" w:hAnsi="Times New Roman"/>
                <w:sz w:val="20"/>
              </w:rPr>
              <w:t xml:space="preserve">410M, step 73k to 143k</w:t>
            </w:r>
          </w:p>
        </w:tc>
        <w:tc>
          <w:tcPr>
            <w:tcW w:type="dxa" w:w="984"/>
          </w:tcPr>
          <w:p>
            <w:pPr>
              <w:pStyle w:val="Compact"/>
              <w:spacing w:line="240" w:lineRule="auto"/>
              <w:jc w:val="center"/>
            </w:pPr>
            <w:r>
              <w:rPr>
                <w:rFonts w:ascii="Times New Roman" w:hAnsi="Times New Roman"/>
                <w:sz w:val="20"/>
              </w:rPr>
              <w:t xml:space="preserve">0.46</w:t>
            </w:r>
          </w:p>
        </w:tc>
        <w:tc>
          <w:tcPr>
            <w:tcW w:type="dxa" w:w="984"/>
          </w:tcPr>
          <w:p>
            <w:pPr>
              <w:pStyle w:val="Compact"/>
              <w:spacing w:line="240" w:lineRule="auto"/>
              <w:jc w:val="center"/>
            </w:pPr>
            <w:r>
              <w:rPr>
                <w:rFonts w:ascii="Times New Roman" w:hAnsi="Times New Roman"/>
                <w:sz w:val="20"/>
              </w:rPr>
              <w:t xml:space="preserve">0.472</w:t>
            </w:r>
          </w:p>
        </w:tc>
        <w:tc>
          <w:tcPr>
            <w:tcW w:type="dxa" w:w="984"/>
          </w:tcPr>
          <w:p>
            <w:pPr>
              <w:pStyle w:val="Compact"/>
              <w:spacing w:line="240" w:lineRule="auto"/>
              <w:jc w:val="center"/>
            </w:pPr>
            <w:r>
              <w:rPr>
                <w:rFonts w:ascii="Times New Roman" w:hAnsi="Times New Roman"/>
                <w:sz w:val="20"/>
              </w:rPr>
              <w:t xml:space="preserve">0.631</w:t>
            </w:r>
          </w:p>
        </w:tc>
        <w:tc>
          <w:tcPr>
            <w:tcW w:type="dxa" w:w="984"/>
          </w:tcPr>
          <w:p>
            <w:pPr>
              <w:pStyle w:val="Compact"/>
              <w:spacing w:line="240" w:lineRule="auto"/>
              <w:jc w:val="center"/>
            </w:pPr>
            <w:r>
              <w:rPr>
                <w:rFonts w:ascii="Times New Roman" w:hAnsi="Times New Roman"/>
                <w:sz w:val="20"/>
              </w:rPr>
              <w:t xml:space="preserve">0.70</w:t>
            </w:r>
          </w:p>
        </w:tc>
        <w:tc>
          <w:tcPr>
            <w:tcW w:type="dxa" w:w="984"/>
          </w:tcPr>
          <w:p>
            <w:pPr>
              <w:pStyle w:val="Compact"/>
              <w:spacing w:line="240" w:lineRule="auto"/>
              <w:jc w:val="center"/>
            </w:pPr>
            <w:r>
              <w:rPr>
                <w:rFonts w:ascii="Times New Roman" w:hAnsi="Times New Roman"/>
                <w:sz w:val="20"/>
              </w:rPr>
              <w:t xml:space="preserve">0.23</w:t>
            </w:r>
          </w:p>
        </w:tc>
        <w:tc>
          <w:tcPr>
            <w:tcW w:type="dxa" w:w="984"/>
          </w:tcPr>
          <w:p>
            <w:pPr>
              <w:pStyle w:val="Compact"/>
              <w:spacing w:line="240" w:lineRule="auto"/>
              <w:jc w:val="center"/>
            </w:pPr>
            <w:r>
              <w:rPr>
                <w:rFonts w:ascii="Times New Roman" w:hAnsi="Times New Roman"/>
                <w:sz w:val="20"/>
              </w:rPr>
              <w:t xml:space="preserve">never</w:t>
            </w:r>
          </w:p>
        </w:tc>
      </w:tr>
    </w:tbl>
    <w:p>
      <w:pPr>
        <w:pStyle w:val="BodyText"/>
      </w:pPr>
      <w:r>
        <w:t xml:space="preserve">The cost ratio is the quantity that changes with scale. Retraining time grows roughly in proportion to model size (207, 467, and 1</w:t>
      </w:r>
      <w:r>
        <w:t xml:space="preserve">,</w:t>
      </w:r>
      <w:r>
        <w:t xml:space="preserve">171 seconds at 70, 160, and 410 million parameters), but ACT’s time grows faster (29, 168, and 815 seconds). To see where the time goes, we profiled ACT on untrained adapters, whose cost is the same as that of trained ones (Table 7).</w:t>
      </w:r>
      <w:r>
        <w:t xml:space="preserve"> </w:t>
      </w:r>
      <w:r>
        <w:t xml:space="preserve">Contrary to our first guess, the linear solves are not the main cost: they take 11% to 14% of ACT’s time at every size. The largest component, and the one that grows fastest, is the forward passes that capture module inputs (39%, 51%, and 60% of the time). ACT corrects the layers in order from the input side, and for each layer it runs both models from the input up to that layer, so the number of layer passes grows with the square of the depth. Relative to 70 million parameters, the layer-pass count multiplied by the squared layer width predicts growth of 8.4 and 57 times; the measured forward time grew by 8.4 and 35 times. The prediction matches at 160 million parameters and overshoots at 410 million, perhaps because larger matrix products run more efficiently on the CPU, a point we did not test.</w:t>
      </w:r>
      <w:r>
        <w:t xml:space="preserve"> </w:t>
      </w:r>
      <w:r>
        <w:t xml:space="preserve">Retraining, in contrast, passes through each layer once per step, so its cost grows roughly with depth rather than with its square. Of the 787 seconds added between 70 and 410 million parameters, forward passes account for 61%, Gram-matrix accumulation and other work for 26%, and the solves for 13%.</w:t>
      </w:r>
    </w:p>
    <w:p>
      <w:pPr>
        <w:pStyle w:val="TableCaption"/>
      </w:pPr>
      <w:r>
        <w:t xml:space="preserve">Profile of ACT on untrained adapters (Pythia, CPU, four threads). The totals differ from the ACT times of the full runs by up to 38%.</w:t>
      </w:r>
    </w:p>
    <w:tbl>
      <w:tblPr>
        <w:tblStyle w:val="Table"/>
        <w:tblW w:type="dxa" w:w="9360"/>
        <w:tblLook w:firstRow="1" w:lastRow="0" w:firstColumn="0" w:lastColumn="0" w:noHBand="0" w:noVBand="0" w:val="0020"/>
        <w:jc w:val="start"/>
        <w:tblCaption w:val="Profile of ACT on untrained adapters (Pythia, CPU, four threads). The totals differ from the ACT times of the full runs by up to 38%."/>
        <w:tblLayout w:type="fixed"/>
        <w:tblBorders>
          <w:top w:val="single" w:sz="12" w:color="000000"/>
          <w:bottom w:val="single" w:sz="12" w:color="000000"/>
        </w:tblBorders>
      </w:tblPr>
      <w:tblGrid>
        <w:gridCol w:w="3456"/>
        <w:gridCol w:w="1180"/>
        <w:gridCol w:w="1180"/>
        <w:gridCol w:w="1180"/>
        <w:gridCol w:w="1180"/>
        <w:gridCol w:w="1180"/>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Layers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Total (s)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Forward passes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Linear solves</w:t>
            </w:r>
          </w:p>
        </w:tc>
        <w:tc>
          <w:tcPr>
            <w:tcW w:type="dxa" w:w="1181"/>
            <w:tcBorders>
              <w:bottom w:val="single" w:sz="6" w:color="000000"/>
            </w:tcBorders>
          </w:tcPr>
          <w:p>
            <w:pPr>
              <w:pStyle w:val="Compact"/>
              <w:spacing w:line="240" w:lineRule="auto"/>
              <w:jc w:val="center"/>
            </w:pPr>
            <w:r>
              <w:rPr>
                <w:rFonts w:ascii="Times New Roman" w:hAnsi="Times New Roman"/>
                <w:sz w:val="20"/>
              </w:rPr>
              <w:t xml:space="preserve">Gram matrices, other</w:t>
            </w:r>
          </w:p>
        </w:tc>
      </w:tr>
      <w:tr>
        <w:tc>
          <w:tcPr>
            <w:tcW w:type="dxa" w:w="3456"/>
          </w:tcPr>
          <w:p>
            <w:pPr>
              <w:pStyle w:val="Compact"/>
              <w:spacing w:line="240" w:lineRule="auto"/>
              <w:jc w:val="left"/>
            </w:pPr>
            <w:r>
              <w:rPr>
                <w:rFonts w:ascii="Times New Roman" w:hAnsi="Times New Roman"/>
                <w:sz w:val="20"/>
              </w:rPr>
              <w:t xml:space="preserve">70M</w:t>
            </w:r>
          </w:p>
        </w:tc>
        <w:tc>
          <w:tcPr>
            <w:tcW w:type="dxa" w:w="1181"/>
          </w:tcPr>
          <w:p>
            <w:pPr>
              <w:pStyle w:val="Compact"/>
              <w:spacing w:line="240" w:lineRule="auto"/>
              <w:jc w:val="center"/>
            </w:pPr>
            <w:r>
              <w:rPr>
                <w:rFonts w:ascii="Times New Roman" w:hAnsi="Times New Roman"/>
                <w:sz w:val="20"/>
              </w:rPr>
              <w:t xml:space="preserve">6</w:t>
            </w:r>
          </w:p>
        </w:tc>
        <w:tc>
          <w:tcPr>
            <w:tcW w:type="dxa" w:w="1181"/>
          </w:tcPr>
          <w:p>
            <w:pPr>
              <w:pStyle w:val="Compact"/>
              <w:spacing w:line="240" w:lineRule="auto"/>
              <w:jc w:val="center"/>
            </w:pPr>
            <w:r>
              <w:rPr>
                <w:rFonts w:ascii="Times New Roman" w:hAnsi="Times New Roman"/>
                <w:sz w:val="20"/>
              </w:rPr>
              <w:t xml:space="preserve">36</w:t>
            </w:r>
          </w:p>
        </w:tc>
        <w:tc>
          <w:tcPr>
            <w:tcW w:type="dxa" w:w="1181"/>
          </w:tcPr>
          <w:p>
            <w:pPr>
              <w:pStyle w:val="Compact"/>
              <w:spacing w:line="240" w:lineRule="auto"/>
              <w:jc w:val="center"/>
            </w:pPr>
            <w:r>
              <w:rPr>
                <w:rFonts w:ascii="Times New Roman" w:hAnsi="Times New Roman"/>
                <w:sz w:val="20"/>
              </w:rPr>
              <w:t xml:space="preserve">14 (39%)</w:t>
            </w:r>
          </w:p>
        </w:tc>
        <w:tc>
          <w:tcPr>
            <w:tcW w:type="dxa" w:w="1181"/>
          </w:tcPr>
          <w:p>
            <w:pPr>
              <w:pStyle w:val="Compact"/>
              <w:spacing w:line="240" w:lineRule="auto"/>
              <w:jc w:val="center"/>
            </w:pPr>
            <w:r>
              <w:rPr>
                <w:rFonts w:ascii="Times New Roman" w:hAnsi="Times New Roman"/>
                <w:sz w:val="20"/>
              </w:rPr>
              <w:t xml:space="preserve">5 (14%)</w:t>
            </w:r>
          </w:p>
        </w:tc>
        <w:tc>
          <w:tcPr>
            <w:tcW w:type="dxa" w:w="1181"/>
          </w:tcPr>
          <w:p>
            <w:pPr>
              <w:pStyle w:val="Compact"/>
              <w:spacing w:line="240" w:lineRule="auto"/>
              <w:jc w:val="center"/>
            </w:pPr>
            <w:r>
              <w:rPr>
                <w:rFonts w:ascii="Times New Roman" w:hAnsi="Times New Roman"/>
                <w:sz w:val="20"/>
              </w:rPr>
              <w:t xml:space="preserve">17 (47%)</w:t>
            </w:r>
          </w:p>
        </w:tc>
      </w:tr>
      <w:tr>
        <w:tc>
          <w:tcPr>
            <w:tcW w:type="dxa" w:w="3456"/>
          </w:tcPr>
          <w:p>
            <w:pPr>
              <w:pStyle w:val="Compact"/>
              <w:spacing w:line="240" w:lineRule="auto"/>
              <w:jc w:val="left"/>
            </w:pPr>
            <w:r>
              <w:rPr>
                <w:rFonts w:ascii="Times New Roman" w:hAnsi="Times New Roman"/>
                <w:sz w:val="20"/>
              </w:rPr>
              <w:t xml:space="preserve">160M</w:t>
            </w:r>
          </w:p>
        </w:tc>
        <w:tc>
          <w:tcPr>
            <w:tcW w:type="dxa" w:w="1181"/>
          </w:tcPr>
          <w:p>
            <w:pPr>
              <w:pStyle w:val="Compact"/>
              <w:spacing w:line="240" w:lineRule="auto"/>
              <w:jc w:val="center"/>
            </w:pPr>
            <w:r>
              <w:rPr>
                <w:rFonts w:ascii="Times New Roman" w:hAnsi="Times New Roman"/>
                <w:sz w:val="20"/>
              </w:rPr>
              <w:t xml:space="preserve">12</w:t>
            </w:r>
          </w:p>
        </w:tc>
        <w:tc>
          <w:tcPr>
            <w:tcW w:type="dxa" w:w="1181"/>
          </w:tcPr>
          <w:p>
            <w:pPr>
              <w:pStyle w:val="Compact"/>
              <w:spacing w:line="240" w:lineRule="auto"/>
              <w:jc w:val="center"/>
            </w:pPr>
            <w:r>
              <w:rPr>
                <w:rFonts w:ascii="Times New Roman" w:hAnsi="Times New Roman"/>
                <w:sz w:val="20"/>
              </w:rPr>
              <w:t xml:space="preserve">232</w:t>
            </w:r>
          </w:p>
        </w:tc>
        <w:tc>
          <w:tcPr>
            <w:tcW w:type="dxa" w:w="1181"/>
          </w:tcPr>
          <w:p>
            <w:pPr>
              <w:pStyle w:val="Compact"/>
              <w:spacing w:line="240" w:lineRule="auto"/>
              <w:jc w:val="center"/>
            </w:pPr>
            <w:r>
              <w:rPr>
                <w:rFonts w:ascii="Times New Roman" w:hAnsi="Times New Roman"/>
                <w:sz w:val="20"/>
              </w:rPr>
              <w:t xml:space="preserve">118 (51%)</w:t>
            </w:r>
          </w:p>
        </w:tc>
        <w:tc>
          <w:tcPr>
            <w:tcW w:type="dxa" w:w="1181"/>
          </w:tcPr>
          <w:p>
            <w:pPr>
              <w:pStyle w:val="Compact"/>
              <w:spacing w:line="240" w:lineRule="auto"/>
              <w:jc w:val="center"/>
            </w:pPr>
            <w:r>
              <w:rPr>
                <w:rFonts w:ascii="Times New Roman" w:hAnsi="Times New Roman"/>
                <w:sz w:val="20"/>
              </w:rPr>
              <w:t xml:space="preserve">26 (11%)</w:t>
            </w:r>
          </w:p>
        </w:tc>
        <w:tc>
          <w:tcPr>
            <w:tcW w:type="dxa" w:w="1181"/>
          </w:tcPr>
          <w:p>
            <w:pPr>
              <w:pStyle w:val="Compact"/>
              <w:spacing w:line="240" w:lineRule="auto"/>
              <w:jc w:val="center"/>
            </w:pPr>
            <w:r>
              <w:rPr>
                <w:rFonts w:ascii="Times New Roman" w:hAnsi="Times New Roman"/>
                <w:sz w:val="20"/>
              </w:rPr>
              <w:t xml:space="preserve">88 (38%)</w:t>
            </w:r>
          </w:p>
        </w:tc>
      </w:tr>
      <w:tr>
        <w:tc>
          <w:tcPr>
            <w:tcW w:type="dxa" w:w="3456"/>
          </w:tcPr>
          <w:p>
            <w:pPr>
              <w:pStyle w:val="Compact"/>
              <w:spacing w:line="240" w:lineRule="auto"/>
              <w:jc w:val="left"/>
            </w:pPr>
            <w:r>
              <w:rPr>
                <w:rFonts w:ascii="Times New Roman" w:hAnsi="Times New Roman"/>
                <w:sz w:val="20"/>
              </w:rPr>
              <w:t xml:space="preserve">410M</w:t>
            </w:r>
          </w:p>
        </w:tc>
        <w:tc>
          <w:tcPr>
            <w:tcW w:type="dxa" w:w="1181"/>
          </w:tcPr>
          <w:p>
            <w:pPr>
              <w:pStyle w:val="Compact"/>
              <w:spacing w:line="240" w:lineRule="auto"/>
              <w:jc w:val="center"/>
            </w:pPr>
            <w:r>
              <w:rPr>
                <w:rFonts w:ascii="Times New Roman" w:hAnsi="Times New Roman"/>
                <w:sz w:val="20"/>
              </w:rPr>
              <w:t xml:space="preserve">24</w:t>
            </w:r>
          </w:p>
        </w:tc>
        <w:tc>
          <w:tcPr>
            <w:tcW w:type="dxa" w:w="1181"/>
          </w:tcPr>
          <w:p>
            <w:pPr>
              <w:pStyle w:val="Compact"/>
              <w:spacing w:line="240" w:lineRule="auto"/>
              <w:jc w:val="center"/>
            </w:pPr>
            <w:r>
              <w:rPr>
                <w:rFonts w:ascii="Times New Roman" w:hAnsi="Times New Roman"/>
                <w:sz w:val="20"/>
              </w:rPr>
              <w:t xml:space="preserve">823</w:t>
            </w:r>
          </w:p>
        </w:tc>
        <w:tc>
          <w:tcPr>
            <w:tcW w:type="dxa" w:w="1181"/>
          </w:tcPr>
          <w:p>
            <w:pPr>
              <w:pStyle w:val="Compact"/>
              <w:spacing w:line="240" w:lineRule="auto"/>
              <w:jc w:val="center"/>
            </w:pPr>
            <w:r>
              <w:rPr>
                <w:rFonts w:ascii="Times New Roman" w:hAnsi="Times New Roman"/>
                <w:sz w:val="20"/>
              </w:rPr>
              <w:t xml:space="preserve">494 (60%)</w:t>
            </w:r>
          </w:p>
        </w:tc>
        <w:tc>
          <w:tcPr>
            <w:tcW w:type="dxa" w:w="1181"/>
          </w:tcPr>
          <w:p>
            <w:pPr>
              <w:pStyle w:val="Compact"/>
              <w:spacing w:line="240" w:lineRule="auto"/>
              <w:jc w:val="center"/>
            </w:pPr>
            <w:r>
              <w:rPr>
                <w:rFonts w:ascii="Times New Roman" w:hAnsi="Times New Roman"/>
                <w:sz w:val="20"/>
              </w:rPr>
              <w:t xml:space="preserve">108 (13%)</w:t>
            </w:r>
          </w:p>
        </w:tc>
        <w:tc>
          <w:tcPr>
            <w:tcW w:type="dxa" w:w="1181"/>
          </w:tcPr>
          <w:p>
            <w:pPr>
              <w:pStyle w:val="Compact"/>
              <w:spacing w:line="240" w:lineRule="auto"/>
              <w:jc w:val="center"/>
            </w:pPr>
            <w:r>
              <w:rPr>
                <w:rFonts w:ascii="Times New Roman" w:hAnsi="Times New Roman"/>
                <w:sz w:val="20"/>
              </w:rPr>
              <w:t xml:space="preserve">220 (27%)</w:t>
            </w:r>
          </w:p>
        </w:tc>
      </w:tr>
    </w:tbl>
    <w:p>
      <w:pPr>
        <w:pStyle w:val="BodyText"/>
      </w:pPr>
      <w:r>
        <w:t xml:space="preserve">The effect is a property of our implementation rather than of the method. We therefore implemented the obvious remedy: the inputs of each layer are cached, so that each layer is run once per model to collect statistics and once more through the corrected target model to produce the next layer’s input, which makes the number of layer passes grow linearly with depth. On the same trained adapters the cached version selects the same anchoring strength for every module and gives the same held-out NLL as the original, to the digits reported, and it is faster by 1.35, 1.62, and 2.37 times at 70, 160, and 410 million parameters, lowering the cost ratio from 0.16, 0.33, and 0.67 to 0.12, 0.21, and 0.28 (Table 8). The speed-up grows with model size, as the profile predicts. At 410 million parameters the cost ratio is still above the break-even of 0.21, so ACT does not pay there, but the gap is 0.07 rather than 0.46. We did not profile the cached version, so we cannot say what dominates its remaining cost.</w:t>
      </w:r>
      <w:r>
        <w:t xml:space="preserve"> </w:t>
      </w:r>
      <w:r>
        <w:t xml:space="preserve">The result also shows that a transfer method’s gain and its cost have to be measured at the scale at which it will be used. The 410-million run is a single upgrade with a single seed, and its drift (0.46) is lower than that of the 160-million run it is compared with (0.60).</w:t>
      </w:r>
    </w:p>
    <w:p>
      <w:pPr>
        <w:pStyle w:val="TableCaption"/>
      </w:pPr>
      <w:r>
        <w:t xml:space="preserve">Original and cached ACT on the same trained adapters (Pythia, step 73k to 143k; new runs, so recoveries differ slightly from Table 6).</w:t>
      </w:r>
      <w:r>
        <w:t xml:space="preserve"> </w:t>
      </w:r>
      <m:oMath>
        <m:r>
          <m:t>Γ</m:t>
        </m:r>
      </m:oMath>
      <w:r>
        <w:t xml:space="preserve"> </w:t>
      </w:r>
      <w:r>
        <w:t xml:space="preserve">and the ACT-optimal range use the cached cost ratio.</w:t>
      </w:r>
    </w:p>
    <w:tbl>
      <w:tblPr>
        <w:tblStyle w:val="Table"/>
        <w:tblW w:type="dxa" w:w="9360"/>
        <w:tblLook w:firstRow="1" w:lastRow="0" w:firstColumn="0" w:lastColumn="0" w:noHBand="0" w:noVBand="0" w:val="0020"/>
        <w:jc w:val="start"/>
        <w:tblCaption w:val="Original and cached ACT on the same trained adapters (Pythia, step 73k to 143k; new runs, so recoveries differ slightly from Table 6). \Gamma and the ACT-optimal range use the cached cost ratio."/>
        <w:tblLayout w:type="fixed"/>
        <w:tblBorders>
          <w:top w:val="single" w:sz="12" w:color="000000"/>
          <w:bottom w:val="single" w:sz="12" w:color="000000"/>
        </w:tblBorders>
      </w:tblPr>
      <w:tblGrid>
        <w:gridCol w:w="3456"/>
        <w:gridCol w:w="983"/>
        <w:gridCol w:w="983"/>
        <w:gridCol w:w="983"/>
        <w:gridCol w:w="983"/>
        <w:gridCol w:w="983"/>
        <w:gridCol w:w="983"/>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Model</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time (s), original / cached</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r>
              <w:rPr>
                <w:rFonts w:ascii="Times New Roman" w:hAnsi="Times New Roman"/>
                <w:sz w:val="20"/>
              </w:rPr>
              <w:t xml:space="preserve">, original / cached</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Γ</w:t>
            </w:r>
          </w:p>
        </w:tc>
        <w:tc>
          <w:tcPr>
            <w:tcW w:type="dxa" w:w="984"/>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70M</w:t>
            </w:r>
          </w:p>
        </w:tc>
        <w:tc>
          <w:tcPr>
            <w:tcW w:type="dxa" w:w="984"/>
          </w:tcPr>
          <w:p>
            <w:pPr>
              <w:pStyle w:val="Compact"/>
              <w:spacing w:line="240" w:lineRule="auto"/>
              <w:jc w:val="center"/>
            </w:pPr>
            <w:r>
              <w:rPr>
                <w:rFonts w:ascii="Times New Roman" w:hAnsi="Times New Roman"/>
                <w:sz w:val="20"/>
              </w:rPr>
              <w:t xml:space="preserve">0.645</w:t>
            </w:r>
          </w:p>
        </w:tc>
        <w:tc>
          <w:tcPr>
            <w:tcW w:type="dxa" w:w="984"/>
          </w:tcPr>
          <w:p>
            <w:pPr>
              <w:pStyle w:val="Compact"/>
              <w:spacing w:line="240" w:lineRule="auto"/>
              <w:jc w:val="center"/>
            </w:pPr>
            <w:r>
              <w:rPr>
                <w:rFonts w:ascii="Times New Roman" w:hAnsi="Times New Roman"/>
                <w:sz w:val="20"/>
              </w:rPr>
              <w:t xml:space="preserve">0.809</w:t>
            </w:r>
          </w:p>
        </w:tc>
        <w:tc>
          <w:tcPr>
            <w:tcW w:type="dxa" w:w="984"/>
          </w:tcPr>
          <w:p>
            <w:pPr>
              <w:pStyle w:val="Compact"/>
              <w:spacing w:line="240" w:lineRule="auto"/>
              <w:jc w:val="center"/>
            </w:pPr>
            <w:r>
              <w:rPr>
                <w:rFonts w:ascii="Times New Roman" w:hAnsi="Times New Roman"/>
                <w:sz w:val="20"/>
              </w:rPr>
              <w:t xml:space="preserve">32 / 23</w:t>
            </w:r>
          </w:p>
        </w:tc>
        <w:tc>
          <w:tcPr>
            <w:tcW w:type="dxa" w:w="984"/>
          </w:tcPr>
          <w:p>
            <w:pPr>
              <w:pStyle w:val="Compact"/>
              <w:spacing w:line="240" w:lineRule="auto"/>
              <w:jc w:val="center"/>
            </w:pPr>
            <w:r>
              <w:rPr>
                <w:rFonts w:ascii="Times New Roman" w:hAnsi="Times New Roman"/>
                <w:sz w:val="20"/>
              </w:rPr>
              <w:t xml:space="preserve">0.16 / 0.12</w:t>
            </w:r>
          </w:p>
        </w:tc>
        <w:tc>
          <w:tcPr>
            <w:tcW w:type="dxa" w:w="984"/>
          </w:tcPr>
          <w:p>
            <w:pPr>
              <w:pStyle w:val="Compact"/>
              <w:spacing w:line="240" w:lineRule="auto"/>
              <w:jc w:val="center"/>
            </w:pPr>
            <w:r>
              <w:rPr>
                <w:rFonts w:ascii="Times New Roman" w:hAnsi="Times New Roman"/>
                <w:sz w:val="20"/>
              </w:rPr>
              <w:t xml:space="preserve">0.38</w:t>
            </w:r>
          </w:p>
        </w:tc>
        <w:tc>
          <w:tcPr>
            <w:tcW w:type="dxa" w:w="984"/>
          </w:tcPr>
          <w:p>
            <w:pPr>
              <w:pStyle w:val="Compact"/>
              <w:spacing w:line="240" w:lineRule="auto"/>
              <w:jc w:val="center"/>
            </w:pPr>
            <w:r>
              <w:rPr>
                <w:rFonts w:ascii="Times New Roman" w:hAnsi="Times New Roman"/>
                <w:sz w:val="20"/>
              </w:rPr>
              <w:t xml:space="preserve">[1.4, 9.6)</w:t>
            </w:r>
          </w:p>
        </w:tc>
      </w:tr>
      <w:tr>
        <w:tc>
          <w:tcPr>
            <w:tcW w:type="dxa" w:w="3456"/>
          </w:tcPr>
          <w:p>
            <w:pPr>
              <w:pStyle w:val="Compact"/>
              <w:spacing w:line="240" w:lineRule="auto"/>
              <w:jc w:val="left"/>
            </w:pPr>
            <w:r>
              <w:rPr>
                <w:rFonts w:ascii="Times New Roman" w:hAnsi="Times New Roman"/>
                <w:sz w:val="20"/>
              </w:rPr>
              <w:t xml:space="preserve">160M</w:t>
            </w:r>
          </w:p>
        </w:tc>
        <w:tc>
          <w:tcPr>
            <w:tcW w:type="dxa" w:w="984"/>
          </w:tcPr>
          <w:p>
            <w:pPr>
              <w:pStyle w:val="Compact"/>
              <w:spacing w:line="240" w:lineRule="auto"/>
              <w:jc w:val="center"/>
            </w:pPr>
            <w:r>
              <w:rPr>
                <w:rFonts w:ascii="Times New Roman" w:hAnsi="Times New Roman"/>
                <w:sz w:val="20"/>
              </w:rPr>
              <w:t xml:space="preserve">0.390</w:t>
            </w:r>
          </w:p>
        </w:tc>
        <w:tc>
          <w:tcPr>
            <w:tcW w:type="dxa" w:w="984"/>
          </w:tcPr>
          <w:p>
            <w:pPr>
              <w:pStyle w:val="Compact"/>
              <w:spacing w:line="240" w:lineRule="auto"/>
              <w:jc w:val="center"/>
            </w:pPr>
            <w:r>
              <w:rPr>
                <w:rFonts w:ascii="Times New Roman" w:hAnsi="Times New Roman"/>
                <w:sz w:val="20"/>
              </w:rPr>
              <w:t xml:space="preserve">0.768</w:t>
            </w:r>
          </w:p>
        </w:tc>
        <w:tc>
          <w:tcPr>
            <w:tcW w:type="dxa" w:w="984"/>
          </w:tcPr>
          <w:p>
            <w:pPr>
              <w:pStyle w:val="Compact"/>
              <w:spacing w:line="240" w:lineRule="auto"/>
              <w:jc w:val="center"/>
            </w:pPr>
            <w:r>
              <w:rPr>
                <w:rFonts w:ascii="Times New Roman" w:hAnsi="Times New Roman"/>
                <w:sz w:val="20"/>
              </w:rPr>
              <w:t xml:space="preserve">151 / 94</w:t>
            </w:r>
          </w:p>
        </w:tc>
        <w:tc>
          <w:tcPr>
            <w:tcW w:type="dxa" w:w="984"/>
          </w:tcPr>
          <w:p>
            <w:pPr>
              <w:pStyle w:val="Compact"/>
              <w:spacing w:line="240" w:lineRule="auto"/>
              <w:jc w:val="center"/>
            </w:pPr>
            <w:r>
              <w:rPr>
                <w:rFonts w:ascii="Times New Roman" w:hAnsi="Times New Roman"/>
                <w:sz w:val="20"/>
              </w:rPr>
              <w:t xml:space="preserve">0.33 / 0.21</w:t>
            </w:r>
          </w:p>
        </w:tc>
        <w:tc>
          <w:tcPr>
            <w:tcW w:type="dxa" w:w="984"/>
          </w:tcPr>
          <w:p>
            <w:pPr>
              <w:pStyle w:val="Compact"/>
              <w:spacing w:line="240" w:lineRule="auto"/>
              <w:jc w:val="center"/>
            </w:pPr>
            <w:r>
              <w:rPr>
                <w:rFonts w:ascii="Times New Roman" w:hAnsi="Times New Roman"/>
                <w:sz w:val="20"/>
              </w:rPr>
              <w:t xml:space="preserve">0.54</w:t>
            </w:r>
          </w:p>
        </w:tc>
        <w:tc>
          <w:tcPr>
            <w:tcW w:type="dxa" w:w="984"/>
          </w:tcPr>
          <w:p>
            <w:pPr>
              <w:pStyle w:val="Compact"/>
              <w:spacing w:line="240" w:lineRule="auto"/>
              <w:jc w:val="center"/>
            </w:pPr>
            <w:r>
              <w:rPr>
                <w:rFonts w:ascii="Times New Roman" w:hAnsi="Times New Roman"/>
                <w:sz w:val="20"/>
              </w:rPr>
              <w:t xml:space="preserve">[1.0, 6.9)</w:t>
            </w:r>
          </w:p>
        </w:tc>
      </w:tr>
      <w:tr>
        <w:tc>
          <w:tcPr>
            <w:tcW w:type="dxa" w:w="3456"/>
          </w:tcPr>
          <w:p>
            <w:pPr>
              <w:pStyle w:val="Compact"/>
              <w:spacing w:line="240" w:lineRule="auto"/>
              <w:jc w:val="left"/>
            </w:pPr>
            <w:r>
              <w:rPr>
                <w:rFonts w:ascii="Times New Roman" w:hAnsi="Times New Roman"/>
                <w:sz w:val="20"/>
              </w:rPr>
              <w:t xml:space="preserve">410M</w:t>
            </w:r>
          </w:p>
        </w:tc>
        <w:tc>
          <w:tcPr>
            <w:tcW w:type="dxa" w:w="984"/>
          </w:tcPr>
          <w:p>
            <w:pPr>
              <w:pStyle w:val="Compact"/>
              <w:spacing w:line="240" w:lineRule="auto"/>
              <w:jc w:val="center"/>
            </w:pPr>
            <w:r>
              <w:rPr>
                <w:rFonts w:ascii="Times New Roman" w:hAnsi="Times New Roman"/>
                <w:sz w:val="20"/>
              </w:rPr>
              <w:t xml:space="preserve">0.492</w:t>
            </w:r>
          </w:p>
        </w:tc>
        <w:tc>
          <w:tcPr>
            <w:tcW w:type="dxa" w:w="984"/>
          </w:tcPr>
          <w:p>
            <w:pPr>
              <w:pStyle w:val="Compact"/>
              <w:spacing w:line="240" w:lineRule="auto"/>
              <w:jc w:val="center"/>
            </w:pPr>
            <w:r>
              <w:rPr>
                <w:rFonts w:ascii="Times New Roman" w:hAnsi="Times New Roman"/>
                <w:sz w:val="20"/>
              </w:rPr>
              <w:t xml:space="preserve">0.637</w:t>
            </w:r>
          </w:p>
        </w:tc>
        <w:tc>
          <w:tcPr>
            <w:tcW w:type="dxa" w:w="984"/>
          </w:tcPr>
          <w:p>
            <w:pPr>
              <w:pStyle w:val="Compact"/>
              <w:spacing w:line="240" w:lineRule="auto"/>
              <w:jc w:val="center"/>
            </w:pPr>
            <w:r>
              <w:rPr>
                <w:rFonts w:ascii="Times New Roman" w:hAnsi="Times New Roman"/>
                <w:sz w:val="20"/>
              </w:rPr>
              <w:t xml:space="preserve">763 / 322</w:t>
            </w:r>
          </w:p>
        </w:tc>
        <w:tc>
          <w:tcPr>
            <w:tcW w:type="dxa" w:w="984"/>
          </w:tcPr>
          <w:p>
            <w:pPr>
              <w:pStyle w:val="Compact"/>
              <w:spacing w:line="240" w:lineRule="auto"/>
              <w:jc w:val="center"/>
            </w:pPr>
            <w:r>
              <w:rPr>
                <w:rFonts w:ascii="Times New Roman" w:hAnsi="Times New Roman"/>
                <w:sz w:val="20"/>
              </w:rPr>
              <w:t xml:space="preserve">0.67 / 0.28</w:t>
            </w:r>
          </w:p>
        </w:tc>
        <w:tc>
          <w:tcPr>
            <w:tcW w:type="dxa" w:w="984"/>
          </w:tcPr>
          <w:p>
            <w:pPr>
              <w:pStyle w:val="Compact"/>
              <w:spacing w:line="240" w:lineRule="auto"/>
              <w:jc w:val="center"/>
            </w:pPr>
            <w:r>
              <w:rPr>
                <w:rFonts w:ascii="Times New Roman" w:hAnsi="Times New Roman"/>
                <w:sz w:val="20"/>
              </w:rPr>
              <w:t xml:space="preserve">0.21</w:t>
            </w:r>
          </w:p>
        </w:tc>
        <w:tc>
          <w:tcPr>
            <w:tcW w:type="dxa" w:w="984"/>
          </w:tcPr>
          <w:p>
            <w:pPr>
              <w:pStyle w:val="Compact"/>
              <w:spacing w:line="240" w:lineRule="auto"/>
              <w:jc w:val="center"/>
            </w:pPr>
            <w:r>
              <w:rPr>
                <w:rFonts w:ascii="Times New Roman" w:hAnsi="Times New Roman"/>
                <w:sz w:val="20"/>
              </w:rPr>
              <w:t xml:space="preserve">never</w:t>
            </w:r>
          </w:p>
        </w:tc>
      </w:tr>
    </w:tbl>
    <w:bookmarkEnd w:id="26"/>
    <w:bookmarkStart w:id="27" w:name="where-does-act-help"/>
    <w:p>
      <w:pPr>
        <w:pStyle w:val="Heading1"/>
      </w:pPr>
      <w:r>
        <w:t xml:space="preserve">8. Where Does ACT Help?</w:t>
      </w:r>
    </w:p>
    <w:p>
      <w:pPr>
        <w:pStyle w:val="FirstParagraph"/>
      </w:pPr>
      <w:r>
        <w:rPr>
          <w:bCs/>
          <w:b/>
        </w:rPr>
        <w:t xml:space="preserve">Dependence on upgrade size.</w:t>
      </w:r>
      <w:r>
        <w:t xml:space="preserve"> </w:t>
      </w:r>
      <w:r>
        <w:t xml:space="preserve">Across the five Pythia upgrades, ACT’s gain over copying rises monotonically with the activation drift (Table 5), matching the controlled simulation of Section 6, where the gain also grows with drift (Table 1).</w:t>
      </w:r>
      <w:r>
        <w:t xml:space="preserve"> </w:t>
      </w:r>
      <w:r>
        <w:t xml:space="preserve">The selected anchoring strength is consistent with this account for the largest Pythia upgrade: it falls with activation drift (Spearman</w:t>
      </w:r>
      <w:r>
        <w:t xml:space="preserve"> </w:t>
      </w:r>
      <m:oMath>
        <m:r>
          <m:rPr>
            <m:sty m:val="p"/>
          </m:rPr>
          <m:t>−</m:t>
        </m:r>
        <m:r>
          <m:t>0.35</m:t>
        </m:r>
      </m:oMath>
      <w:r>
        <w:t xml:space="preserve">,</w:t>
      </w:r>
      <w:r>
        <w:t xml:space="preserve"> </w:t>
      </w:r>
      <m:oMath>
        <m:r>
          <m:t>p</m:t>
        </m:r>
        <m:r>
          <m:rPr>
            <m:sty m:val="p"/>
          </m:rPr>
          <m:t>=</m:t>
        </m:r>
        <m:r>
          <m:t>0.016</m:t>
        </m:r>
      </m:oMath>
      <w:r>
        <w:t xml:space="preserve">), as in the simulation (</w:t>
      </w:r>
      <m:oMath>
        <m:r>
          <m:rPr>
            <m:sty m:val="p"/>
          </m:rPr>
          <m:t>−</m:t>
        </m:r>
        <m:r>
          <m:t>0.30</m:t>
        </m:r>
      </m:oMath>
      <w:r>
        <w:t xml:space="preserve">), so the correction is allowed to move further from the copied adapter where the model moved more.</w:t>
      </w:r>
    </w:p>
    <w:p>
      <w:pPr>
        <w:pStyle w:val="BodyText"/>
      </w:pPr>
      <w:r>
        <w:rPr>
          <w:bCs/>
          <w:b/>
        </w:rPr>
        <w:t xml:space="preserve">The instruction-tuned exception.</w:t>
      </w:r>
      <w:r>
        <w:t xml:space="preserve"> </w:t>
      </w:r>
      <w:r>
        <w:t xml:space="preserve">On SmolLM2 the selected anchoring strength instead rises with drift (Spearman</w:t>
      </w:r>
      <w:r>
        <w:t xml:space="preserve"> </w:t>
      </w:r>
      <m:oMath>
        <m:r>
          <m:rPr>
            <m:sty m:val="p"/>
          </m:rPr>
          <m:t>+</m:t>
        </m:r>
        <m:r>
          <m:t>0.78</m:t>
        </m:r>
      </m:oMath>
      <w:r>
        <w:t xml:space="preserve">): the validation criterion pulls the correction back toward the copied adapter where drift is large. We tested three possible reasons.</w:t>
      </w:r>
      <w:r>
        <w:t xml:space="preserve"> </w:t>
      </w:r>
      <w:r>
        <w:t xml:space="preserve">The first is the</w:t>
      </w:r>
      <w:r>
        <w:t xml:space="preserve"> </w:t>
      </w:r>
      <w:r>
        <w:rPr>
          <w:iCs/>
          <w:i/>
        </w:rPr>
        <w:t xml:space="preserve">upgrade type</w:t>
      </w:r>
      <w:r>
        <w:t xml:space="preserve">: the simulation rotates the hidden basis, which ACT can undo, whereas instruction tuning moves weights within a shared basis. We re-ran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 simulation the target task is by construction the same change the source adapter made, whereas on real models retraining may learn something the source adapter never encoded.</w:t>
      </w:r>
      <w:r>
        <w:t xml:space="preserve"> </w:t>
      </w:r>
      <w:r>
        <w:t xml:space="preserve">We mix the target task with a fresh rank-4 change 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whereas recovery is measured on answer tokens. We re-ran the smallest Pythia upgrade calibrating on prompt and answer tokens.</w:t>
      </w:r>
    </w:p>
    <w:p>
      <w:pPr>
        <w:pStyle w:val="TableCaption"/>
      </w:pPr>
      <w:r>
        <w:t xml:space="preserve">Simulated ACT−copy recovery gain (two seeds per cell; ACT wins in all 12 conditions). Controlled simulation, not real models.</w:t>
      </w:r>
    </w:p>
    <w:tbl>
      <w:tblPr>
        <w:tblStyle w:val="Table"/>
        <w:tblW w:type="dxa" w:w="9360"/>
        <w:tblLook w:firstRow="1" w:lastRow="0" w:firstColumn="0" w:lastColumn="0" w:noHBand="0" w:noVBand="0" w:val="0020"/>
        <w:jc w:val="start"/>
        <w:tblCaption w:val="Simulated ACT−copy recovery gain (two seeds per cell; ACT wins in all 12 conditions). Controlled simulation, not real models."/>
        <w:tblLayout w:type="fixed"/>
        <w:tblBorders>
          <w:top w:val="single" w:sz="12" w:color="000000"/>
          <w:bottom w:val="single" w:sz="12" w:color="000000"/>
        </w:tblBorders>
      </w:tblPr>
      <w:tblGrid>
        <w:gridCol w:w="3456"/>
        <w:gridCol w:w="1967"/>
        <w:gridCol w:w="1967"/>
        <w:gridCol w:w="1967"/>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1968"/>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1968"/>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+0.060</w:t>
            </w:r>
          </w:p>
        </w:tc>
        <w:tc>
          <w:tcPr>
            <w:tcW w:type="dxa" w:w="1968"/>
          </w:tcPr>
          <w:p>
            <w:pPr>
              <w:pStyle w:val="Compact"/>
              <w:spacing w:line="240" w:lineRule="auto"/>
              <w:jc w:val="center"/>
            </w:pPr>
            <w:r>
              <w:rPr>
                <w:rFonts w:ascii="Times New Roman" w:hAnsi="Times New Roman"/>
                <w:sz w:val="20"/>
              </w:rPr>
              <w:t xml:space="preserve">+0.177</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+0.056</w:t>
            </w:r>
          </w:p>
        </w:tc>
        <w:tc>
          <w:tcPr>
            <w:tcW w:type="dxa" w:w="1968"/>
          </w:tcPr>
          <w:p>
            <w:pPr>
              <w:pStyle w:val="Compact"/>
              <w:spacing w:line="240" w:lineRule="auto"/>
              <w:jc w:val="center"/>
            </w:pPr>
            <w:r>
              <w:rPr>
                <w:rFonts w:ascii="Times New Roman" w:hAnsi="Times New Roman"/>
                <w:sz w:val="20"/>
              </w:rPr>
              <w:t xml:space="preserve">+0.165</w:t>
            </w:r>
          </w:p>
        </w:tc>
      </w:tr>
      <w:tr>
        <w:tc>
          <w:tcPr>
            <w:tcW w:type="dxa" w:w="3456"/>
          </w:tcPr>
          <w:p>
            <w:pPr>
              <w:pStyle w:val="Compact"/>
              <w:spacing w:line="240" w:lineRule="auto"/>
              <w:jc w:val="left"/>
            </w:pPr>
            <w:r>
              <w:rPr>
                <w:rFonts w:ascii="Times New Roman" w:hAnsi="Times New Roman"/>
                <w:sz w:val="20"/>
              </w:rPr>
              <w:t xml:space="preserve">Rotation</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+0.048</w:t>
            </w:r>
          </w:p>
        </w:tc>
        <w:tc>
          <w:tcPr>
            <w:tcW w:type="dxa" w:w="1968"/>
          </w:tcPr>
          <w:p>
            <w:pPr>
              <w:pStyle w:val="Compact"/>
              <w:spacing w:line="240" w:lineRule="auto"/>
              <w:jc w:val="center"/>
            </w:pPr>
            <w:r>
              <w:rPr>
                <w:rFonts w:ascii="Times New Roman" w:hAnsi="Times New Roman"/>
                <w:sz w:val="20"/>
              </w:rPr>
              <w:t xml:space="preserve">+0.131</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w:t>
            </w:r>
          </w:p>
        </w:tc>
        <w:tc>
          <w:tcPr>
            <w:tcW w:type="dxa" w:w="1968"/>
          </w:tcPr>
          <w:p>
            <w:pPr>
              <w:pStyle w:val="Compact"/>
              <w:spacing w:line="240" w:lineRule="auto"/>
              <w:jc w:val="center"/>
            </w:pPr>
            <w:r>
              <w:rPr>
                <w:rFonts w:ascii="Times New Roman" w:hAnsi="Times New Roman"/>
                <w:sz w:val="20"/>
              </w:rPr>
              <w:t xml:space="preserve">+0.073</w:t>
            </w:r>
          </w:p>
        </w:tc>
        <w:tc>
          <w:tcPr>
            <w:tcW w:type="dxa" w:w="1968"/>
          </w:tcPr>
          <w:p>
            <w:pPr>
              <w:pStyle w:val="Compact"/>
              <w:spacing w:line="240" w:lineRule="auto"/>
              <w:jc w:val="center"/>
            </w:pPr>
            <w:r>
              <w:rPr>
                <w:rFonts w:ascii="Times New Roman" w:hAnsi="Times New Roman"/>
                <w:sz w:val="20"/>
              </w:rPr>
              <w:t xml:space="preserve">+0.256</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0.5</w:t>
            </w:r>
          </w:p>
        </w:tc>
        <w:tc>
          <w:tcPr>
            <w:tcW w:type="dxa" w:w="1968"/>
          </w:tcPr>
          <w:p>
            <w:pPr>
              <w:pStyle w:val="Compact"/>
              <w:spacing w:line="240" w:lineRule="auto"/>
              <w:jc w:val="center"/>
            </w:pPr>
            <w:r>
              <w:rPr>
                <w:rFonts w:ascii="Times New Roman" w:hAnsi="Times New Roman"/>
                <w:sz w:val="20"/>
              </w:rPr>
              <w:t xml:space="preserve">+0.094</w:t>
            </w:r>
          </w:p>
        </w:tc>
        <w:tc>
          <w:tcPr>
            <w:tcW w:type="dxa" w:w="1968"/>
          </w:tcPr>
          <w:p>
            <w:pPr>
              <w:pStyle w:val="Compact"/>
              <w:spacing w:line="240" w:lineRule="auto"/>
              <w:jc w:val="center"/>
            </w:pPr>
            <w:r>
              <w:rPr>
                <w:rFonts w:ascii="Times New Roman" w:hAnsi="Times New Roman"/>
                <w:sz w:val="20"/>
              </w:rPr>
              <w:t xml:space="preserve">+0.287</w:t>
            </w:r>
          </w:p>
        </w:tc>
      </w:tr>
      <w:tr>
        <w:tc>
          <w:tcPr>
            <w:tcW w:type="dxa" w:w="3456"/>
          </w:tcPr>
          <w:p>
            <w:pPr>
              <w:pStyle w:val="Compact"/>
              <w:spacing w:line="240" w:lineRule="auto"/>
              <w:jc w:val="left"/>
            </w:pPr>
            <w:r>
              <w:rPr>
                <w:rFonts w:ascii="Times New Roman" w:hAnsi="Times New Roman"/>
                <w:sz w:val="20"/>
              </w:rPr>
              <w:t xml:space="preserve">Rank-8 update</w:t>
            </w:r>
          </w:p>
        </w:tc>
        <w:tc>
          <w:tcPr>
            <w:tcW w:type="dxa" w:w="1968"/>
          </w:tcPr>
          <w:p>
            <w:pPr>
              <w:pStyle w:val="Compact"/>
              <w:spacing w:line="240" w:lineRule="auto"/>
              <w:jc w:val="left"/>
            </w:pPr>
            <w:r>
              <w:rPr>
                <w:rFonts w:ascii="Times New Roman" w:hAnsi="Times New Roman"/>
                <w:sz w:val="20"/>
              </w:rPr>
              <w:t xml:space="preserve">τ = 0.9</w:t>
            </w:r>
          </w:p>
        </w:tc>
        <w:tc>
          <w:tcPr>
            <w:tcW w:type="dxa" w:w="1968"/>
          </w:tcPr>
          <w:p>
            <w:pPr>
              <w:pStyle w:val="Compact"/>
              <w:spacing w:line="240" w:lineRule="auto"/>
              <w:jc w:val="center"/>
            </w:pPr>
            <w:r>
              <w:rPr>
                <w:rFonts w:ascii="Times New Roman" w:hAnsi="Times New Roman"/>
                <w:sz w:val="20"/>
              </w:rPr>
              <w:t xml:space="preserve">+0.125</w:t>
            </w:r>
          </w:p>
        </w:tc>
        <w:tc>
          <w:tcPr>
            <w:tcW w:type="dxa" w:w="1968"/>
          </w:tcPr>
          <w:p>
            <w:pPr>
              <w:pStyle w:val="Compact"/>
              <w:spacing w:line="240" w:lineRule="auto"/>
              <w:jc w:val="center"/>
            </w:pPr>
            <w:r>
              <w:rPr>
                <w:rFonts w:ascii="Times New Roman" w:hAnsi="Times New Roman"/>
                <w:sz w:val="20"/>
              </w:rPr>
              <w:t xml:space="preserve">+0.331</w:t>
            </w:r>
          </w:p>
        </w:tc>
      </w:tr>
    </w:tbl>
    <w:p>
      <w:pPr>
        <w:pStyle w:val="BodyText"/>
      </w:pPr>
      <w:r>
        <w:t xml:space="preserve">In simulation ACT keeps a gain of 0.05 to 0.33 under both upgrade types and every task overlap (Table 9), so neither the upgrade type nor the task mismatch explains the exception. Calibrating on prompt and answer tokens leaves ACT level with copy on the smallest Pythia upgrade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 but that test has limited power because copy already recovers 96% there, and it does not bear on SmolLM2.</w:t>
      </w:r>
      <w:r>
        <w:t xml:space="preserve"> </w:t>
      </w:r>
      <w:r>
        <w:t xml:space="preserve">We therefore have not identified why ACT fails on the instruction-tuned pair. Untested candidates include the upgrade type itself (continued pre-training against instruction tuning), model scale, properties of real transformers absent from the simulation (residual connections, normalization, attention), and the fact that LoRA’s</w:t>
      </w:r>
      <w:r>
        <w:t xml:space="preserve"> </w:t>
      </w:r>
      <m:oMath>
        <m:r>
          <m:t>A</m:t>
        </m:r>
      </m:oMath>
      <w:r>
        <w:t xml:space="preserve"> </w:t>
      </w:r>
      <w:r>
        <w:t xml:space="preserve">matrix stays close to its initialization in short fine-tuning, which would make an</w:t>
      </w:r>
      <w:r>
        <w:t xml:space="preserve"> </w:t>
      </w:r>
      <m:oMath>
        <m:r>
          <m:t>A</m:t>
        </m:r>
      </m:oMath>
      <w:r>
        <w:t xml:space="preserve">-only correction less informative. The honest summary is that ACT helped where we expected it to and did not where copy was already adequate or, in one case, where it was not.</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using the measured recovery rates and cost ratio of the large Pythia upgrade</w:t>
      </w:r>
      <w:r>
        <w:t xml:space="preserve"> </w:t>
      </w:r>
      <w:r>
        <w:t xml:space="preserve">(</w:t>
      </w:r>
      <m:oMath>
        <m:sSub>
          <m:e>
            <m:r>
              <m:t>R</m:t>
            </m:r>
          </m:e>
          <m:sub>
            <m:r>
              <m:t>C</m:t>
            </m:r>
          </m:sub>
        </m:sSub>
        <m:r>
          <m:rPr>
            <m:sty m:val="p"/>
          </m:rPr>
          <m:t>=</m:t>
        </m:r>
        <m:r>
          <m:t>0.319</m:t>
        </m:r>
      </m:oMath>
      <w:r>
        <w:t xml:space="preserve">,</w:t>
      </w:r>
      <w:r>
        <w:t xml:space="preserve"> </w:t>
      </w:r>
      <m:oMath>
        <m:sSub>
          <m:e>
            <m:r>
              <m:t>R</m:t>
            </m:r>
          </m:e>
          <m:sub>
            <m:r>
              <m:t>A</m:t>
            </m:r>
          </m:sub>
        </m:sSub>
        <m:r>
          <m:rPr>
            <m:sty m:val="p"/>
          </m:rPr>
          <m:t>=</m:t>
        </m:r>
        <m:r>
          <m:t>0.717</m:t>
        </m:r>
      </m:oMath>
      <w:r>
        <w:t xml:space="preserve">,</w:t>
      </w:r>
      <w:r>
        <w:t xml:space="preserve"> </w:t>
      </w:r>
      <m:oMath>
        <m:sSub>
          <m:e>
            <m:r>
              <m:t>C</m:t>
            </m:r>
          </m:e>
          <m:sub>
            <m:r>
              <m:t>A</m:t>
            </m:r>
          </m:sub>
        </m:sSub>
        <m:r>
          <m:rPr>
            <m:sty m:val="p"/>
          </m:rPr>
          <m:t>=</m:t>
        </m:r>
        <m:r>
          <m:t>0.36</m:t>
        </m:r>
        <m:sSub>
          <m:e>
            <m:r>
              <m:t>C</m:t>
            </m:r>
          </m:e>
          <m:sub>
            <m:r>
              <m:t>N</m:t>
            </m:r>
          </m:sub>
        </m:sSub>
      </m:oMath>
      <w:r>
        <w:t xml:space="preserve">).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0.3651</w:t>
      </w:r>
      <w:r>
        <w:t xml:space="preserve"> </w:t>
      </w:r>
      <m:oMath>
        <m:r>
          <m:rPr>
            <m:sty m:val="p"/>
          </m:rPr>
          <m:t>±</m:t>
        </m:r>
      </m:oMath>
      <w:r>
        <w:t xml:space="preserve"> </w:t>
      </w:r>
      <w:r>
        <w:t xml:space="preserve">0.0020 versus 0.3624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(large Pythia upgrade).</w:t>
      </w:r>
    </w:p>
    <w:tbl>
      <w:tblPr>
        <w:tblStyle w:val="Table"/>
        <w:tblW w:type="dxa" w:w="9360"/>
        <w:tblLook w:firstRow="1" w:lastRow="0" w:firstColumn="0" w:lastColumn="0" w:noHBand="0" w:noVBand="0" w:val="0020"/>
        <w:jc w:val="start"/>
        <w:tblCaption w:val="Optimal ACT threshold, cost of using the Poisson threshold, and ACT-optimal region (large Pythia upgrade)."/>
        <w:tblLayout w:type="fixed"/>
        <w:tblBorders>
          <w:top w:val="single" w:sz="12" w:color="000000"/>
          <w:bottom w:val="single" w:sz="12" w:color="000000"/>
        </w:tblBorders>
      </w:tblPr>
      <w:tblGrid>
        <w:gridCol w:w="3456"/>
        <w:gridCol w:w="1475"/>
        <w:gridCol w:w="1475"/>
        <w:gridCol w:w="1475"/>
        <w:gridCol w:w="1475"/>
      </w:tblGrid>
      <w:tr>
        <w:trPr>
          <w:tblHeader w:val="true"/>
        </w:trPr>
        <w:tc>
          <w:tcPr>
            <w:tcW w:type="dxa" w:w="3456"/>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476"/>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456"/>
          </w:tcPr>
          <w:p>
            <w:pPr>
              <w:pStyle w:val="Compact"/>
              <w:spacing w:line="240" w:lineRule="auto"/>
              <w:jc w:val="left"/>
            </w:pPr>
            <w:r>
              <w:rPr>
                <w:rFonts w:ascii="Times New Roman" w:hAnsi="Times New Roman"/>
                <w:sz w:val="20"/>
              </w:rPr>
              <w:t xml:space="preserve">Poisson (CV = 1)</w:t>
            </w:r>
          </w:p>
        </w:tc>
        <w:tc>
          <w:tcPr>
            <w:tcW w:type="dxa" w:w="1476"/>
          </w:tcPr>
          <w:p>
            <w:pPr>
              <w:pStyle w:val="Compact"/>
              <w:spacing w:line="240" w:lineRule="auto"/>
              <w:jc w:val="center"/>
            </w:pPr>
            <w:r>
              <w:rPr>
                <w:rFonts w:ascii="Times New Roman" w:hAnsi="Times New Roman"/>
                <w:sz w:val="20"/>
              </w:rPr>
              <w:t xml:space="preserve">8.68</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[1.77, 4.36)</w:t>
            </w:r>
          </w:p>
        </w:tc>
      </w:tr>
      <w:tr>
        <w:tc>
          <w:tcPr>
            <w:tcW w:type="dxa" w:w="3456"/>
          </w:tcPr>
          <w:p>
            <w:pPr>
              <w:pStyle w:val="Compact"/>
              <w:spacing w:line="240" w:lineRule="auto"/>
              <w:jc w:val="left"/>
            </w:pPr>
            <w:r>
              <w:rPr>
                <w:rFonts w:ascii="Times New Roman" w:hAnsi="Times New Roman"/>
                <w:sz w:val="20"/>
              </w:rPr>
              <w:t xml:space="preserve">Hyperexponential, CV = 2</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0.5%</w:t>
            </w:r>
          </w:p>
        </w:tc>
        <w:tc>
          <w:tcPr>
            <w:tcW w:type="dxa" w:w="1476"/>
          </w:tcPr>
          <w:p>
            <w:pPr>
              <w:pStyle w:val="Compact"/>
              <w:spacing w:line="240" w:lineRule="auto"/>
              <w:jc w:val="center"/>
            </w:pPr>
            <w:r>
              <w:rPr>
                <w:rFonts w:ascii="Times New Roman" w:hAnsi="Times New Roman"/>
                <w:sz w:val="20"/>
              </w:rPr>
              <w:t xml:space="preserve">1.1%</w:t>
            </w:r>
          </w:p>
        </w:tc>
        <w:tc>
          <w:tcPr>
            <w:tcW w:type="dxa" w:w="1476"/>
          </w:tcPr>
          <w:p>
            <w:pPr>
              <w:pStyle w:val="Compact"/>
              <w:spacing w:line="240" w:lineRule="auto"/>
              <w:jc w:val="center"/>
            </w:pPr>
            <w:r>
              <w:rPr>
                <w:rFonts w:ascii="Times New Roman" w:hAnsi="Times New Roman"/>
                <w:sz w:val="20"/>
              </w:rPr>
              <w:t xml:space="preserve">[2.19, 5.06)</w:t>
            </w:r>
          </w:p>
        </w:tc>
      </w:tr>
      <w:tr>
        <w:tc>
          <w:tcPr>
            <w:tcW w:type="dxa" w:w="3456"/>
          </w:tcPr>
          <w:p>
            <w:pPr>
              <w:pStyle w:val="Compact"/>
              <w:spacing w:line="240" w:lineRule="auto"/>
              <w:jc w:val="left"/>
            </w:pPr>
            <w:r>
              <w:rPr>
                <w:rFonts w:ascii="Times New Roman" w:hAnsi="Times New Roman"/>
                <w:sz w:val="20"/>
              </w:rPr>
              <w:t xml:space="preserve">Hyperexponential, CV = 3</w:t>
            </w:r>
          </w:p>
        </w:tc>
        <w:tc>
          <w:tcPr>
            <w:tcW w:type="dxa" w:w="1476"/>
          </w:tcPr>
          <w:p>
            <w:pPr>
              <w:pStyle w:val="Compact"/>
              <w:spacing w:line="240" w:lineRule="auto"/>
              <w:jc w:val="center"/>
            </w:pPr>
            <w:r>
              <w:rPr>
                <w:rFonts w:ascii="Times New Roman" w:hAnsi="Times New Roman"/>
                <w:sz w:val="20"/>
              </w:rPr>
              <w:t xml:space="preserve">6.68</w:t>
            </w:r>
          </w:p>
        </w:tc>
        <w:tc>
          <w:tcPr>
            <w:tcW w:type="dxa" w:w="1476"/>
          </w:tcPr>
          <w:p>
            <w:pPr>
              <w:pStyle w:val="Compact"/>
              <w:spacing w:line="240" w:lineRule="auto"/>
              <w:jc w:val="center"/>
            </w:pPr>
            <w:r>
              <w:rPr>
                <w:rFonts w:ascii="Times New Roman" w:hAnsi="Times New Roman"/>
                <w:sz w:val="20"/>
              </w:rPr>
              <w:t xml:space="preserve">0.7%</w:t>
            </w:r>
          </w:p>
        </w:tc>
        <w:tc>
          <w:tcPr>
            <w:tcW w:type="dxa" w:w="1476"/>
          </w:tcPr>
          <w:p>
            <w:pPr>
              <w:pStyle w:val="Compact"/>
              <w:spacing w:line="240" w:lineRule="auto"/>
              <w:jc w:val="center"/>
            </w:pPr>
            <w:r>
              <w:rPr>
                <w:rFonts w:ascii="Times New Roman" w:hAnsi="Times New Roman"/>
                <w:sz w:val="20"/>
              </w:rPr>
              <w:t xml:space="preserve">2.3%</w:t>
            </w:r>
          </w:p>
        </w:tc>
        <w:tc>
          <w:tcPr>
            <w:tcW w:type="dxa" w:w="1476"/>
          </w:tcPr>
          <w:p>
            <w:pPr>
              <w:pStyle w:val="Compact"/>
              <w:spacing w:line="240" w:lineRule="auto"/>
              <w:jc w:val="center"/>
            </w:pPr>
            <w:r>
              <w:rPr>
                <w:rFonts w:ascii="Times New Roman" w:hAnsi="Times New Roman"/>
                <w:sz w:val="20"/>
              </w:rPr>
              <w:t xml:space="preserve">[2.23, 5.38)</w:t>
            </w:r>
          </w:p>
        </w:tc>
      </w:tr>
      <w:tr>
        <w:tc>
          <w:tcPr>
            <w:tcW w:type="dxa" w:w="3456"/>
          </w:tcPr>
          <w:p>
            <w:pPr>
              <w:pStyle w:val="Compact"/>
              <w:spacing w:line="240" w:lineRule="auto"/>
              <w:jc w:val="left"/>
            </w:pPr>
            <w:r>
              <w:rPr>
                <w:rFonts w:ascii="Times New Roman" w:hAnsi="Times New Roman"/>
                <w:sz w:val="20"/>
              </w:rPr>
              <w:t xml:space="preserve">Erlang, CV = 0.5</w:t>
            </w:r>
          </w:p>
        </w:tc>
        <w:tc>
          <w:tcPr>
            <w:tcW w:type="dxa" w:w="1476"/>
          </w:tcPr>
          <w:p>
            <w:pPr>
              <w:pStyle w:val="Compact"/>
              <w:spacing w:line="240" w:lineRule="auto"/>
              <w:jc w:val="center"/>
            </w:pPr>
            <w:r>
              <w:rPr>
                <w:rFonts w:ascii="Times New Roman" w:hAnsi="Times New Roman"/>
                <w:sz w:val="20"/>
              </w:rPr>
              <w:t xml:space="preserve">16.70†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0.4%</w:t>
            </w:r>
          </w:p>
        </w:tc>
        <w:tc>
          <w:tcPr>
            <w:tcW w:type="dxa" w:w="1476"/>
          </w:tcPr>
          <w:p>
            <w:pPr>
              <w:pStyle w:val="Compact"/>
              <w:spacing w:line="240" w:lineRule="auto"/>
              <w:jc w:val="center"/>
            </w:pPr>
            <w:r>
              <w:rPr>
                <w:rFonts w:ascii="Times New Roman" w:hAnsi="Times New Roman"/>
                <w:sz w:val="20"/>
              </w:rPr>
              <w:t xml:space="preserve">[1.73, 4.34)</w:t>
            </w:r>
          </w:p>
        </w:tc>
      </w:tr>
      <w:tr>
        <w:tc>
          <w:tcPr>
            <w:tcW w:type="dxa" w:w="3456"/>
          </w:tcPr>
          <w:p>
            <w:pPr>
              <w:pStyle w:val="Compact"/>
              <w:spacing w:line="240" w:lineRule="auto"/>
              <w:jc w:val="left"/>
            </w:pPr>
            <w:r>
              <w:rPr>
                <w:rFonts w:ascii="Times New Roman" w:hAnsi="Times New Roman"/>
                <w:sz w:val="20"/>
              </w:rPr>
              <w:t xml:space="preserve">Deterministic</w:t>
            </w:r>
          </w:p>
        </w:tc>
        <w:tc>
          <w:tcPr>
            <w:tcW w:type="dxa" w:w="1476"/>
          </w:tcPr>
          <w:p>
            <w:pPr>
              <w:pStyle w:val="Compact"/>
              <w:spacing w:line="240" w:lineRule="auto"/>
              <w:jc w:val="center"/>
            </w:pPr>
            <w:r>
              <w:rPr>
                <w:rFonts w:ascii="Times New Roman" w:hAnsi="Times New Roman"/>
                <w:sz w:val="20"/>
              </w:rPr>
              <w:t xml:space="preserve">19.04†</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0.6%</w:t>
            </w:r>
          </w:p>
        </w:tc>
        <w:tc>
          <w:tcPr>
            <w:tcW w:type="dxa" w:w="1476"/>
          </w:tcPr>
          <w:p>
            <w:pPr>
              <w:pStyle w:val="Compact"/>
              <w:spacing w:line="240" w:lineRule="auto"/>
              <w:jc w:val="center"/>
            </w:pPr>
            <w:r>
              <w:rPr>
                <w:rFonts w:ascii="Times New Roman" w:hAnsi="Times New Roman"/>
                <w:sz w:val="20"/>
              </w:rPr>
              <w:t xml:space="preserve">[1.75, 4.40)</w:t>
            </w:r>
          </w:p>
        </w:tc>
      </w:tr>
      <w:tr>
        <w:tc>
          <w:tcPr>
            <w:tcW w:type="dxa" w:w="3456"/>
          </w:tcPr>
          <w:p>
            <w:pPr>
              <w:pStyle w:val="Compact"/>
              <w:spacing w:line="240" w:lineRule="auto"/>
              <w:jc w:val="left"/>
            </w:pPr>
            <w:r>
              <w:rPr>
                <w:rFonts w:ascii="Times New Roman" w:hAnsi="Times New Roman"/>
                <w:sz w:val="20"/>
              </w:rPr>
              <w:t xml:space="preserve">Poisson + jumps (1/yr)</w:t>
            </w:r>
          </w:p>
        </w:tc>
        <w:tc>
          <w:tcPr>
            <w:tcW w:type="dxa" w:w="1476"/>
          </w:tcPr>
          <w:p>
            <w:pPr>
              <w:pStyle w:val="Compact"/>
              <w:spacing w:line="240" w:lineRule="auto"/>
              <w:jc w:val="center"/>
            </w:pPr>
            <w:r>
              <w:rPr>
                <w:rFonts w:ascii="Times New Roman" w:hAnsi="Times New Roman"/>
                <w:sz w:val="20"/>
              </w:rPr>
              <w:t xml:space="preserve">9.01</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[1.88, 4.56)</w:t>
            </w:r>
          </w:p>
        </w:tc>
      </w:tr>
      <w:tr>
        <w:tc>
          <w:tcPr>
            <w:tcW w:type="dxa" w:w="3456"/>
          </w:tcPr>
          <w:p>
            <w:pPr>
              <w:pStyle w:val="Compact"/>
              <w:spacing w:line="240" w:lineRule="auto"/>
              <w:jc w:val="left"/>
            </w:pPr>
            <w:r>
              <w:rPr>
                <w:rFonts w:ascii="Times New Roman" w:hAnsi="Times New Roman"/>
                <w:sz w:val="20"/>
              </w:rPr>
              <w:t xml:space="preserve">Poisson + jumps (3/yr)</w:t>
            </w:r>
          </w:p>
        </w:tc>
        <w:tc>
          <w:tcPr>
            <w:tcW w:type="dxa" w:w="1476"/>
          </w:tcPr>
          <w:p>
            <w:pPr>
              <w:pStyle w:val="Compact"/>
              <w:spacing w:line="240" w:lineRule="auto"/>
              <w:jc w:val="center"/>
            </w:pPr>
            <w:r>
              <w:rPr>
                <w:rFonts w:ascii="Times New Roman" w:hAnsi="Times New Roman"/>
                <w:sz w:val="20"/>
              </w:rPr>
              <w:t xml:space="preserve">9.90</w:t>
            </w:r>
          </w:p>
        </w:tc>
        <w:tc>
          <w:tcPr>
            <w:tcW w:type="dxa" w:w="1476"/>
          </w:tcPr>
          <w:p>
            <w:pPr>
              <w:pStyle w:val="Compact"/>
              <w:spacing w:line="240" w:lineRule="auto"/>
              <w:jc w:val="center"/>
            </w:pPr>
            <w:r>
              <w:rPr>
                <w:rFonts w:ascii="Times New Roman" w:hAnsi="Times New Roman"/>
                <w:sz w:val="20"/>
              </w:rPr>
              <w:t xml:space="preserve">0.0%</w:t>
            </w:r>
          </w:p>
        </w:tc>
        <w:tc>
          <w:tcPr>
            <w:tcW w:type="dxa" w:w="1476"/>
          </w:tcPr>
          <w:p>
            <w:pPr>
              <w:pStyle w:val="Compact"/>
              <w:spacing w:line="240" w:lineRule="auto"/>
              <w:jc w:val="center"/>
            </w:pPr>
            <w:r>
              <w:rPr>
                <w:rFonts w:ascii="Times New Roman" w:hAnsi="Times New Roman"/>
                <w:sz w:val="20"/>
              </w:rPr>
              <w:t xml:space="preserve">0.1%</w:t>
            </w:r>
          </w:p>
        </w:tc>
        <w:tc>
          <w:tcPr>
            <w:tcW w:type="dxa" w:w="1476"/>
          </w:tcPr>
          <w:p>
            <w:pPr>
              <w:pStyle w:val="Compact"/>
              <w:spacing w:line="240" w:lineRule="auto"/>
              <w:jc w:val="center"/>
            </w:pPr>
            <w:r>
              <w:rPr>
                <w:rFonts w:ascii="Times New Roman" w:hAnsi="Times New Roman"/>
                <w:sz w:val="20"/>
              </w:rPr>
              <w:t xml:space="preserve">[2.08, 4.82)</w:t>
            </w:r>
          </w:p>
        </w:tc>
      </w:tr>
    </w:tbl>
    <w:p>
      <w:pPr>
        <w:pStyle w:val="BodyText"/>
      </w:pPr>
      <w:r>
        <w:t xml:space="preserve">† At or near the upper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ACT threshold down by about 23% and regular schedules shift it up by a factor of about two: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2.3% of expected cost, because the cost curve is flat near the optimum.</w:t>
      </w:r>
      <w:r>
        <w:t xml:space="preserve"> </w:t>
      </w:r>
      <w:r>
        <w:t xml:space="preserve">Third, the range in which ACT is optimal is stable: its lower end stays between 1.7 and 2.2 and its upper end between 4.3 and 5.4 (the closed-form range is 1.8 to 4.4). The qualitative conclusion that a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two of our upgrades.</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a small Pythia upgrade (</w:t>
      </w:r>
      <m:oMath>
        <m:sSub>
          <m:e>
            <m:r>
              <m:t>R</m:t>
            </m:r>
          </m:e>
          <m:sub>
            <m:r>
              <m:t>C</m:t>
            </m:r>
          </m:sub>
        </m:sSub>
        <m:r>
          <m:rPr>
            <m:sty m:val="p"/>
          </m:rPr>
          <m:t>=</m:t>
        </m:r>
        <m:r>
          <m:t>0.96</m:t>
        </m:r>
      </m:oMath>
      <w:r>
        <w:t xml:space="preserve">) gives</w:t>
      </w:r>
      <w:r>
        <w:t xml:space="preserve"> </w:t>
      </w:r>
      <m:oMath>
        <m:sSup>
          <m:e>
            <m:r>
              <m:t>v</m:t>
            </m:r>
          </m:e>
          <m:sup>
            <m:r>
              <m:rPr>
                <m:sty m:val="p"/>
              </m:rPr>
              <m:t>*</m:t>
            </m:r>
          </m:sup>
        </m:sSup>
        <m:r>
          <m:rPr>
            <m:sty m:val="p"/>
          </m:rPr>
          <m:t>=</m:t>
        </m:r>
        <m:r>
          <m:t>55.6</m:t>
        </m:r>
        <m:r>
          <m:t> </m:t>
        </m:r>
        <m:sSub>
          <m:e>
            <m:r>
              <m:t>C</m:t>
            </m:r>
          </m:e>
          <m:sub>
            <m:r>
              <m:t>N</m:t>
            </m:r>
          </m:sub>
        </m:sSub>
      </m:oMath>
      <w:r>
        <w:t xml:space="preserve">, so almost any task should keep the copy. After the largest upgrade (</w:t>
      </w:r>
      <m:oMath>
        <m:sSub>
          <m:e>
            <m:r>
              <m:t>R</m:t>
            </m:r>
          </m:e>
          <m:sub>
            <m:r>
              <m:t>C</m:t>
            </m:r>
          </m:sub>
        </m:sSub>
        <m:r>
          <m:rPr>
            <m:sty m:val="p"/>
          </m:rPr>
          <m:t>=</m:t>
        </m:r>
        <m:r>
          <m:t>0.32</m:t>
        </m:r>
      </m:oMath>
      <w:r>
        <w:t xml:space="preserve">) the threshold falls to</w:t>
      </w:r>
      <w:r>
        <w:t xml:space="preserve"> </w:t>
      </w:r>
      <m:oMath>
        <m:r>
          <m:t>3.6</m:t>
        </m:r>
        <m:r>
          <m:t> </m:t>
        </m:r>
        <m:sSub>
          <m:e>
            <m:r>
              <m:t>C</m:t>
            </m:r>
          </m:e>
          <m:sub>
            <m:r>
              <m:t>N</m:t>
            </m:r>
          </m:sub>
        </m:sSub>
      </m:oMath>
      <w:r>
        <w:t xml:space="preserve">, and a task worth more than that should be retrained at once.</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After the large Pythia upgrade, a procedure costing 36% of</w:t>
      </w:r>
      <w:r>
        <w:t xml:space="preserve"> </w:t>
      </w:r>
      <m:oMath>
        <m:sSub>
          <m:e>
            <m:r>
              <m:t>C</m:t>
            </m:r>
          </m:e>
          <m:sub>
            <m:r>
              <m:t>N</m:t>
            </m:r>
          </m:sub>
        </m:sSub>
      </m:oMath>
      <w:r>
        <w:t xml:space="preserve"> </w:t>
      </w:r>
      <w:r>
        <w:t xml:space="preserve">must reach a recovery of 0.62; ACT reached 0.69 to 0.72, so it is worth buying for adapters worth between 1.8 and 4.4 times</w:t>
      </w:r>
      <w:r>
        <w:t xml:space="preserve"> </w:t>
      </w:r>
      <m:oMath>
        <m:sSub>
          <m:e>
            <m:r>
              <m:t>C</m:t>
            </m:r>
          </m:e>
          <m:sub>
            <m:r>
              <m:t>N</m:t>
            </m:r>
          </m:sub>
        </m:sSub>
      </m:oMath>
      <w:r>
        <w:t xml:space="preserve"> </w:t>
      </w:r>
      <w:r>
        <w:t xml:space="preserve">per year, and not outside that range. On the instruction-tuned pair a</w:t>
      </w:r>
      <w:r>
        <w:t xml:space="preserve"> </w:t>
      </w:r>
      <w:r>
        <w:t xml:space="preserve">procedure costing 65% of</w:t>
      </w:r>
      <w:r>
        <w:t xml:space="preserve"> </w:t>
      </w:r>
      <m:oMath>
        <m:sSub>
          <m:e>
            <m:r>
              <m:t>C</m:t>
            </m:r>
          </m:e>
          <m:sub>
            <m:r>
              <m:t>N</m:t>
            </m:r>
          </m:sub>
        </m:sSub>
      </m:oMath>
      <w:r>
        <w:t xml:space="preserve"> </w:t>
      </w:r>
      <w:r>
        <w:t xml:space="preserve">would need a recovery of 0.92, a gain of 21 points over copy, which ACT did not deliver.</w:t>
      </w:r>
    </w:p>
    <w:p>
      <w:pPr>
        <w:pStyle w:val="FirstParagraph"/>
      </w:pPr>
      <w:r>
        <w:t xml:space="preserve">Three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 Finally, a transfer method’s cost ratio depends on model scale and implementation (in our first implementation ACT’s rose from 0.14 to 0.70 between 70 and 410 million parameters, and with cached layer inputs from 0.12 to 0.28), so</w:t>
      </w:r>
      <w:r>
        <w:t xml:space="preserve"> </w:t>
      </w:r>
      <m:oMath>
        <m:sSub>
          <m:e>
            <m:r>
              <m:t>C</m:t>
            </m:r>
          </m:e>
          <m:sub>
            <m:r>
              <m:t>A</m:t>
            </m:r>
          </m:sub>
        </m:sSub>
      </m:oMath>
      <w:r>
        <w:t xml:space="preserve"> </w:t>
      </w:r>
      <w:r>
        <w:t xml:space="preserve">should be measured at the model size in use.</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 the retraining cost, and the recovery of the available transfer method. It yields a threshold for retraining and a price ceiling for transfer tooling.</w:t>
      </w:r>
      <w:r>
        <w:t xml:space="preserve"> </w:t>
      </w:r>
      <w:r>
        <w:t xml:space="preserve">Our measurements suggest a practical default that depends on the size of the upgrade: when the model moved little, copying the old adapter restores most of the retraining benefit, the retraining threshold is high, and a transfer method must beat copying by only a few points, but at a cost it rarely does; when the model moved a lot, copying collapses, and a cheap closed-form transfer such as ACT can be the cheapest policy over a middle range of adapter values, although in our series its gain covered its cost only at the largest upgrade, and at 410 million parameters, where its compute cost relative to retraining was 0.70 (0.28 with cached layer inputs, still above its break-even of 0.21), not even there.</w:t>
      </w:r>
      <w:r>
        <w:t xml:space="preserve"> </w:t>
      </w:r>
      <w:r>
        <w:t xml:space="preserve">For providers, upgrades that preserve internal representations raise recovery and so raise the value of customers’ existing adapters.</w:t>
      </w:r>
    </w:p>
    <w:p>
      <w:pPr>
        <w:pStyle w:val="BodyText"/>
      </w:pPr>
      <w:r>
        <w:t xml:space="preserve">For researchers, the instruction-tuned pair is a caution. A method can help where the problem is severe and fail on a different kind of upgrade of similar size, and the 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we ran ten upgrades of models with 70 to 410 million parameters, on a single task (GSM8K), with 200 evaluation examples each. The drift series covers one model family, and only the largest upgrade at 160 million parameters has a replicate; the 70- and 410-million runs have one seed each, and the 410-million run covers a single upgrade. The results do not speak to frontier models or to other tasks.</w:t>
      </w:r>
      <w:r>
        <w:t xml:space="preserve"> </w:t>
      </w:r>
      <w:r>
        <w:t xml:space="preserve">Third, the instruction-tuned pair is an unexplained exception, and we cannot say whether it reflects the upgrade type, the model scale, or something else. ACT’s relative compute cost rises with model size, mainly because of repeated forward passes in our first implementation; caching layer inputs reduces the rise (0.12, 0.21, and 0.28 at 70, 160, and 410 million parameters) but does not remove it (Section 7). Fourth, ACT’s gain rises steadily with upgrade size, but it covers ACT’s measured cost only at the largest upgrade, with the next largest narrowly short; the boundary lies between drifts of 0.56 and 0.60 for this implementation and cost, and it would move with a cheaper or better method. Fifth, value follows a stylized diffusion, and recovery is treated as known at the start of an epoch, whereas in</w:t>
      </w:r>
      <w:r>
        <w:t xml:space="preserve"> </w:t>
      </w:r>
      <w:r>
        <w:t xml:space="preserve">practice it must be estimated. Sixth, robustness runs use one recovery pair and renewal rather than self-exciting arrivals, and the release-interval distribution is not estimated from the release history of a real model family.</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t xml:space="preserve">Ook Lee: Conceptualization, Methodology, Writing – review &amp; editing.</w:t>
      </w:r>
      <w:r>
        <w:t xml:space="preserve"> </w:t>
      </w:r>
      <w:r>
        <w:rPr>
          <w:bCs/>
          <w:b/>
        </w:rPr>
        <w:t xml:space="preserve">[Author to confirm roles and add any co-authors.]</w:t>
      </w:r>
    </w:p>
    <w:bookmarkEnd w:id="31"/>
    <w:bookmarkStart w:id="32" w:name="declaration-of-competing-interest"/>
    <w:p>
      <w:pPr>
        <w:pStyle w:val="Heading1"/>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r>
        <w:t xml:space="preserve"> </w:t>
      </w:r>
      <w:r>
        <w:rPr>
          <w:bCs/>
          <w:b/>
        </w:rPr>
        <w:t xml:space="preserve">[Author to confirm.]</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Claude (Anthropic) to assist with writing and running the simulation and experiment code, analyzing results, and drafting and language-editing the manuscript. After using this tool, the author reviewed and edited the content as needed and takes full responsibility for the content of the publication.</w:t>
      </w:r>
      <w:r>
        <w:t xml:space="preserve"> </w:t>
      </w:r>
      <w:r>
        <w:rPr>
          <w:bCs/>
          <w:b/>
        </w:rPr>
        <w:t xml:space="preserve">[Author to confirm that this statement is accurate before submission.]</w:t>
      </w:r>
    </w:p>
    <w:bookmarkEnd w:id="33"/>
    <w:bookmarkStart w:id="34" w:name="data-availability"/>
    <w:p>
      <w:pPr>
        <w:pStyle w:val="Heading1"/>
      </w:pPr>
      <w:r>
        <w:t xml:space="preserve">Data availability</w:t>
      </w:r>
    </w:p>
    <w:p>
      <w:pPr>
        <w:pStyle w:val="FirstParagraph"/>
      </w:pPr>
      <w:r>
        <w:t xml:space="preserve">The code, simulation seeds, and result files are available at https://github.com/ooklee-sudo/fluffy-meme (branch claude/elegant-johnson-xo3pqu).</w:t>
      </w:r>
      <w:r>
        <w:t xml:space="preserve"> </w:t>
      </w:r>
      <w:r>
        <w:rPr>
          <w:bCs/>
          <w:b/>
        </w:rPr>
        <w:t xml:space="preserve">[Author to confirm that the repository is accessible to reviewers and to archive a permanent copy in a DOI-issuing repository before submission.]</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 A Decision Model for Maintaining Fine-Tuned Language-Model Adapters Across Foundation-Model Upgrades</dc:title>
  <dc:creator/>
  <cp:keywords/>
  <dcterms:created xsi:type="dcterms:W3CDTF">2026-10-11T01:43:09Z</dcterms:created>
  <dcterms:modified xsi:type="dcterms:W3CDTF">2026-10-11T01:43:09Z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closed-form retraining threshold together with a break-even recovery that any transfer method must exceed to be worth its price. We measure recovery on open model pairs. Within one model family, copying the old adapter restores 96 percent of the retraining benefit after a small upgrade, 55 percent after a larger one, and only 32 to 36 percent after the largest (two seeds); after instruction tuning it restores 71 percent. A label-free, closed-form transfer method, Anchored Calibration Transfer (ACT), improves on copying by an amount that rises steadily with the size of the upgrade. After the largest upgrade it restores 69 to 72 percent at about a third of the retraining compute time, which makes it the cost-minimizing policy for adapters whose annual value is roughly 1.8 to 4.4 times the retraining cost. The pattern repeats at 70 and 410 million parameters. ACT’s compute time relative to retraining rose from 0.14 to 0.70 with model size in our first implementation; caching layer inputs, which leaves its output unchanged, lowers the 410-million figure to 0.28, still above the break-even of 0.21, so at that size ACT does not pay. After smaller upgrades its gain does not cover its cost, and on an instruction-tuned pair it gives no gain at all, for a reason we could not identify. Simulations with clustered and regular release schedules and with jump risk show that the policy ranking is robust, although the optimal threshold moves by 20 percent or more. The model gives practitioners a checkable rule for when transfer is worth buying.</vt:lpwstr>
  </property>
  <property fmtid="{D5CDD505-2E9C-101B-9397-08002B2CF9AE}" pid="3" name="date">
    <vt:lpwstr/>
  </property>
</Properties>
</file>