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lineRule="auto"/>
        <w:jc w:val="center"/>
      </w:pPr>
      <w:r>
        <w:rPr>
          <w:rFonts w:ascii="Times New Roman" w:cs="Times New Roman" w:eastAsia="Times New Roman" w:hAnsi="Times New Roman"/>
          <w:b/>
          <w:bCs/>
          <w:sz w:val="28"/>
          <w:szCs w:val="28"/>
        </w:rPr>
        <w:t xml:space="preserve">Do Model Labels Mislead an Event Study? Presidential Posts and Oil Prices in the 2026 Hormuz Closure</w:t>
      </w:r>
    </w:p>
    <w:p>
      <w:pPr>
        <w:pStyle w:val="Heading1"/>
        <w:keepNext/>
        <w:spacing w:after="0" w:before="240" w:line="480" w:lineRule="auto"/>
        <w:jc w:val="center"/>
      </w:pPr>
      <w:r>
        <w:rPr>
          <w:rFonts w:ascii="Times New Roman" w:cs="Times New Roman" w:eastAsia="Times New Roman" w:hAnsi="Times New Roman"/>
          <w:b/>
          <w:bCs/>
        </w:rPr>
        <w:t xml:space="preserve">Abstract</w:t>
      </w:r>
    </w:p>
    <w:p>
      <w:pPr>
        <w:spacing w:after="0" w:before="0" w:line="480" w:lineRule="auto"/>
      </w:pPr>
      <w:r>
        <w:rPr>
          <w:rFonts w:ascii="Times New Roman" w:cs="Times New Roman" w:eastAsia="Times New Roman" w:hAnsi="Times New Roman"/>
        </w:rPr>
        <w:t xml:space="preserve">Large language models (LLMs) are increasingly used to label social media content in event studies, and the agreement between repeated model runs is often reported as evidence of reliability. We examine what such labels do to an event-study estimate. Using 191 posts made by the U.S. president during the 2026 closure of the Strait of Hormuz and tick-level oil quotes, we compare LLM labels with those of three human coders, the third of whom resolved the first two coders’ disagreements in place of the investigator. The models agree with the humans at κ = 0.48 and over-label escalation (precision 0.35), and four further runs under the humans’ own codebook do not close the gap. On human labels, oil moves in the direction a post implies within 30 minutes, by 0.94% after de-escalation posts (n = 32) and 0.45% after escalation posts (n = 10), the latter resting on few events. Model labels yield smaller escalation estimates (0.17% to 0.35%). Treating the model label as a misclassified categorical variable, we show that the shortfall comes from posts that humans read as de-escalation or as unrelated, not from a weaker response among correctly labelled posts. A simulation shows that correcting the estimate with a validated subsample removes the bias but, at this scale, needs human labels for a third to a half of the posts to beat the model labels alone. The case suggests that agreement with human readers, not agreement between model runs, is the evidence a labelling needs before it enters downstream inference.</w:t>
      </w:r>
    </w:p>
    <w:p>
      <w:pPr>
        <w:spacing w:after="0" w:before="0" w:line="480" w:lineRule="auto"/>
      </w:pPr>
      <w:r>
        <w:rPr>
          <w:rFonts w:ascii="Times New Roman" w:cs="Times New Roman" w:eastAsia="Times New Roman" w:hAnsi="Times New Roman"/>
          <w:i/>
          <w:iCs/>
        </w:rPr>
        <w:t xml:space="preserve">Keywords:</w:t>
      </w:r>
      <w:r>
        <w:rPr>
          <w:rFonts w:ascii="Times New Roman" w:cs="Times New Roman" w:eastAsia="Times New Roman" w:hAnsi="Times New Roman"/>
        </w:rPr>
        <w:t xml:space="preserve"> Large language models, annotation, measurement validity, misclassification, event study, social media, executive communication</w:t>
      </w:r>
    </w:p>
    <w:p>
      <w:pPr>
        <w:pStyle w:val="Heading1"/>
        <w:keepNext/>
        <w:spacing w:after="0" w:before="240" w:line="480" w:lineRule="auto"/>
        <w:jc w:val="center"/>
      </w:pPr>
      <w:r>
        <w:rPr>
          <w:rFonts w:ascii="Times New Roman" w:cs="Times New Roman" w:eastAsia="Times New Roman" w:hAnsi="Times New Roman"/>
          <w:b/>
          <w:bCs/>
        </w:rPr>
        <w:t xml:space="preserve">Introduction</w:t>
      </w:r>
    </w:p>
    <w:p>
      <w:pPr>
        <w:spacing w:after="0" w:before="0" w:line="480" w:lineRule="auto"/>
        <w:ind w:firstLine="720"/>
      </w:pPr>
      <w:r>
        <w:rPr>
          <w:rFonts w:ascii="Times New Roman" w:cs="Times New Roman" w:eastAsia="Times New Roman" w:hAnsi="Times New Roman"/>
        </w:rPr>
        <w:t xml:space="preserve">On the evening of April 7, 2026, a post on the U.S. president’s social media platform announced a conditional two-week ceasefire with Iran, contingent on the reopening of the Strait of Hormuz. West Texas Intermediate (WTI) crude, which had risen from about $67 to $114.6 per barrel since the first U.S. trading day of the war, fell by 12% within hours. Two weeks earlier, a post announcing a five-day postponement of strikes had been followed by a fall of 9.8%. Between and after these dates, many other posts threatened strikes, restated demands, or linked to commentary, and the market often barely moved. Whether posts like these are associated with price movements, and in which direction, depends first on how the posts are classified.</w:t>
      </w:r>
    </w:p>
    <w:p>
      <w:pPr>
        <w:spacing w:after="0" w:before="0" w:line="480" w:lineRule="auto"/>
        <w:ind w:firstLine="720"/>
      </w:pPr>
      <w:r>
        <w:rPr>
          <w:rFonts w:ascii="Times New Roman" w:cs="Times New Roman" w:eastAsia="Times New Roman" w:hAnsi="Times New Roman"/>
        </w:rPr>
        <w:t xml:space="preserve">Research on social media and financial markets has largely asked whether platform content predicts prices (Bollen et al. 2011; Chen et al. 2014; see Tetlock 2007 for the news-media precursor) and how firms’ dissemination through Twitter affects liquidity (Blankespoor et al. 2014). Closer to our setting, studies of presidential communication relate tweets to firm values and intraday returns (Born et al. 2017; Ge et al. 2019). The explanations offered range from Bayesian updating on public announcements (Kim and Verrecchia 1991) to limited attention (Barber and Odean 2008), rational inattention (Sims 2003), and the distinction between words and actions in central-bank communication (Gürkaynak et al. 2005). Almost all of this work classifies text automatically, and increasingly with LLMs, which can match or exceed crowd workers on several annotation tasks (Gilardi et al. 2023; Ziems et al. 2024).</w:t>
      </w:r>
    </w:p>
    <w:p>
      <w:pPr>
        <w:spacing w:after="0" w:before="0" w:line="480" w:lineRule="auto"/>
        <w:ind w:firstLine="720"/>
      </w:pPr>
      <w:r>
        <w:rPr>
          <w:rFonts w:ascii="Times New Roman" w:cs="Times New Roman" w:eastAsia="Times New Roman" w:hAnsi="Times New Roman"/>
        </w:rPr>
        <w:t xml:space="preserve">The text-as-data literature has long warned that automated classifications must be validated against human reading before they enter downstream analysis (Grimmer and Stewart 2013), and recent work shows that imperfect machine labels bias downstream estimates unless they are corrected with a validated subsample (Angelopoulos et al. 2023; Egami et al. 2023). Econometrics has an older theory of the same problem. When a categorical variable is misclassified, the error is necessarily correlated with the true category, so it does not attenuate an effect by a constant factor as classical measurement error does; the bias of a class mean depends on which classes the misclassified units come from and on how their outcomes differ (Aigner 1973; Bollinger 1996; Bound et al. 2001; Mahajan 2006; Lewbel 2007). In applied event studies, however, the agreement between two runs of the same model is still often reported as reliability. That statistic measures consistency, not validity, and agreement with human readers is reported far less often next to the market result.</w:t>
      </w:r>
    </w:p>
    <w:p>
      <w:pPr>
        <w:spacing w:after="0" w:before="0" w:line="480" w:lineRule="auto"/>
        <w:ind w:firstLine="720"/>
      </w:pPr>
      <w:r>
        <w:rPr>
          <w:rFonts w:ascii="Times New Roman" w:cs="Times New Roman" w:eastAsia="Times New Roman" w:hAnsi="Times New Roman"/>
        </w:rPr>
        <w:t xml:space="preserve">We use the 2026 Hormuz closure to examine this gap. The setting is well suited to the question: a single physical state (whether the strait was open) dominated the news for months, the president posted about it frequently, and oil was priced continuously. Our analysis began as a conventional model-labelled event study, which found a response of oil to de-escalation posts and none to escalation posts. Two human coders then labelled all 191 war-period posts in the frame, and an independent third coder, recruited under a pre-specified plan, resolved their disagreements. Against these labels, the model over-labels escalation, and four further runs under the clearer codebook the humans used, including two runs of the very model that produced the original labels, do not close the gap. On human labels, both classes are followed by a directional move in oil, although the escalation response rests on only ten events.</w:t>
      </w:r>
    </w:p>
    <w:p>
      <w:pPr>
        <w:spacing w:after="0" w:before="0" w:line="480" w:lineRule="auto"/>
        <w:ind w:firstLine="720"/>
      </w:pPr>
      <w:r>
        <w:rPr>
          <w:rFonts w:ascii="Times New Roman" w:cs="Times New Roman" w:eastAsia="Times New Roman" w:hAnsi="Times New Roman"/>
        </w:rPr>
        <w:t xml:space="preserve">The paper makes three contributions. First, it shows, on one documented case, how the choice of labels changes an event-study answer and why. The escalation response is smaller under every model label set we tried. Writing the model-label estimate as an exact mixture of human-class means, we find that the shortfall comes from the posts the models add to the escalation class, above all posts that humans read as de-escalation, and not from a weaker response among posts that both humans and models call escalation. Second, we ask how much human validation would be needed to correct a model-label estimate. A simulation on our data shows that design-based corrections remove the bias, but that with a few dozen events they need human labels for a third to a half of the posts before they are more accurate than the biased model-label estimate. Third, we separate the part of the market result that is robust (the direction of the post-period move) from the part that is not (its separation from pre-post drift beyond short windows, and an escalation result that depends on a handful of events). We do not identify a causal effect of posts on prices. The study was originally motivated by a Bayesian account of price reactions to public announcements, and its pre-specified tests are not supported; we report them in Appendix F because they do not bear on the labelling question.</w:t>
      </w:r>
    </w:p>
    <w:p>
      <w:pPr>
        <w:spacing w:after="0" w:before="0" w:line="480" w:lineRule="auto"/>
        <w:ind w:firstLine="720"/>
      </w:pPr>
      <w:r>
        <w:rPr>
          <w:rFonts w:ascii="Times New Roman" w:cs="Times New Roman" w:eastAsia="Times New Roman" w:hAnsi="Times New Roman"/>
        </w:rPr>
        <w:t xml:space="preserve">The remainder of the paper is organized as follows. The next section describes the data and the design. We then report the results, discuss what the evidence supports and what it implies for IS research that uses LLMs as measurement instruments, and conclude. Exploratory, model-labelled, and theory-motivated analyses are reported in the appendices.</w:t>
      </w:r>
    </w:p>
    <w:p>
      <w:pPr>
        <w:pStyle w:val="Heading1"/>
        <w:keepNext/>
        <w:spacing w:after="0" w:before="240" w:line="480" w:lineRule="auto"/>
        <w:jc w:val="center"/>
      </w:pPr>
      <w:r>
        <w:rPr>
          <w:rFonts w:ascii="Times New Roman" w:cs="Times New Roman" w:eastAsia="Times New Roman" w:hAnsi="Times New Roman"/>
          <w:b/>
          <w:bCs/>
        </w:rPr>
        <w:t xml:space="preserve">Data and Design</w:t>
      </w:r>
    </w:p>
    <w:p>
      <w:pPr>
        <w:pStyle w:val="Heading2"/>
        <w:keepNext/>
        <w:spacing w:after="0" w:before="0" w:line="480" w:lineRule="auto"/>
      </w:pPr>
      <w:r>
        <w:rPr>
          <w:rFonts w:ascii="Times New Roman" w:cs="Times New Roman" w:eastAsia="Times New Roman" w:hAnsi="Times New Roman"/>
          <w:b/>
          <w:bCs/>
        </w:rPr>
        <w:t xml:space="preserve">Setting and Data</w:t>
      </w:r>
    </w:p>
    <w:p>
      <w:pPr>
        <w:spacing w:after="0" w:before="0" w:line="480" w:lineRule="auto"/>
        <w:ind w:firstLine="720"/>
      </w:pPr>
      <w:r>
        <w:rPr>
          <w:rFonts w:ascii="Times New Roman" w:cs="Times New Roman" w:eastAsia="Times New Roman" w:hAnsi="Times New Roman"/>
        </w:rPr>
        <w:t xml:space="preserve">The war began on Saturday, February 28, 2026. The strait was effectively closed from early March, and the first U.S. trading day of the war was March 2. WTI rose from about $67 to $114.6 by April 7 and stood near $96 at the end of our sample.</w:t>
      </w:r>
    </w:p>
    <w:p>
      <w:pPr>
        <w:spacing w:after="0" w:before="0" w:line="480" w:lineRule="auto"/>
        <w:ind w:firstLine="720"/>
      </w:pPr>
      <w:r>
        <w:rPr>
          <w:rFonts w:ascii="Times New Roman" w:cs="Times New Roman" w:eastAsia="Times New Roman" w:hAnsi="Times New Roman"/>
          <w:i/>
          <w:iCs/>
        </w:rPr>
        <w:t xml:space="preserve">Posts.</w:t>
      </w:r>
      <w:r>
        <w:rPr>
          <w:rFonts w:ascii="Times New Roman" w:cs="Times New Roman" w:eastAsia="Times New Roman" w:hAnsi="Times New Roman"/>
        </w:rPr>
        <w:t xml:space="preserve"> We use the archive of the president’s posts maintained by CNN. Between March 1 and October 13, 2026, the archive contains 4,838 original posts after pure re-posts are removed; 373 mention Iran, and 108 mention Iran together with a threat term. A keyword-selected set of 191 war-period posts forms the frame for classification.</w:t>
      </w:r>
    </w:p>
    <w:p>
      <w:pPr>
        <w:spacing w:after="0" w:before="0" w:line="480" w:lineRule="auto"/>
        <w:ind w:firstLine="720"/>
      </w:pPr>
      <w:r>
        <w:rPr>
          <w:rFonts w:ascii="Times New Roman" w:cs="Times New Roman" w:eastAsia="Times New Roman" w:hAnsi="Times New Roman"/>
          <w:i/>
          <w:iCs/>
        </w:rPr>
        <w:t xml:space="preserve">Markets.</w:t>
      </w:r>
      <w:r>
        <w:rPr>
          <w:rFonts w:ascii="Times New Roman" w:cs="Times New Roman" w:eastAsia="Times New Roman" w:hAnsi="Times New Roman"/>
        </w:rPr>
        <w:t xml:space="preserve"> Hourly bars for WTI and Brent, E-mini S&amp;P 500 and ten-year Treasury futures, the dollar index, USD/CNH, USD/KRW, gold, and several equities cover October 2024 to October 2026. For timing, we use tick quotes (mid price and bid–ask spread) for a WTI crude contract for difference from Dukascopy for 2017 to 2026; its hourly returns correlate at 0.999 with the futures series. The price at time t is the mid quote of the last tick before t, accepted only if that tick is no more than ten minutes old.</w:t>
      </w:r>
    </w:p>
    <w:p>
      <w:pPr>
        <w:pStyle w:val="Heading2"/>
        <w:keepNext/>
        <w:spacing w:after="0" w:before="0" w:line="480" w:lineRule="auto"/>
      </w:pPr>
      <w:r>
        <w:rPr>
          <w:rFonts w:ascii="Times New Roman" w:cs="Times New Roman" w:eastAsia="Times New Roman" w:hAnsi="Times New Roman"/>
          <w:b/>
          <w:bCs/>
        </w:rPr>
        <w:t xml:space="preserve">Labels</w:t>
      </w:r>
    </w:p>
    <w:p>
      <w:pPr>
        <w:spacing w:after="0" w:before="0" w:line="480" w:lineRule="auto"/>
        <w:ind w:firstLine="720"/>
      </w:pPr>
      <w:r>
        <w:rPr>
          <w:rFonts w:ascii="Times New Roman" w:cs="Times New Roman" w:eastAsia="Times New Roman" w:hAnsi="Times New Roman"/>
          <w:i/>
          <w:iCs/>
        </w:rPr>
        <w:t xml:space="preserve">Model labels, first stage.</w:t>
      </w:r>
      <w:r>
        <w:rPr>
          <w:rFonts w:ascii="Times New Roman" w:cs="Times New Roman" w:eastAsia="Times New Roman" w:hAnsi="Times New Roman"/>
        </w:rPr>
        <w:t xml:space="preserve"> Each post was classified by direction (escalation, de-escalation, mixed, or other) in two independent runs of the same LLM, claude-sonnet-5-5, run on October 14, 2026, as sub-agents of the Claude Code agent (version 2.1.300). Each run received only the text of the post. Sampling parameters were the agent’s defaults; we did not set the temperature. The two runs agree at κ = 0.74 on the human-validation sample and between 0.62 and 0.96 elsewhere, which measures their consistency. The first-stage analysis uses the labels of the first run (“model 1”). The model was not given the codebook that the human coders later used (Appendix B).</w:t>
      </w:r>
    </w:p>
    <w:p>
      <w:pPr>
        <w:spacing w:after="0" w:before="0" w:line="480" w:lineRule="auto"/>
        <w:ind w:firstLine="720"/>
      </w:pPr>
      <w:r>
        <w:rPr>
          <w:rFonts w:ascii="Times New Roman" w:cs="Times New Roman" w:eastAsia="Times New Roman" w:hAnsi="Times New Roman"/>
          <w:i/>
          <w:iCs/>
        </w:rPr>
        <w:t xml:space="preserve">Model labels, codebook v2.</w:t>
      </w:r>
      <w:r>
        <w:rPr>
          <w:rFonts w:ascii="Times New Roman" w:cs="Times New Roman" w:eastAsia="Times New Roman" w:hAnsi="Times New Roman"/>
        </w:rPr>
        <w:t xml:space="preserve"> After the human validation, we re-labelled all 191 posts in four blind runs: claude-opus-5-5, claude-sonnet-5-5, claude-haiku-5-5, and a second run of claude-sonnet-5-5. Each run received the human codebook (v2) and the post texts exactly as the coders saw them, in a different random order, and nothing else. We refer to the majority label of the four runs as the “v2 majority.”</w:t>
      </w:r>
    </w:p>
    <w:p>
      <w:pPr>
        <w:spacing w:after="0" w:before="0" w:line="480" w:lineRule="auto"/>
        <w:ind w:firstLine="720"/>
      </w:pPr>
      <w:r>
        <w:rPr>
          <w:rFonts w:ascii="Times New Roman" w:cs="Times New Roman" w:eastAsia="Times New Roman" w:hAnsi="Times New Roman"/>
          <w:i/>
          <w:iCs/>
        </w:rPr>
        <w:t xml:space="preserve">Human labels.</w:t>
      </w:r>
      <w:r>
        <w:rPr>
          <w:rFonts w:ascii="Times New Roman" w:cs="Times New Roman" w:eastAsia="Times New Roman" w:hAnsi="Times New Roman"/>
        </w:rPr>
        <w:t xml:space="preserve"> Two human coders labelled the posts independently from the text alone in three rounds, and we report their agreement as Cohen’s (1960) κ. The coders were doctoral students in information systems from the authors’ department. Neither had seen market data or had a particular interest in oil prices, and neither knew the research question. The two coders disagreed on 45 of the 191 posts (23.6%). The lead investigator, who knew the research question, first adjudicated these disagreements from the text; we refer to the resulting labels as the investigator-adjudicated labels and report them as an earlier analysis.</w:t>
      </w:r>
    </w:p>
    <w:p>
      <w:pPr>
        <w:spacing w:after="0" w:before="0" w:line="480" w:lineRule="auto"/>
        <w:ind w:firstLine="720"/>
      </w:pPr>
      <w:r>
        <w:rPr>
          <w:rFonts w:ascii="Times New Roman" w:cs="Times New Roman" w:eastAsia="Times New Roman" w:hAnsi="Times New Roman"/>
          <w:i/>
          <w:iCs/>
        </w:rPr>
        <w:t xml:space="preserve">Independent third coder.</w:t>
      </w:r>
      <w:r>
        <w:rPr>
          <w:rFonts w:ascii="Times New Roman" w:cs="Times New Roman" w:eastAsia="Times New Roman" w:hAnsi="Times New Roman"/>
        </w:rPr>
        <w:t xml:space="preserve"> Because the investigator knew the hypotheses, we registered a plan to replace the investigator’s adjudications with an independent third coder before any of that coder’s labels were seen. The third coder, an undergraduate student in computer science at the authors’ university with no training in information systems and no interest in oil markets, had not been told the research question and had seen neither the earlier labels nor any market data. Working alone from codebook v2 and the post text, the coder labelled the 45 contested posts mixed with 15 randomly chosen posts on which the two original coders had agreed, in random order and without any marker of which posts were controls. The final human label of each contested post is the majority of the three coders; when all three differ, the label is mixed if any coder chose mixed and other otherwise, so that no label is decided by the investigator. One contested post had no label from the first coder, a case the plan did not anticipate; we treated the missing label as casting no vote. Unless stated otherwise, “human labels” in what follows are these final labels. Because the war was widely reported, all three coders remembered its course, and their labels may reflect that knowledge.</w:t>
      </w:r>
    </w:p>
    <w:p>
      <w:pPr>
        <w:pStyle w:val="Heading2"/>
        <w:keepNext/>
        <w:spacing w:after="0" w:before="0" w:line="480" w:lineRule="auto"/>
      </w:pPr>
      <w:r>
        <w:rPr>
          <w:rFonts w:ascii="Times New Roman" w:cs="Times New Roman" w:eastAsia="Times New Roman" w:hAnsi="Times New Roman"/>
          <w:b/>
          <w:bCs/>
        </w:rPr>
        <w:t xml:space="preserve">Outcomes and Event Sample</w:t>
      </w:r>
    </w:p>
    <w:p>
      <w:pPr>
        <w:spacing w:after="0" w:before="0" w:line="480" w:lineRule="auto"/>
        <w:ind w:firstLine="720"/>
      </w:pPr>
      <w:r>
        <w:rPr>
          <w:rFonts w:ascii="Times New Roman" w:cs="Times New Roman" w:eastAsia="Times New Roman" w:hAnsi="Times New Roman"/>
        </w:rPr>
        <w:t xml:space="preserve">The tick-level outcome is the log return from the last tick before the post to 5, 15, 30, or 60 minutes after it, signed so that positive values are in the direction the post implies; the 30-minute window is primary. We compute the same return over the window before the post for comparison. The hourly outcome used in the first stage is the signed log change from the open of the bar containing the post to the close of the following bar. A post is dropped if another of the 191 posts was made in the previous three hours (the cluster filter) or if the market was not open, meaning that no tick was recorded within ten minutes of the post or of the end of the 30-minute window. Comparisons across label sets use the same 95 events: the posts that pass the cluster filter and have a valid 30-minute window.</w:t>
      </w:r>
    </w:p>
    <w:p>
      <w:pPr>
        <w:pStyle w:val="Heading2"/>
        <w:keepNext/>
        <w:spacing w:after="0" w:before="0" w:line="480" w:lineRule="auto"/>
      </w:pPr>
      <w:r>
        <w:rPr>
          <w:rFonts w:ascii="Times New Roman" w:cs="Times New Roman" w:eastAsia="Times New Roman" w:hAnsi="Times New Roman"/>
          <w:b/>
          <w:bCs/>
        </w:rPr>
        <w:t xml:space="preserve">Posting Times Are Not Random</w:t>
      </w:r>
    </w:p>
    <w:p>
      <w:pPr>
        <w:spacing w:after="0" w:before="0" w:line="480" w:lineRule="auto"/>
        <w:ind w:firstLine="720"/>
      </w:pPr>
      <w:r>
        <w:rPr>
          <w:rFonts w:ascii="Times New Roman" w:cs="Times New Roman" w:eastAsia="Times New Roman" w:hAnsi="Times New Roman"/>
        </w:rPr>
        <w:t xml:space="preserve">Posting is bursty. The 108 posts that mention Iran with a threat term have daily counts with mean 0.48 and variance 0.74; the Pearson dispersion statistic is 350 on 226 degrees of freedom (p &lt; 0.001), and a negative binomial model (Cameron and Trivedi 2013) fits far better than a Poisson model (likelihood-ratio p = 3 × 10⁻⁶). Inter-arrival times have a mean of 51 hours, a median of 21 hours, and a coefficient of variation of 1.94, against 1 for an exponential distribution. Posting is also related to market conditions. In an hourly logit over 3,605 war-period bars, the absolute oil return over the previous six hours predicts both a de-escalation post (coefficient 0.115, p = 0.033) and an escalation post (0.144, p = 0.024), while the signed return does not (p = 0.32 and 0.18). Posts follow volatile hours, so their timing cannot be treated as random for identification. Further analyses of the arrival process are in Appendix D.</w:t>
      </w:r>
    </w:p>
    <w:p>
      <w:pPr>
        <w:pStyle w:val="Heading2"/>
        <w:keepNext/>
        <w:spacing w:after="0" w:before="0" w:line="480" w:lineRule="auto"/>
      </w:pPr>
      <w:r>
        <w:rPr>
          <w:rFonts w:ascii="Times New Roman" w:cs="Times New Roman" w:eastAsia="Times New Roman" w:hAnsi="Times New Roman"/>
          <w:b/>
          <w:bCs/>
        </w:rPr>
        <w:t xml:space="preserve">Status of Analyses</w:t>
      </w:r>
    </w:p>
    <w:p>
      <w:pPr>
        <w:spacing w:after="0" w:before="0" w:line="480" w:lineRule="auto"/>
        <w:ind w:firstLine="720"/>
      </w:pPr>
      <w:r>
        <w:rPr>
          <w:rFonts w:ascii="Times New Roman" w:cs="Times New Roman" w:eastAsia="Times New Roman" w:hAnsi="Times New Roman"/>
        </w:rPr>
        <w:t xml:space="preserve">Each analysis had a written plan committed to the project repository before estimation, and each plan states what had already been seen. We call results that follow such a plan pre-specified, not pre-registered: the repository is not an independent registry, many plans were written after related results were known, several were amended after a first result, and the commit dates cluster on October 13 and 14, 2026. We follow the case for pre-registration in observational work with many analytic choices (Nosek et al. 2018) but treat the plans as a transparency device, and Table A1 classifies every reported result as pre-specified, amended, exploratory, or post hoc. Holm’s (1979) procedure is applied within the families defined in the plans; other p-values are unadjusted. The human-label analysis was not the original plan. A first pass with keyword classes, and then the model labels, proved misleading, and the primary sample was redefined four times (33 model-labelled posts; 25 posts after the second round of human coding; 29 and 16 posts after the third; and 32 and 10 posts after the third coder, as the third-coder plan required), each time after label quality or earlier outcomes were known. We report the earlier versions.</w:t>
      </w:r>
    </w:p>
    <w:p>
      <w:pPr>
        <w:pStyle w:val="Heading1"/>
        <w:keepNext/>
        <w:spacing w:after="0" w:before="240" w:line="480" w:lineRule="auto"/>
        <w:jc w:val="center"/>
      </w:pPr>
      <w:r>
        <w:rPr>
          <w:rFonts w:ascii="Times New Roman" w:cs="Times New Roman" w:eastAsia="Times New Roman" w:hAnsi="Times New Roman"/>
          <w:b/>
          <w:bCs/>
        </w:rPr>
        <w:t xml:space="preserve">Results</w:t>
      </w:r>
    </w:p>
    <w:p>
      <w:pPr>
        <w:pStyle w:val="Heading2"/>
        <w:keepNext/>
        <w:spacing w:after="0" w:before="0" w:line="480" w:lineRule="auto"/>
      </w:pPr>
      <w:r>
        <w:rPr>
          <w:rFonts w:ascii="Times New Roman" w:cs="Times New Roman" w:eastAsia="Times New Roman" w:hAnsi="Times New Roman"/>
          <w:b/>
          <w:bCs/>
        </w:rPr>
        <w:t xml:space="preserve">A First-Stage Result on Model Labels</w:t>
      </w:r>
    </w:p>
    <w:p>
      <w:pPr>
        <w:spacing w:after="0" w:before="0" w:line="480" w:lineRule="auto"/>
        <w:ind w:firstLine="720"/>
      </w:pPr>
      <w:r>
        <w:rPr>
          <w:rFonts w:ascii="Times New Roman" w:cs="Times New Roman" w:eastAsia="Times New Roman" w:hAnsi="Times New Roman"/>
        </w:rPr>
        <w:t xml:space="preserve">With the labels of model 1, WTI fell by 1.29% in the two hours after a de-escalation post (n = 33; median 0.31%; 24 of 33 declines; sign test p = 0.007; Wilcoxon p = 0.005; week-block bootstrap 95% confidence interval [CI] 0.43 to 2.27, 16 weeks). Two events (March 23, −9.8%, and April 7, −12.0%) account for half of the summed move; without them, the mean is 0.67% and the median 0.30%. Brent fell by 1.21% and USD/KRW by 0.14%, while Treasury futures rose by 0.10% (Holm-adjusted p = 0.004), the dollar index fell by 0.11% (p = 0.014), and USD/CNH fell by 0.04% (p = 0.02). Because these responses are measured on the same events and share a common oil and geopolitical factor, we treat them as one finding observed in several assets. Posts that the model labelled escalation (n = 28) showed no response (WTI −0.02%; CI −0.58 to 0.35), and the difference between the two classes was 1.31 percentage points (permutation p = 0.011; rank-based p = 0.051).</w:t>
      </w:r>
    </w:p>
    <w:p>
      <w:pPr>
        <w:spacing w:after="0" w:before="0" w:line="480" w:lineRule="auto"/>
        <w:ind w:firstLine="720"/>
      </w:pPr>
      <w:r>
        <w:rPr>
          <w:rFonts w:ascii="Times New Roman" w:cs="Times New Roman" w:eastAsia="Times New Roman" w:hAnsi="Times New Roman"/>
        </w:rPr>
        <w:t xml:space="preserve">At hourly resolution, however, the post cannot be separated from what preceded it. The return in the hour before the post bar is already 0.36% in the direction of the post (p = 0.10), and the first full hour after it adds 0.34% (p = 0.18); the paired difference is −0.02%. All 20 cases that we examined against contemporaneous market-wire coverage show other reported drivers. We therefore describe the first-stage finding as co-movement. More importantly for this paper, the asymmetry between the two classes was only as credible as the labels behind it, which we tested next (Figure E1 shows the model-labelled paths).</w:t>
      </w:r>
    </w:p>
    <w:p>
      <w:pPr>
        <w:pStyle w:val="Heading2"/>
        <w:keepNext/>
        <w:spacing w:after="0" w:before="0" w:line="480" w:lineRule="auto"/>
      </w:pPr>
      <w:r>
        <w:rPr>
          <w:rFonts w:ascii="Times New Roman" w:cs="Times New Roman" w:eastAsia="Times New Roman" w:hAnsi="Times New Roman"/>
          <w:b/>
          <w:bCs/>
        </w:rPr>
        <w:t xml:space="preserve">Validation Against Human Coders</w:t>
      </w:r>
    </w:p>
    <w:p>
      <w:pPr>
        <w:spacing w:after="0" w:before="0" w:line="480" w:lineRule="auto"/>
        <w:ind w:firstLine="720"/>
      </w:pPr>
      <w:r>
        <w:rPr>
          <w:rFonts w:ascii="Times New Roman" w:cs="Times New Roman" w:eastAsia="Times New Roman" w:hAnsi="Times New Roman"/>
        </w:rPr>
        <w:t xml:space="preserve">In the first round, the two coders labelled 150 posts (67 from the war period, 23 pre-war posts about Iran, and 60 other oil-related posts). They agree at κ = 0.51. On the 97 posts on which both coders agree, the two model runs reach κ = 0.43 and 0.56, while agreeing with each other at κ = 0.74. The dominant error is a de-escalation label on a post that the humans read as unrelated (de-escalation precision of about 0.52 and 0.54; recall 0.77 and 0.88).</w:t>
      </w:r>
    </w:p>
    <w:p>
      <w:pPr>
        <w:spacing w:after="0" w:before="0" w:line="480" w:lineRule="auto"/>
        <w:ind w:firstLine="720"/>
      </w:pPr>
      <w:r>
        <w:rPr>
          <w:rFonts w:ascii="Times New Roman" w:cs="Times New Roman" w:eastAsia="Times New Roman" w:hAnsi="Times New Roman"/>
        </w:rPr>
        <w:t xml:space="preserve">In the second round, the coders labelled all 61 war-period posts that the model had flagged as signals, which are the posts on which the first-stage result rests, using a clarified codebook. Under the clarified rules, demands and ultimatums without an announced pause count as escalation, and de-escalation requires an announced pause, agreement, progress, or reopening. The coders agree at κ = 0.69, and model 1 agrees with the final labels at only κ = 0.28. In the third round, the coders labelled the remaining 130 war-period keyword posts (κ = 0.61 on the 129 posts with two labels), and model 1 reaches κ = 0.50. Across all 191 posts, the final human labels are 83 other, 46 de-escalation, 34 mixed, and 28 escalation (Table 1). The model also misses signals: of the 71 posts that it called other or mixed, 8 (11%) are escalation or de-escalation for the humans.</w:t>
      </w:r>
    </w:p>
    <w:p>
      <w:pPr>
        <w:keepNext/>
        <w:spacing w:after="120" w:before="240" w:line="240" w:lineRule="auto"/>
        <w:jc w:val="center"/>
      </w:pPr>
      <w:r>
        <w:rPr>
          <w:rFonts w:ascii="Times New Roman" w:cs="Times New Roman" w:eastAsia="Times New Roman" w:hAnsi="Times New Roman"/>
          <w:b/>
          <w:bCs/>
          <w:sz w:val="22"/>
          <w:szCs w:val="22"/>
        </w:rPr>
        <w:t xml:space="preserve">Table 1. Agreement Between the Human Coders and Between Model 1 and the Final Human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6"/>
        <w:gridCol w:w="546"/>
        <w:gridCol w:w="888"/>
        <w:gridCol w:w="1708"/>
        <w:gridCol w:w="1912"/>
        <w:gridCol w:w="2120"/>
      </w:tblGrid>
      <w:tr>
        <w:trPr>
          <w:cantSplit/>
          <w:tblHeader/>
        </w:trPr>
        <w:tc>
          <w:tcPr>
            <w:tcW w:type="dxa" w:w="218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Round</w:t>
            </w:r>
          </w:p>
        </w:tc>
        <w:tc>
          <w:tcPr>
            <w:tcW w:type="dxa" w:w="54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Posts</w:t>
            </w:r>
          </w:p>
        </w:tc>
        <w:tc>
          <w:tcPr>
            <w:tcW w:type="dxa" w:w="88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Human–human κ</w:t>
            </w:r>
          </w:p>
        </w:tc>
        <w:tc>
          <w:tcPr>
            <w:tcW w:type="dxa" w:w="170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Model 1 vs humans κ</w:t>
            </w:r>
          </w:p>
        </w:tc>
        <w:tc>
          <w:tcPr>
            <w:tcW w:type="dxa" w:w="191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Model 1 escalation precision</w:t>
            </w:r>
          </w:p>
        </w:tc>
        <w:tc>
          <w:tcPr>
            <w:tcW w:type="dxa" w:w="2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Model 1 de-escalation precision</w:t>
            </w:r>
          </w:p>
        </w:tc>
      </w:tr>
      <w:tr>
        <w:trPr>
          <w:cantSplit/>
          <w:tblHeader w:val="off"/>
        </w:trPr>
        <w:tc>
          <w:tcPr>
            <w:tcW w:type="dxa" w:w="21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1</w:t>
            </w:r>
          </w:p>
        </w:tc>
        <w:tc>
          <w:tcPr>
            <w:tcW w:type="dxa" w:w="5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150</w:t>
            </w:r>
          </w:p>
        </w:tc>
        <w:tc>
          <w:tcPr>
            <w:tcW w:type="dxa" w:w="8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0.51</w:t>
            </w:r>
          </w:p>
        </w:tc>
        <w:tc>
          <w:tcPr>
            <w:tcW w:type="dxa" w:w="17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0.43 (97 consensus posts)</w:t>
            </w:r>
          </w:p>
        </w:tc>
        <w:tc>
          <w:tcPr>
            <w:tcW w:type="dxa" w:w="1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computed</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0.52</w:t>
            </w:r>
          </w:p>
        </w:tc>
      </w:tr>
      <w:tr>
        <w:trPr>
          <w:cantSplit/>
          <w:tblHeader w:val="off"/>
        </w:trPr>
        <w:tc>
          <w:tcPr>
            <w:tcW w:type="dxa" w:w="21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2</w:t>
            </w:r>
          </w:p>
        </w:tc>
        <w:tc>
          <w:tcPr>
            <w:tcW w:type="dxa" w:w="5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61</w:t>
            </w:r>
          </w:p>
        </w:tc>
        <w:tc>
          <w:tcPr>
            <w:tcW w:type="dxa" w:w="8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0.69</w:t>
            </w:r>
          </w:p>
        </w:tc>
        <w:tc>
          <w:tcPr>
            <w:tcW w:type="dxa" w:w="17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0.28</w:t>
            </w:r>
          </w:p>
        </w:tc>
        <w:tc>
          <w:tcPr>
            <w:tcW w:type="dxa" w:w="1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0.29 (8 of 28)</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0.70 (23 of 33)</w:t>
            </w:r>
          </w:p>
        </w:tc>
      </w:tr>
      <w:tr>
        <w:trPr>
          <w:cantSplit/>
          <w:tblHeader w:val="off"/>
        </w:trPr>
        <w:tc>
          <w:tcPr>
            <w:tcW w:type="dxa" w:w="21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3</w:t>
            </w:r>
          </w:p>
        </w:tc>
        <w:tc>
          <w:tcPr>
            <w:tcW w:type="dxa" w:w="5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130</w:t>
            </w:r>
          </w:p>
        </w:tc>
        <w:tc>
          <w:tcPr>
            <w:tcW w:type="dxa" w:w="8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0.61</w:t>
            </w:r>
          </w:p>
        </w:tc>
        <w:tc>
          <w:tcPr>
            <w:tcW w:type="dxa" w:w="17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0.50</w:t>
            </w:r>
          </w:p>
        </w:tc>
        <w:tc>
          <w:tcPr>
            <w:tcW w:type="dxa" w:w="1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0.40 (14 of 35)</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0.54 (13 of 24)</w:t>
            </w:r>
          </w:p>
        </w:tc>
      </w:tr>
      <w:tr>
        <w:trPr>
          <w:cantSplit/>
          <w:tblHeader w:val="off"/>
        </w:trPr>
        <w:tc>
          <w:tcPr>
            <w:tcW w:type="dxa" w:w="218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Rounds 2–3, all war-period posts</w:t>
            </w:r>
          </w:p>
        </w:tc>
        <w:tc>
          <w:tcPr>
            <w:tcW w:type="dxa" w:w="54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191</w:t>
            </w:r>
          </w:p>
        </w:tc>
        <w:tc>
          <w:tcPr>
            <w:tcW w:type="dxa" w:w="88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0.67</w:t>
            </w:r>
          </w:p>
        </w:tc>
        <w:tc>
          <w:tcPr>
            <w:tcW w:type="dxa" w:w="17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0.48</w:t>
            </w:r>
          </w:p>
        </w:tc>
        <w:tc>
          <w:tcPr>
            <w:tcW w:type="dxa" w:w="191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0.35 (22 of 63)</w:t>
            </w:r>
          </w:p>
        </w:tc>
        <w:tc>
          <w:tcPr>
            <w:tcW w:type="dxa" w:w="2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0.63 (36 of 57)</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Rounds 2 and 3 use the final human labels (after the third coder). Round 1 is a separate validation sample compared with the two coders’ consensus; there, the second model run reaches κ = 0.56.</w:t>
      </w:r>
    </w:p>
    <w:p>
      <w:pPr>
        <w:spacing w:after="0" w:before="0" w:line="480" w:lineRule="auto"/>
        <w:ind w:firstLine="720"/>
      </w:pPr>
      <w:r>
        <w:rPr>
          <w:rFonts w:ascii="Times New Roman" w:cs="Times New Roman" w:eastAsia="Times New Roman" w:hAnsi="Times New Roman"/>
        </w:rPr>
        <w:t xml:space="preserve">The escalation precision of 29% in the second round is computed on posts that the model itself had selected as signals. Pooled over all war-period posts, the figure is 35%: only about a third of the model’s escalation labels are escalation in human judgment. Because κ is sensitive to class prevalence (83 of the 191 posts are “other”), Table 2 also reports Gwet’s AC1.</w:t>
      </w:r>
    </w:p>
    <w:p>
      <w:pPr>
        <w:spacing w:after="0" w:before="0" w:line="480" w:lineRule="auto"/>
        <w:ind w:firstLine="720"/>
      </w:pPr>
      <w:r>
        <w:rPr>
          <w:rFonts w:ascii="Times New Roman" w:cs="Times New Roman" w:eastAsia="Times New Roman" w:hAnsi="Times New Roman"/>
          <w:i/>
          <w:iCs/>
        </w:rPr>
        <w:t xml:space="preserve">The third coder.</w:t>
      </w:r>
      <w:r>
        <w:rPr>
          <w:rFonts w:ascii="Times New Roman" w:cs="Times New Roman" w:eastAsia="Times New Roman" w:hAnsi="Times New Roman"/>
        </w:rPr>
        <w:t xml:space="preserve"> The third coder’s agreement with the original coders’ consensus on the 15 control posts is κ = 0.45 (95% CI 0.12 to 0.77), just above the threshold of 0.40 that the plan set for treating the sheet as reliable. On the 45 contested posts, agreement is low, as one would expect for items on which two coders had already disagreed: κ = 0.13 with the first coder, 0.23 with the second, and 0.23 with the investigator’s adjudicated label (44% identical). Replacing the investigator’s adjudications changes 24 of the 45 labels. The largest shift is in the escalation class. Of the 27 posts that the investigator had labelled escalation, 13 are no longer escalation (6 become other, 6 mixed, and 1 de-escalation), and the escalation class over all 191 posts shrinks from 41 to 28 posts. The investigator’s adjudication had thus leaned toward escalation, and the model’s over-labelling of escalation is larger against the final labels than against the investigator’s.</w:t>
      </w:r>
    </w:p>
    <w:p>
      <w:pPr>
        <w:pStyle w:val="Heading2"/>
        <w:keepNext/>
        <w:spacing w:after="0" w:before="0" w:line="480" w:lineRule="auto"/>
      </w:pPr>
      <w:r>
        <w:rPr>
          <w:rFonts w:ascii="Times New Roman" w:cs="Times New Roman" w:eastAsia="Times New Roman" w:hAnsi="Times New Roman"/>
          <w:b/>
          <w:bCs/>
        </w:rPr>
        <w:t xml:space="preserve">Does a Clearer Codebook Repair the Model Labels?</w:t>
      </w:r>
    </w:p>
    <w:p>
      <w:pPr>
        <w:spacing w:after="0" w:before="0" w:line="480" w:lineRule="auto"/>
        <w:ind w:firstLine="720"/>
      </w:pPr>
      <w:r>
        <w:rPr>
          <w:rFonts w:ascii="Times New Roman" w:cs="Times New Roman" w:eastAsia="Times New Roman" w:hAnsi="Times New Roman"/>
        </w:rPr>
        <w:t xml:space="preserve">The human coders used a codebook written after the first round had shown where the model went wrong, whereas model 1 never saw it, so the gap might reflect the prompt rather than the model. We tested this with the four codebook-v2 runs, under a plan written before any of their labels were seen. The runs agree with each other at κ between 0.69 and 0.84, but with the humans at only κ = 0.44 to 0.49 over all 191 posts, no better than model 1 (0.48; Table 2). The two sonnet runs use the same model as model 1, so for them only the prompt differs, and their agreement with the humans (κ = 0.44 and 0.45) is, if anything, lower. The persistent problem is over-labelling of escalation: the humans label 28 posts escalation, whereas each run labels between 73 and 85, with precision of 0.29 to 0.34 and recall of 0.89 to 0.93. Under the rule we fixed in advance, a prompt explanation would have required κ ≥ 0.60 and escalation precision ≥ 0.70, so we conclude that the first-stage failure was not a prompt problem. The conclusion is the same against the investigator-adjudicated labels (κ = 0.48 to 0.51; escalation precision 0.45 to 0.48).</w:t>
      </w:r>
    </w:p>
    <w:p>
      <w:pPr>
        <w:keepNext/>
        <w:spacing w:after="120" w:before="240" w:line="240" w:lineRule="auto"/>
        <w:jc w:val="center"/>
      </w:pPr>
      <w:r>
        <w:rPr>
          <w:rFonts w:ascii="Times New Roman" w:cs="Times New Roman" w:eastAsia="Times New Roman" w:hAnsi="Times New Roman"/>
          <w:b/>
          <w:bCs/>
          <w:sz w:val="22"/>
          <w:szCs w:val="22"/>
        </w:rPr>
        <w:t xml:space="preserve">Table 2. Agreement of Model Label Sets with the Final Human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3"/>
        <w:gridCol w:w="1136"/>
        <w:gridCol w:w="1069"/>
        <w:gridCol w:w="534"/>
        <w:gridCol w:w="1337"/>
        <w:gridCol w:w="1938"/>
        <w:gridCol w:w="2143"/>
      </w:tblGrid>
      <w:tr>
        <w:trPr>
          <w:cantSplit/>
          <w:tblHeader/>
        </w:trPr>
        <w:tc>
          <w:tcPr>
            <w:tcW w:type="dxa" w:w="120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6"/>
                <w:szCs w:val="16"/>
              </w:rPr>
              <w:t xml:space="preserve">Labels</w:t>
            </w:r>
          </w:p>
        </w:tc>
        <w:tc>
          <w:tcPr>
            <w:tcW w:type="dxa" w:w="113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Model</w:t>
            </w:r>
          </w:p>
        </w:tc>
        <w:tc>
          <w:tcPr>
            <w:tcW w:type="dxa" w:w="106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κ (95% CI)</w:t>
            </w:r>
          </w:p>
        </w:tc>
        <w:tc>
          <w:tcPr>
            <w:tcW w:type="dxa" w:w="53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AC1</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Escalation predicted</w:t>
            </w:r>
          </w:p>
        </w:tc>
        <w:tc>
          <w:tcPr>
            <w:tcW w:type="dxa" w:w="193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Escalation precision / recall</w:t>
            </w:r>
          </w:p>
        </w:tc>
        <w:tc>
          <w:tcPr>
            <w:tcW w:type="dxa" w:w="214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De-escalation precision / recall</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Model 1 (original)</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claude-sonnet-5-5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0.48 (0.39–0.56)</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63</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0.35 / 0.79</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0.63 / 0.78</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opus</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claude-opus-5-5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0.47 (0.39–0.55)</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0.48</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78</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0.32 / 0.89</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0.70 / 0.80</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sonnet</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claude-sonnet-5-5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0.44 (0.37–0.53)</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85</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0.29 / 0.89</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0.76 / 0.74</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haiku</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claude-haiku-5-5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0.49 (0.40–0.57)</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76</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0.34 / 0.93</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0.77 / 0.74</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sonnet repeat</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claude-sonnet-5-5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 (0.36–0.53)</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73</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0.34 / 0.89</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0.70 / 0.70</w:t>
            </w:r>
          </w:p>
        </w:tc>
      </w:tr>
      <w:tr>
        <w:trPr>
          <w:cantSplit/>
          <w:tblHeader w:val="off"/>
        </w:trPr>
        <w:tc>
          <w:tcPr>
            <w:tcW w:type="dxa" w:w="120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majority</w:t>
            </w:r>
          </w:p>
        </w:tc>
        <w:tc>
          <w:tcPr>
            <w:tcW w:type="dxa" w:w="113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four runs</w:t>
            </w:r>
          </w:p>
        </w:tc>
        <w:tc>
          <w:tcPr>
            <w:tcW w:type="dxa" w:w="106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0.49 (0.42–0.58)</w:t>
            </w:r>
          </w:p>
        </w:tc>
        <w:tc>
          <w:tcPr>
            <w:tcW w:type="dxa" w:w="53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0.50</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77</w:t>
            </w:r>
          </w:p>
        </w:tc>
        <w:tc>
          <w:tcPr>
            <w:tcW w:type="dxa" w:w="193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0.32 / 0.89</w:t>
            </w:r>
          </w:p>
        </w:tc>
        <w:tc>
          <w:tcPr>
            <w:tcW w:type="dxa" w:w="214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0.73 / 0.80</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191 war-period posts; the humans label 28 posts escalation and 46 de-escalation. AC1 is Gwet’s prevalence-robust agreement coefficient. Against the investigator-adjudicated labels, κ ranges from 0.48 to 0.51 and escalation precision from 0.45 to 0.49.</w:t>
      </w:r>
    </w:p>
    <w:p>
      <w:pPr>
        <w:pStyle w:val="Heading2"/>
        <w:keepNext/>
        <w:spacing w:after="0" w:before="0" w:line="480" w:lineRule="auto"/>
      </w:pPr>
      <w:r>
        <w:rPr>
          <w:rFonts w:ascii="Times New Roman" w:cs="Times New Roman" w:eastAsia="Times New Roman" w:hAnsi="Times New Roman"/>
          <w:b/>
          <w:bCs/>
        </w:rPr>
        <w:t xml:space="preserve">Label Sets and the Market Estimate</w:t>
      </w:r>
    </w:p>
    <w:p>
      <w:pPr>
        <w:spacing w:after="0" w:before="0" w:line="480" w:lineRule="auto"/>
        <w:ind w:firstLine="720"/>
      </w:pPr>
      <w:r>
        <w:rPr>
          <w:rFonts w:ascii="Times New Roman" w:cs="Times New Roman" w:eastAsia="Times New Roman" w:hAnsi="Times New Roman"/>
        </w:rPr>
        <w:t xml:space="preserve">We next asked whether the choice of label set matters for the market estimate, using the same 95 events for every label set so that only the labelling differs (Table 3 and Figure 1). The de-escalation response is nearly identical under every label set (0.90% to 1.04%, against 0.94% on human labels). The escalation response is smaller under every model label set (0.17% to 0.35%, against 0.45%). Under the original labels it cannot be distinguished from zero (p = 0.53); under the v2 majority it is 0.32% (p = 0.047). With only ten human escalation events, however, none of the differences from the human estimate is distinguishable from zero: the largest, for the original labels, is 0.28 percentage points (day-clustered 95% CI −0.07 to 0.69; p = 0.12), and for the v2 majority the difference is 0.13 points (CI −0.26 to 0.54; p = 0.50). Against the investigator-adjudicated labels, which contain more escalation events, the difference for the original labels was borderline (0.31 points; CI 0.02 to 0.65; p = 0.04).</w:t>
      </w:r>
    </w:p>
    <w:p>
      <w:pPr>
        <w:spacing w:after="0" w:before="0" w:line="480" w:lineRule="auto"/>
        <w:ind w:firstLine="720"/>
      </w:pPr>
      <w:r>
        <w:rPr>
          <w:rFonts w:ascii="Times New Roman" w:cs="Times New Roman" w:eastAsia="Times New Roman" w:hAnsi="Times New Roman"/>
        </w:rPr>
        <w:t xml:space="preserve">The first-stage statement that escalation posts show no response therefore holds only for the original labels. What every label set supports is the weaker statement that the escalation response is smaller and less certain than the de-escalation response. The contrasts are not corrected for multiplicity, and the difference between a significant and a non-significant estimate is not itself a test, so we regard the pattern as suggestive rather than established. The next section explains where it comes from.</w:t>
      </w:r>
    </w:p>
    <w:p>
      <w:pPr>
        <w:keepNext/>
        <w:spacing w:after="120" w:before="240" w:line="240" w:lineRule="auto"/>
        <w:jc w:val="center"/>
      </w:pPr>
      <w:r>
        <w:rPr>
          <w:rFonts w:ascii="Times New Roman" w:cs="Times New Roman" w:eastAsia="Times New Roman" w:hAnsi="Times New Roman"/>
          <w:b/>
          <w:bCs/>
          <w:sz w:val="22"/>
          <w:szCs w:val="22"/>
        </w:rPr>
        <w:t xml:space="preserve">Table 3. Directional 30-Minute WTI Return (Percent) by Class Under Each Label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8"/>
        <w:gridCol w:w="2241"/>
        <w:gridCol w:w="2043"/>
        <w:gridCol w:w="3758"/>
      </w:tblGrid>
      <w:tr>
        <w:trPr>
          <w:cantSplit/>
          <w:tblHeader/>
        </w:trPr>
        <w:tc>
          <w:tcPr>
            <w:tcW w:type="dxa" w:w="131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Label set</w:t>
            </w:r>
          </w:p>
        </w:tc>
        <w:tc>
          <w:tcPr>
            <w:tcW w:type="dxa" w:w="224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 n, mean (median), p</w:t>
            </w:r>
          </w:p>
        </w:tc>
        <w:tc>
          <w:tcPr>
            <w:tcW w:type="dxa" w:w="204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 n, mean (median), p</w:t>
            </w:r>
          </w:p>
        </w:tc>
        <w:tc>
          <w:tcPr>
            <w:tcW w:type="dxa" w:w="375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Human minus label set, escalation: difference (95% CI), p</w:t>
            </w:r>
          </w:p>
        </w:tc>
      </w:tr>
      <w:tr>
        <w:trPr>
          <w:cantSplit/>
          <w:tblHeader w:val="off"/>
        </w:trPr>
        <w:tc>
          <w:tcPr>
            <w:tcW w:type="dxa" w:w="13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 (final labels)</w:t>
            </w:r>
          </w:p>
        </w:tc>
        <w:tc>
          <w:tcPr>
            <w:tcW w:type="dxa" w:w="22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32, 0.94 (0.46), .0003</w:t>
            </w:r>
          </w:p>
        </w:tc>
        <w:tc>
          <w:tcPr>
            <w:tcW w:type="dxa" w:w="20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 0.45 (0.36), .084</w:t>
            </w:r>
          </w:p>
        </w:tc>
        <w:tc>
          <w:tcPr>
            <w:tcW w:type="dxa" w:w="37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t>
            </w:r>
          </w:p>
        </w:tc>
      </w:tr>
      <w:tr>
        <w:trPr>
          <w:cantSplit/>
          <w:tblHeader w:val="off"/>
        </w:trPr>
        <w:tc>
          <w:tcPr>
            <w:tcW w:type="dxa" w:w="13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 1</w:t>
            </w:r>
          </w:p>
        </w:tc>
        <w:tc>
          <w:tcPr>
            <w:tcW w:type="dxa" w:w="22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34, 0.90 (0.46), .0008</w:t>
            </w:r>
          </w:p>
        </w:tc>
        <w:tc>
          <w:tcPr>
            <w:tcW w:type="dxa" w:w="20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24, 0.17 (0.11), .53</w:t>
            </w:r>
          </w:p>
        </w:tc>
        <w:tc>
          <w:tcPr>
            <w:tcW w:type="dxa" w:w="37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+0.28 (−0.07, 0.69), .12</w:t>
            </w:r>
          </w:p>
        </w:tc>
      </w:tr>
      <w:tr>
        <w:trPr>
          <w:cantSplit/>
          <w:tblHeader w:val="off"/>
        </w:trPr>
        <w:tc>
          <w:tcPr>
            <w:tcW w:type="dxa" w:w="13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majority</w:t>
            </w:r>
          </w:p>
        </w:tc>
        <w:tc>
          <w:tcPr>
            <w:tcW w:type="dxa" w:w="22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33, 0.95 (0.47), .0001</w:t>
            </w:r>
          </w:p>
        </w:tc>
        <w:tc>
          <w:tcPr>
            <w:tcW w:type="dxa" w:w="20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30, 0.32 (0.31), .047</w:t>
            </w:r>
          </w:p>
        </w:tc>
        <w:tc>
          <w:tcPr>
            <w:tcW w:type="dxa" w:w="37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+0.13 (−0.26, 0.54), .50</w:t>
            </w:r>
          </w:p>
        </w:tc>
      </w:tr>
      <w:tr>
        <w:trPr>
          <w:cantSplit/>
          <w:tblHeader w:val="off"/>
        </w:trPr>
        <w:tc>
          <w:tcPr>
            <w:tcW w:type="dxa" w:w="13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sonnet</w:t>
            </w:r>
          </w:p>
        </w:tc>
        <w:tc>
          <w:tcPr>
            <w:tcW w:type="dxa" w:w="22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1.04 (0.46), .0002</w:t>
            </w:r>
          </w:p>
        </w:tc>
        <w:tc>
          <w:tcPr>
            <w:tcW w:type="dxa" w:w="20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38, 0.24 (0.25), .072</w:t>
            </w:r>
          </w:p>
        </w:tc>
        <w:tc>
          <w:tcPr>
            <w:tcW w:type="dxa" w:w="37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+0.21 (−0.17, 0.62), .26</w:t>
            </w:r>
          </w:p>
        </w:tc>
      </w:tr>
      <w:tr>
        <w:trPr>
          <w:cantSplit/>
          <w:tblHeader w:val="off"/>
        </w:trPr>
        <w:tc>
          <w:tcPr>
            <w:tcW w:type="dxa" w:w="13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haiku</w:t>
            </w:r>
          </w:p>
        </w:tc>
        <w:tc>
          <w:tcPr>
            <w:tcW w:type="dxa" w:w="22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1.04 (0.54), .0002</w:t>
            </w:r>
          </w:p>
        </w:tc>
        <w:tc>
          <w:tcPr>
            <w:tcW w:type="dxa" w:w="20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0.35 (0.35), .019</w:t>
            </w:r>
          </w:p>
        </w:tc>
        <w:tc>
          <w:tcPr>
            <w:tcW w:type="dxa" w:w="37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+0.10 (−0.28, 0.50), .60</w:t>
            </w:r>
          </w:p>
        </w:tc>
      </w:tr>
      <w:tr>
        <w:trPr>
          <w:cantSplit/>
          <w:tblHeader w:val="off"/>
        </w:trPr>
        <w:tc>
          <w:tcPr>
            <w:tcW w:type="dxa" w:w="131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sonnet repeat</w:t>
            </w:r>
          </w:p>
        </w:tc>
        <w:tc>
          <w:tcPr>
            <w:tcW w:type="dxa" w:w="224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0.99 (0.48), .0002</w:t>
            </w:r>
          </w:p>
        </w:tc>
        <w:tc>
          <w:tcPr>
            <w:tcW w:type="dxa" w:w="204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31, 0.22 (0.25), .16</w:t>
            </w:r>
          </w:p>
        </w:tc>
        <w:tc>
          <w:tcPr>
            <w:tcW w:type="dxa" w:w="37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+0.23 (−0.17, 0.68), .25</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Same 95 events under every label set. p-values are two-sided Wilcoxon tests. Differences use a day-clustered bootstrap with 10,000 resamples; the two-sided p is taken from the bootstrap distribution. The v2 opus run gives the same results as the majority for both classes (33 and 30 events). On the investigator-adjudicated labels, the human estimates were 1.05% (n = 29) and 0.48% (n = 16), and the escalation difference for model 1 was +0.31 (0.02, 0.65), p = .04.</w:t>
      </w:r>
    </w:p>
    <w:p>
      <w:pPr>
        <w:keepNext/>
        <w:spacing w:after="0" w:before="240" w:line="240" w:lineRule="auto"/>
        <w:jc w:val="center"/>
      </w:pPr>
      <w:r>
        <w:drawing>
          <wp:inline distT="0" distB="0" distL="0" distR="0">
            <wp:extent cx="5715000" cy="2286000"/>
            <wp:effectExtent t="0" r="0" b="0" l="0"/>
            <wp:docPr id="1" name="fig_labelsets_v3.png" descr="Figure 1. Mean Directional 30-Minute WTI Return by Class Under Each Label Set" title="Figure 1. Mean Directional 30-Minute WTI Return by Class Under Each Label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1. Mean Directional 30-Minute WTI Return by Class Under Each Label Set</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Same 95 events; bars are day-clustered 95% confidence intervals; human labels are the final labels after the third coder.</w:t>
      </w:r>
    </w:p>
    <w:p>
      <w:pPr>
        <w:pStyle w:val="Heading2"/>
        <w:keepNext/>
        <w:spacing w:after="0" w:before="0" w:line="480" w:lineRule="auto"/>
      </w:pPr>
      <w:r>
        <w:rPr>
          <w:rFonts w:ascii="Times New Roman" w:cs="Times New Roman" w:eastAsia="Times New Roman" w:hAnsi="Times New Roman"/>
          <w:b/>
          <w:bCs/>
        </w:rPr>
        <w:t xml:space="preserve">Why the Model Estimate Is Smaller: A Misclassification Account</w:t>
      </w:r>
    </w:p>
    <w:p>
      <w:pPr>
        <w:spacing w:after="0" w:before="0" w:line="480" w:lineRule="auto"/>
        <w:ind w:firstLine="720"/>
      </w:pPr>
      <w:r>
        <w:rPr>
          <w:rFonts w:ascii="Times New Roman" w:cs="Times New Roman" w:eastAsia="Times New Roman" w:hAnsi="Times New Roman"/>
        </w:rPr>
        <w:t xml:space="preserve">Let H denote the human label of an event, M a model label, and r_e the 30-minute return signed in the direction of class e. The model-label estimate of the response to class e is the mean of r_e over the events with M = e, which is identically</w:t>
      </w:r>
    </w:p>
    <w:p>
      <w:pPr>
        <w:spacing w:after="0" w:before="0" w:line="480" w:lineRule="auto"/>
        <w:jc w:val="center"/>
      </w:pPr>
      <w:r>
        <w:rPr>
          <w:rFonts w:ascii="Times New Roman" w:cs="Times New Roman" w:eastAsia="Times New Roman" w:hAnsi="Times New Roman"/>
        </w:rPr>
        <w:t xml:space="preserve">μ_M(e) = Σ_h π(h | e) · μ(h, e),     (1)</w:t>
      </w:r>
    </w:p>
    <w:p>
      <w:pPr>
        <w:spacing w:after="0" w:before="0" w:line="480" w:lineRule="auto"/>
      </w:pPr>
      <w:r>
        <w:rPr>
          <w:rFonts w:ascii="Times New Roman" w:cs="Times New Roman" w:eastAsia="Times New Roman" w:hAnsi="Times New Roman"/>
        </w:rPr>
        <w:t xml:space="preserve">where π(h | e) is the share of the model’s e events whose human label is h, so that π(e | e) is the precision on these events, and μ(h, e) is the mean of r_e over those events. Subtracting the human estimate μ_H(e) gives</w:t>
      </w:r>
    </w:p>
    <w:p>
      <w:pPr>
        <w:spacing w:after="0" w:before="0" w:line="480" w:lineRule="auto"/>
        <w:jc w:val="center"/>
      </w:pPr>
      <w:r>
        <w:rPr>
          <w:rFonts w:ascii="Times New Roman" w:cs="Times New Roman" w:eastAsia="Times New Roman" w:hAnsi="Times New Roman"/>
        </w:rPr>
        <w:t xml:space="preserve">μ_M(e) − μ_H(e) = π(e | e) · [μ(e, e) − μ_H(e)] + Σ_{h≠e} π(h | e) · [μ(h, e) − μ_H(e)].     (2)</w:t>
      </w:r>
    </w:p>
    <w:p>
      <w:pPr>
        <w:spacing w:after="0" w:before="0" w:line="480" w:lineRule="auto"/>
      </w:pPr>
      <w:r>
        <w:rPr>
          <w:rFonts w:ascii="Times New Roman" w:cs="Times New Roman" w:eastAsia="Times New Roman" w:hAnsi="Times New Roman"/>
        </w:rPr>
        <w:t xml:space="preserve">The first term captures selection within the class: the model may find a different subset of the human escalation events. The second captures contamination by the other classes. Equation (1) is an accounting identity and requires no assumption about the errors, but it makes explicit a familiar result from the econometrics of misclassified discrete variables. Misclassification of a category is necessarily correlated with the true category (Aigner 1973; Bound et al. 2001), so it does not behave like classical measurement error, which would shrink an effect by a constant factor. The bias is instead a weighted sum of the gaps between the outcome means of the classes the errors come from and that of the target class, and it can take either sign (Mahajan 2006; Lewbel 2007). In our setting, a human de-escalation post placed in the escalation class moves oil in the de-escalation direction, which is negative when signed as escalation. Such a post contributes a negative term where an unrelated post would contribute roughly zero.</w:t>
      </w:r>
    </w:p>
    <w:p>
      <w:pPr>
        <w:spacing w:after="0" w:before="0" w:line="480" w:lineRule="auto"/>
        <w:ind w:firstLine="720"/>
      </w:pPr>
      <w:r>
        <w:rPr>
          <w:rFonts w:ascii="Times New Roman" w:cs="Times New Roman" w:eastAsia="Times New Roman" w:hAnsi="Times New Roman"/>
        </w:rPr>
        <w:t xml:space="preserve">Table 4 supplies every term. For the original labels, equation (1) returns 0.17%, the estimate in Table 3, and equation (2) divides the gap of −0.28 points into +0.02 from selection within the class, −0.24 from human de-escalation posts, +0.02 from mixed posts, and −0.08 from posts the humans call other. For the v2 majority, the identity returns 0.32% and divides the gap of −0.13 points into 0.00, −0.16, +0.09, and −0.06. In both label sets, the posts that humans and models both call escalation move oil by as much as the human class as a whole (0.52% and 0.44%, against 0.45%). The shortfall is thus contamination, not a weaker response among correctly labelled posts, and the largest single source is the de-escalation posts that the models place in the escalation class: six of the original model’s 24 escalation events are de-escalation in human judgment. Mixed posts, in which humans also see a threat, partly offset the contamination. The same identity explains why the de-escalation estimate barely changes across label sets: the precision on those events is higher (25 of 34 and 26 of 33), none of the contaminating posts is a human escalation post, and the mixed and other posts that do enter have positive signed returns (Panel B of Table 4).</w:t>
      </w:r>
    </w:p>
    <w:p>
      <w:pPr>
        <w:keepNext/>
        <w:spacing w:after="120" w:before="240" w:line="240" w:lineRule="auto"/>
        <w:jc w:val="center"/>
      </w:pPr>
      <w:r>
        <w:rPr>
          <w:rFonts w:ascii="Times New Roman" w:cs="Times New Roman" w:eastAsia="Times New Roman" w:hAnsi="Times New Roman"/>
          <w:b/>
          <w:bCs/>
          <w:sz w:val="22"/>
          <w:szCs w:val="22"/>
        </w:rPr>
        <w:t xml:space="preserve">Table 4. Misclassification Decomposition of the Model-Label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6"/>
        <w:gridCol w:w="430"/>
        <w:gridCol w:w="1075"/>
        <w:gridCol w:w="1721"/>
        <w:gridCol w:w="591"/>
        <w:gridCol w:w="591"/>
        <w:gridCol w:w="699"/>
        <w:gridCol w:w="753"/>
        <w:gridCol w:w="1994"/>
      </w:tblGrid>
      <w:tr>
        <w:trPr>
          <w:cantSplit/>
          <w:tblHeader/>
        </w:trPr>
        <w:tc>
          <w:tcPr>
            <w:tcW w:type="dxa" w:w="150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6"/>
                <w:szCs w:val="16"/>
              </w:rPr>
              <w:t xml:space="preserve">Label set</w:t>
            </w:r>
          </w:p>
        </w:tc>
        <w:tc>
          <w:tcPr>
            <w:tcW w:type="dxa" w:w="4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Events</w:t>
            </w:r>
          </w:p>
        </w:tc>
        <w:tc>
          <w:tcPr>
            <w:tcW w:type="dxa" w:w="107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Same class as humans</w:t>
            </w:r>
          </w:p>
        </w:tc>
        <w:tc>
          <w:tcPr>
            <w:tcW w:type="dxa" w:w="172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de-escalation / escalation</w:t>
            </w:r>
          </w:p>
        </w:tc>
        <w:tc>
          <w:tcPr>
            <w:tcW w:type="dxa" w:w="59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mixed</w:t>
            </w:r>
          </w:p>
        </w:tc>
        <w:tc>
          <w:tcPr>
            <w:tcW w:type="dxa" w:w="59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other</w:t>
            </w:r>
          </w:p>
        </w:tc>
        <w:tc>
          <w:tcPr>
            <w:tcW w:type="dxa" w:w="69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Mean, eq. (1)</w:t>
            </w:r>
          </w:p>
        </w:tc>
        <w:tc>
          <w:tcPr>
            <w:tcW w:type="dxa" w:w="75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estimate</w:t>
            </w:r>
          </w:p>
        </w:tc>
        <w:tc>
          <w:tcPr>
            <w:tcW w:type="dxa" w:w="199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Gap = within + contamination, eq. (2)</w:t>
            </w:r>
          </w:p>
        </w:tc>
      </w:tr>
      <w:tr>
        <w:tc>
          <w:tcPr>
            <w:tcW w:type="dxa" w:w="9360"/>
            <w:gridSpan w:val="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i/>
                <w:iCs/>
                <w:sz w:val="16"/>
                <w:szCs w:val="16"/>
              </w:rPr>
              <w:t xml:space="preserve">Panel A. Escalation class</w:t>
            </w:r>
          </w:p>
        </w:tc>
      </w:tr>
      <w:tr>
        <w:trPr>
          <w:cantSplit/>
          <w:tblHeader w:val="off"/>
        </w:trPr>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Model 1</w:t>
            </w:r>
          </w:p>
        </w:tc>
        <w:tc>
          <w:tcPr>
            <w:tcW w:type="dxa" w:w="4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24</w:t>
            </w:r>
          </w:p>
        </w:tc>
        <w:tc>
          <w:tcPr>
            <w:tcW w:type="dxa" w:w="1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8 (+0.52)</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6 (−0.51)</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 (+0.52)</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 (−0.21)</w:t>
            </w:r>
          </w:p>
        </w:tc>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+0.17</w:t>
            </w:r>
          </w:p>
        </w:tc>
        <w:tc>
          <w:tcPr>
            <w:tcW w:type="dxa" w:w="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w:t>
            </w:r>
          </w:p>
        </w:tc>
        <w:tc>
          <w:tcPr>
            <w:tcW w:type="dxa" w:w="19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−0.28 = +0.02 − 0.24 + 0.02 − 0.08</w:t>
            </w:r>
          </w:p>
        </w:tc>
      </w:tr>
      <w:tr>
        <w:trPr>
          <w:cantSplit/>
          <w:tblHeader w:val="off"/>
        </w:trPr>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majority</w:t>
            </w:r>
          </w:p>
        </w:tc>
        <w:tc>
          <w:tcPr>
            <w:tcW w:type="dxa" w:w="4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30</w:t>
            </w:r>
          </w:p>
        </w:tc>
        <w:tc>
          <w:tcPr>
            <w:tcW w:type="dxa" w:w="1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9 (+0.44)</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4 (−0.75)</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12 (+0.68)</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5 (+0.09)</w:t>
            </w:r>
          </w:p>
        </w:tc>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+0.32</w:t>
            </w:r>
          </w:p>
        </w:tc>
        <w:tc>
          <w:tcPr>
            <w:tcW w:type="dxa" w:w="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w:t>
            </w:r>
          </w:p>
        </w:tc>
        <w:tc>
          <w:tcPr>
            <w:tcW w:type="dxa" w:w="19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−0.13 = 0.00 − 0.16 + 0.09 − 0.06</w:t>
            </w:r>
          </w:p>
        </w:tc>
      </w:tr>
      <w:tr>
        <w:tc>
          <w:tcPr>
            <w:tcW w:type="dxa" w:w="9360"/>
            <w:gridSpan w:val="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i/>
                <w:iCs/>
                <w:sz w:val="16"/>
                <w:szCs w:val="16"/>
              </w:rPr>
              <w:t xml:space="preserve">Panel B. De-escalation class</w:t>
            </w:r>
          </w:p>
        </w:tc>
      </w:tr>
      <w:tr>
        <w:trPr>
          <w:cantSplit/>
          <w:tblHeader w:val="off"/>
        </w:trPr>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Model 1</w:t>
            </w:r>
          </w:p>
        </w:tc>
        <w:tc>
          <w:tcPr>
            <w:tcW w:type="dxa" w:w="4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34</w:t>
            </w:r>
          </w:p>
        </w:tc>
        <w:tc>
          <w:tcPr>
            <w:tcW w:type="dxa" w:w="1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25 (+1.07)</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5 (+0.38)</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4 (+0.51)</w:t>
            </w:r>
          </w:p>
        </w:tc>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+0.90</w:t>
            </w:r>
          </w:p>
        </w:tc>
        <w:tc>
          <w:tcPr>
            <w:tcW w:type="dxa" w:w="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+0.94</w:t>
            </w:r>
          </w:p>
        </w:tc>
        <w:tc>
          <w:tcPr>
            <w:tcW w:type="dxa" w:w="19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−0.04 = +0.09 + 0.00 − 0.08 − 0.05</w:t>
            </w:r>
          </w:p>
        </w:tc>
      </w:tr>
      <w:tr>
        <w:trPr>
          <w:cantSplit/>
          <w:tblHeader w:val="off"/>
        </w:trPr>
        <w:tc>
          <w:tcPr>
            <w:tcW w:type="dxa" w:w="15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majority</w:t>
            </w:r>
          </w:p>
        </w:tc>
        <w:tc>
          <w:tcPr>
            <w:tcW w:type="dxa" w:w="4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33</w:t>
            </w:r>
          </w:p>
        </w:tc>
        <w:tc>
          <w:tcPr>
            <w:tcW w:type="dxa" w:w="107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26 (+0.99)</w:t>
            </w:r>
          </w:p>
        </w:tc>
        <w:tc>
          <w:tcPr>
            <w:tcW w:type="dxa" w:w="172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w:t>
            </w:r>
          </w:p>
        </w:tc>
        <w:tc>
          <w:tcPr>
            <w:tcW w:type="dxa" w:w="59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 (+1.23)</w:t>
            </w:r>
          </w:p>
        </w:tc>
        <w:tc>
          <w:tcPr>
            <w:tcW w:type="dxa" w:w="59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4 (+0.51)</w:t>
            </w:r>
          </w:p>
        </w:tc>
        <w:tc>
          <w:tcPr>
            <w:tcW w:type="dxa" w:w="69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+0.95</w:t>
            </w:r>
          </w:p>
        </w:tc>
        <w:tc>
          <w:tcPr>
            <w:tcW w:type="dxa" w:w="75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+0.94</w:t>
            </w:r>
          </w:p>
        </w:tc>
        <w:tc>
          <w:tcPr>
            <w:tcW w:type="dxa" w:w="199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+0.01 = +0.03 + 0.00 + 0.03 − 0.05</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Final human labels. Entries in the human-label columns are the number of model-labelled events with that human label and, in parentheses, their mean directional 30-minute return (percent) signed in the direction of the model’s class. In Panel A, the fourth column counts human de-escalation posts; in Panel B, human escalation posts. The gap column lists, in order, selection within the class, then contamination by the human class in the fourth column, by mixed posts, and by other posts. Components are rounded and need not sum exactly.</w:t>
      </w:r>
    </w:p>
    <w:p>
      <w:pPr>
        <w:spacing w:after="0" w:before="0" w:line="480" w:lineRule="auto"/>
        <w:ind w:firstLine="720"/>
      </w:pPr>
      <w:r>
        <w:rPr>
          <w:rFonts w:ascii="Times New Roman" w:cs="Times New Roman" w:eastAsia="Times New Roman" w:hAnsi="Times New Roman"/>
        </w:rPr>
        <w:t xml:space="preserve">The identity accounts for the gap; it does not correct the estimate. It takes the human labels as the reference, and these are themselves measured with error (κ between 0.61 and 0.69 across rounds, and 0.45 for the third coder on the controls). With three human coders and several model runs per post, the true class is identified under conditions on how the raters’ errors relate to one another (Hu 2008), which gives the latent-class analysis we propose in the Discussion a formal basis. We wrote the decomposition after the event-level split was known, and Table A1 classifies it as post hoc.</w:t>
      </w:r>
    </w:p>
    <w:p>
      <w:pPr>
        <w:pStyle w:val="Heading2"/>
        <w:keepNext/>
        <w:spacing w:after="0" w:before="0" w:line="480" w:lineRule="auto"/>
      </w:pPr>
      <w:r>
        <w:rPr>
          <w:rFonts w:ascii="Times New Roman" w:cs="Times New Roman" w:eastAsia="Times New Roman" w:hAnsi="Times New Roman"/>
          <w:b/>
          <w:bCs/>
        </w:rPr>
        <w:t xml:space="preserve">How Much Human Validation Is Enough?</w:t>
      </w:r>
    </w:p>
    <w:p>
      <w:pPr>
        <w:spacing w:after="0" w:before="0" w:line="480" w:lineRule="auto"/>
        <w:ind w:firstLine="720"/>
      </w:pPr>
      <w:r>
        <w:rPr>
          <w:rFonts w:ascii="Times New Roman" w:cs="Times New Roman" w:eastAsia="Times New Roman" w:hAnsi="Times New Roman"/>
        </w:rPr>
        <w:t xml:space="preserve">If model labels bias the estimate, a researcher who can afford human labels for only part of the corpus may still correct it. Prediction-powered inference (PPI; Angelopoulos et al. 2023) and design-based supervised learning (DSL; Egami et al. 2023) do so by combining model labels for all posts with human labels for a random subsample, weighting the residual between them by the inverse of the sampling probability. Because human labels exist for all 191 posts in our data, we can ask directly how close such corrections come to the full human-label estimate when only part of the corpus is labelled.</w:t>
      </w:r>
    </w:p>
    <w:p>
      <w:pPr>
        <w:spacing w:after="0" w:before="0" w:line="480" w:lineRule="auto"/>
        <w:ind w:firstLine="720"/>
      </w:pPr>
      <w:r>
        <w:rPr>
          <w:rFonts w:ascii="Times New Roman" w:cs="Times New Roman" w:eastAsia="Times New Roman" w:hAnsi="Times New Roman"/>
        </w:rPr>
        <w:t xml:space="preserve">We drew random subsets of 10%, 20%, 30%, 40%, and 50% of the 191 posts, treated their human labels as the only ones available, and computed four estimates of each class response on the 95-event frame, repeating the draw 2,000 times. The naive estimate uses model labels only. The human-only estimate uses the labelled events alone. PPI corrects the model-label class indicator with the labelled residual. DSL first predicts each post’s human class from the votes of the five model runs, with five-fold cross-fitting on the labelled subset, and then applies the same design-based correction. We use the final human labels as the reference and report the median absolute error of each estimate against the full human-label estimate (Figure 2). The simulation was designed after the main results were known and is exploratory.</w:t>
      </w:r>
    </w:p>
    <w:p>
      <w:pPr>
        <w:keepNext/>
        <w:spacing w:after="0" w:before="240" w:line="240" w:lineRule="auto"/>
        <w:jc w:val="center"/>
      </w:pPr>
      <w:r>
        <w:drawing>
          <wp:inline distT="0" distB="0" distL="0" distR="0">
            <wp:extent cx="5715000" cy="4057650"/>
            <wp:effectExtent t="0" r="0" b="0" l="0"/>
            <wp:docPr id="2" name="fig_correction_v3.png" descr="Figure 2. Error of Model-Label, Human-Only, and Corrected Estimates by Share of Posts with Human Labels" title="Figure 2. Error of Model-Label, Human-Only, and Corrected Estimates by Share of Posts with Human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5765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2. Error of Model-Label, Human-Only, and Corrected Estimates by Share of Posts with Human Labels</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Median absolute error over 2,000 random subsets, in percentage points, against the full human-label estimate on the 95-event frame. Top row: original model labels; bottom row: v2 majority labels.</w:t>
      </w:r>
    </w:p>
    <w:p>
      <w:pPr>
        <w:spacing w:after="0" w:before="0" w:line="480" w:lineRule="auto"/>
        <w:ind w:firstLine="720"/>
      </w:pPr>
      <w:r>
        <w:rPr>
          <w:rFonts w:ascii="Times New Roman" w:cs="Times New Roman" w:eastAsia="Times New Roman" w:hAnsi="Times New Roman"/>
        </w:rPr>
        <w:t xml:space="preserve">Three results stand out. First, the naive estimate of the escalation response is biased by a fixed amount, −0.28 points with the original labels and −0.13 with the v2 majority, and no amount of model labelling removes it. For the de-escalation response, the naive bias is small (−0.04 and +0.01). Second, the corrections remove the bias: across subsets, the median error of DSL is within 0.04 points of zero once 30% of the posts are labelled, and within 0.01 at 40% and 50%. Third, removing the bias costs precision, and with ten human escalation events that cost is large. With the original labels, DSL becomes more accurate than the naive estimate once about 30% of the posts are labelled (median absolute error 0.23 against 0.28); with the better v2 majority labels, even 50% is not enough (0.14 against 0.13). DSL is about as accurate as using the human-labelled events alone for escalation, but it is far more accurate for de-escalation (0.15 against 0.42 at 30%), because the de-escalation mean depends on a few large moves that a human-labelled subsample often misses and that the model labels recover. PPI, which corrects the class indicator directly, is unstable for the escalation class, where its denominator is small, and we do not recommend it for class means of this kind.</w:t>
      </w:r>
    </w:p>
    <w:p>
      <w:pPr>
        <w:spacing w:after="0" w:before="0" w:line="480" w:lineRule="auto"/>
        <w:ind w:firstLine="720"/>
      </w:pPr>
      <w:r>
        <w:rPr>
          <w:rFonts w:ascii="Times New Roman" w:cs="Times New Roman" w:eastAsia="Times New Roman" w:hAnsi="Times New Roman"/>
        </w:rPr>
        <w:t xml:space="preserve">For researchers who use LLM labels in event studies, the simulation suggests that a validated subsample is not a cheap fix when events are few. Its value depends on how poor the model labels are and on how heavy-tailed the outcome is, and at the scale of a typical single-episode study, a third to a half of the corpus may need human labels before a corrected estimate is more accurate than a biased one. When that is affordable, labelling everything, as we did, may be the simpler choice.</w:t>
      </w:r>
    </w:p>
    <w:p>
      <w:pPr>
        <w:pStyle w:val="Heading2"/>
        <w:keepNext/>
        <w:spacing w:after="0" w:before="0" w:line="480" w:lineRule="auto"/>
      </w:pPr>
      <w:r>
        <w:rPr>
          <w:rFonts w:ascii="Times New Roman" w:cs="Times New Roman" w:eastAsia="Times New Roman" w:hAnsi="Times New Roman"/>
          <w:b/>
          <w:bCs/>
        </w:rPr>
        <w:t xml:space="preserve">The Market Result on Human Labels</w:t>
      </w:r>
    </w:p>
    <w:p>
      <w:pPr>
        <w:spacing w:after="0" w:before="0" w:line="480" w:lineRule="auto"/>
        <w:ind w:firstLine="720"/>
      </w:pPr>
      <w:r>
        <w:rPr>
          <w:rFonts w:ascii="Times New Roman" w:cs="Times New Roman" w:eastAsia="Times New Roman" w:hAnsi="Times New Roman"/>
        </w:rPr>
        <w:t xml:space="preserve">We rebuilt the set of signal posts from the human labels over all 191 posts, applying the cluster filter and requiring the market to be open at the post and 30 minutes later. Table 5 reconciles the sample. Of the 17 signal posts without a window, 88% were made on weekends or while the market was closed, against 27% of all signal posts, and half of the escalation signal posts are dropped for this reason (10 of 20), against 18% of de-escalation posts (7 of 39). The results therefore do not extend to weekend announcements, and the two classes are selected differently.</w:t>
      </w:r>
    </w:p>
    <w:p>
      <w:pPr>
        <w:keepNext/>
        <w:spacing w:after="120" w:before="240" w:line="240" w:lineRule="auto"/>
        <w:jc w:val="center"/>
      </w:pPr>
      <w:r>
        <w:rPr>
          <w:rFonts w:ascii="Times New Roman" w:cs="Times New Roman" w:eastAsia="Times New Roman" w:hAnsi="Times New Roman"/>
          <w:b/>
          <w:bCs/>
          <w:sz w:val="22"/>
          <w:szCs w:val="22"/>
        </w:rPr>
        <w:t xml:space="preserve">Table 5. Sample Reconciliation (Final Human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6"/>
        <w:gridCol w:w="1466"/>
        <w:gridCol w:w="1128"/>
      </w:tblGrid>
      <w:tr>
        <w:trPr>
          <w:cantSplit/>
          <w:tblHeader/>
        </w:trPr>
        <w:tc>
          <w:tcPr>
            <w:tcW w:type="dxa" w:w="676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Step</w:t>
            </w:r>
          </w:p>
        </w:tc>
        <w:tc>
          <w:tcPr>
            <w:tcW w:type="dxa" w:w="146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w:t>
            </w:r>
          </w:p>
        </w:tc>
        <w:tc>
          <w:tcPr>
            <w:tcW w:type="dxa" w:w="112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w:t>
            </w:r>
          </w:p>
        </w:tc>
      </w:tr>
      <w:tr>
        <w:trPr>
          <w:cantSplit/>
          <w:tblHeader w:val="off"/>
        </w:trPr>
        <w:tc>
          <w:tcPr>
            <w:tcW w:type="dxa" w:w="6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Posts with a human signal label after the three-hour filter (141 of 191 pass)</w:t>
            </w:r>
          </w:p>
        </w:tc>
        <w:tc>
          <w:tcPr>
            <w:tcW w:type="dxa" w:w="14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39</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20</w:t>
            </w:r>
          </w:p>
        </w:tc>
      </w:tr>
      <w:tr>
        <w:trPr>
          <w:cantSplit/>
          <w:tblHeader w:val="off"/>
        </w:trPr>
        <w:tc>
          <w:tcPr>
            <w:tcW w:type="dxa" w:w="6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With a tick window at the post time and +30 minutes (primary sample)</w:t>
            </w:r>
          </w:p>
        </w:tc>
        <w:tc>
          <w:tcPr>
            <w:tcW w:type="dxa" w:w="14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32</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w:t>
            </w:r>
          </w:p>
        </w:tc>
      </w:tr>
      <w:tr>
        <w:trPr>
          <w:cantSplit/>
          <w:tblHeader w:val="off"/>
        </w:trPr>
        <w:tc>
          <w:tcPr>
            <w:tcW w:type="dxa" w:w="676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Signal posts dropped for lack of a window</w:t>
            </w:r>
          </w:p>
        </w:tc>
        <w:tc>
          <w:tcPr>
            <w:tcW w:type="dxa" w:w="146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7</w:t>
            </w:r>
          </w:p>
        </w:tc>
        <w:tc>
          <w:tcPr>
            <w:tcW w:type="dxa" w:w="112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Of the 17 dropped signal posts, 88% were made on weekends or while the market was closed, against 27% of all signal posts.</w:t>
      </w:r>
    </w:p>
    <w:p>
      <w:pPr>
        <w:spacing w:after="0" w:before="0" w:line="480" w:lineRule="auto"/>
        <w:ind w:firstLine="720"/>
      </w:pPr>
      <w:r>
        <w:rPr>
          <w:rFonts w:ascii="Times New Roman" w:cs="Times New Roman" w:eastAsia="Times New Roman" w:hAnsi="Times New Roman"/>
        </w:rPr>
        <w:t xml:space="preserve">For de-escalation posts, the directional WTI return is 0.60% at five minutes and 0.94% at 30 minutes (n = 32 posts on 26 days; median 0.46%; two-sided Wilcoxon p = 0.0003; day-clustered bootstrap 95% CI of the mean 0.38 to 1.73, and of the median 0.17 to 0.97). For escalation posts, it is 0.55% at five minutes and 0.45% at 30 minutes (n = 10 posts on 10 days; median 0.36%; p = 0.084; CIs 0.02 to 0.89 and −0.01 to 1.02), compared with 0.17% (p = 0.53) when the original model label is used. The difference between the two directions is not distinguishable from zero (Mann–Whitney p = 0.59, exploratory). Quote quality does not explain the result: the median bid–ask spread is 0.05 on a price near $89.4, and the median absolute 30-minute move (0.44) is about nine spreads.</w:t>
      </w:r>
    </w:p>
    <w:p>
      <w:pPr>
        <w:spacing w:after="0" w:before="0" w:line="480" w:lineRule="auto"/>
        <w:ind w:firstLine="720"/>
      </w:pPr>
      <w:r>
        <w:rPr>
          <w:rFonts w:ascii="Times New Roman" w:cs="Times New Roman" w:eastAsia="Times New Roman" w:hAnsi="Times New Roman"/>
          <w:i/>
          <w:iCs/>
        </w:rPr>
        <w:t xml:space="preserve">How the escalation result depends on the labels.</w:t>
      </w:r>
      <w:r>
        <w:rPr>
          <w:rFonts w:ascii="Times New Roman" w:cs="Times New Roman" w:eastAsia="Times New Roman" w:hAnsi="Times New Roman"/>
        </w:rPr>
        <w:t xml:space="preserve"> The escalation response rests on few events, and Table 6 shows how it depends on who decided them. Seven of the ten escalation events carry labels on which the two original coders agreed, and these move oil by 0.71% (p = 0.016; CI 0.30 to 1.16). The three escalation events decided with the third coder’s vote have a mean of −0.17%. Under the plan’s rule, the escalation estimate on the final labels remains positive with a confidence interval that excludes zero, so the escalation result does not depend on the investigator’s adjudication; but the margin is thin, the Wilcoxon test is not significant at the 5% level, the three largest moves account for 88% of the summed return, and leave-one-event-out means range from 0.30% to 0.58%. On the investigator-adjudicated labels, the escalation response was 0.48% on 16 events (p = 0.013), of which the nine adjudicated events had a mean of 0.30% (p = 0.30). We read the escalation result as consistent in sign across every label set but established only for the posts on which the original coders agreed.</w:t>
      </w:r>
    </w:p>
    <w:p>
      <w:pPr>
        <w:keepNext/>
        <w:spacing w:after="120" w:before="240" w:line="240" w:lineRule="auto"/>
        <w:jc w:val="center"/>
      </w:pPr>
      <w:r>
        <w:rPr>
          <w:rFonts w:ascii="Times New Roman" w:cs="Times New Roman" w:eastAsia="Times New Roman" w:hAnsi="Times New Roman"/>
          <w:b/>
          <w:bCs/>
          <w:sz w:val="22"/>
          <w:szCs w:val="22"/>
        </w:rPr>
        <w:t xml:space="preserve">Table 6. Human-Label 30-Minute Directional Return by Label Set and Resolution of Disagreements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48"/>
        <w:gridCol w:w="2592"/>
        <w:gridCol w:w="2520"/>
      </w:tblGrid>
      <w:tr>
        <w:trPr>
          <w:cantSplit/>
          <w:tblHeader/>
        </w:trPr>
        <w:tc>
          <w:tcPr>
            <w:tcW w:type="dxa" w:w="424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Labels</w:t>
            </w:r>
          </w:p>
        </w:tc>
        <w:tc>
          <w:tcPr>
            <w:tcW w:type="dxa" w:w="259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w:t>
            </w:r>
          </w:p>
        </w:tc>
        <w:tc>
          <w:tcPr>
            <w:tcW w:type="dxa" w:w="25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w:t>
            </w:r>
          </w:p>
        </w:tc>
      </w:tr>
      <w:tr>
        <w:tc>
          <w:tcPr>
            <w:tcW w:type="dxa" w:w="9360"/>
            <w:gridSpan w:val="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i/>
                <w:iCs/>
                <w:sz w:val="18"/>
                <w:szCs w:val="18"/>
              </w:rPr>
              <w:t xml:space="preserve">Panel A. Final labels (two coders and the third coder)</w:t>
            </w:r>
          </w:p>
        </w:tc>
      </w:tr>
      <w:tr>
        <w:trPr>
          <w:cantSplit/>
          <w:tblHeader w:val="off"/>
        </w:trPr>
        <w:tc>
          <w:tcPr>
            <w:tcW w:type="dxa" w:w="4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All final labels</w:t>
            </w:r>
          </w:p>
        </w:tc>
        <w:tc>
          <w:tcPr>
            <w:tcW w:type="dxa" w:w="25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32; 0.94 (0.46); .0003; 0.38 to 1.73</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 0.45 (0.36); .084; 0.02 to 0.89</w:t>
            </w:r>
          </w:p>
        </w:tc>
      </w:tr>
      <w:tr>
        <w:trPr>
          <w:cantSplit/>
          <w:tblHeader w:val="off"/>
        </w:trPr>
        <w:tc>
          <w:tcPr>
            <w:tcW w:type="dxa" w:w="4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Coder consensus only</w:t>
            </w:r>
          </w:p>
        </w:tc>
        <w:tc>
          <w:tcPr>
            <w:tcW w:type="dxa" w:w="25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1.03 (0.47); .001; 0.39 to 1.96</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7; 0.71 (0.54); .016; 0.30 to 1.16</w:t>
            </w:r>
          </w:p>
        </w:tc>
      </w:tr>
      <w:tr>
        <w:trPr>
          <w:cantSplit/>
          <w:tblHeader w:val="off"/>
        </w:trPr>
        <w:tc>
          <w:tcPr>
            <w:tcW w:type="dxa" w:w="4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Decided with the third coder’s vote</w:t>
            </w:r>
          </w:p>
        </w:tc>
        <w:tc>
          <w:tcPr>
            <w:tcW w:type="dxa" w:w="25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4; mean 0.36</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 mean −0.17</w:t>
            </w:r>
          </w:p>
        </w:tc>
      </w:tr>
      <w:tr>
        <w:trPr>
          <w:cantSplit/>
          <w:tblHeader w:val="off"/>
        </w:trPr>
        <w:tc>
          <w:tcPr>
            <w:tcW w:type="dxa" w:w="4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Third coder alone on contested posts (sensitivity)</w:t>
            </w:r>
          </w:p>
        </w:tc>
        <w:tc>
          <w:tcPr>
            <w:tcW w:type="dxa" w:w="25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35; 0.85 (0.46); .0005; 0.33 to 1.62</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 0.45 (0.36); .084; 0.01 to 0.90</w:t>
            </w:r>
          </w:p>
        </w:tc>
      </w:tr>
      <w:tr>
        <w:tc>
          <w:tcPr>
            <w:tcW w:type="dxa" w:w="9360"/>
            <w:gridSpan w:val="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i/>
                <w:iCs/>
                <w:sz w:val="18"/>
                <w:szCs w:val="18"/>
              </w:rPr>
              <w:t xml:space="preserve">Panel B. Investigator-adjudicated labels (earlier analysis)</w:t>
            </w:r>
          </w:p>
        </w:tc>
      </w:tr>
      <w:tr>
        <w:trPr>
          <w:cantSplit/>
          <w:tblHeader w:val="off"/>
        </w:trPr>
        <w:tc>
          <w:tcPr>
            <w:tcW w:type="dxa" w:w="42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All investigator-adjudicated labels</w:t>
            </w:r>
          </w:p>
        </w:tc>
        <w:tc>
          <w:tcPr>
            <w:tcW w:type="dxa" w:w="25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1.05 (0.47); .0003; 0.44 to 1.95</w:t>
            </w:r>
          </w:p>
        </w:tc>
        <w:tc>
          <w:tcPr>
            <w:tcW w:type="dxa" w:w="25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(0.40); .013; 0.17 to 0.80</w:t>
            </w:r>
          </w:p>
        </w:tc>
      </w:tr>
      <w:tr>
        <w:trPr>
          <w:cantSplit/>
          <w:tblHeader w:val="off"/>
        </w:trPr>
        <w:tc>
          <w:tcPr>
            <w:tcW w:type="dxa" w:w="424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Adjudicated by the investigator only</w:t>
            </w:r>
          </w:p>
        </w:tc>
        <w:tc>
          <w:tcPr>
            <w:tcW w:type="dxa" w:w="259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w:t>
            </w:r>
          </w:p>
        </w:tc>
        <w:tc>
          <w:tcPr>
            <w:tcW w:type="dxa" w:w="25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9; 0.30 (—); .30; −0.11 to 0.71</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Cells give n; mean (median); two-sided Wilcoxon p; day-clustered bootstrap 95% CI of the mean. Tests are not reported for cells with fewer than six events. Same 95-event frame as Table 3.</w:t>
      </w:r>
    </w:p>
    <w:p>
      <w:pPr>
        <w:spacing w:after="0" w:before="0" w:line="480" w:lineRule="auto"/>
        <w:ind w:firstLine="720"/>
      </w:pPr>
      <w:r>
        <w:rPr>
          <w:rFonts w:ascii="Times New Roman" w:cs="Times New Roman" w:eastAsia="Times New Roman" w:hAnsi="Times New Roman"/>
          <w:i/>
          <w:iCs/>
        </w:rPr>
        <w:t xml:space="preserve">Placebo times.</w:t>
      </w:r>
      <w:r>
        <w:rPr>
          <w:rFonts w:ascii="Times New Roman" w:cs="Times New Roman" w:eastAsia="Times New Roman" w:hAnsi="Times New Roman"/>
        </w:rPr>
        <w:t xml:space="preserve"> To check that the co-movement is not an artifact of the hours in which posts fall, we drew placebo post times in the same clock hour on neighbouring days (same weekday status, at least two hours from any labelled post; 10,000 draws). The mean placebo return over 30 minutes is 0.04% for de-escalation (95th percentile 0.20; 99th percentile 0.27; observed 0.93% on the 31 of 32 events with a placebo pool), and none of the 10,000 draws reaches the observed value. For escalation, it is 0.07% (95th percentile 0.27; 99th percentile 0.38; observed 0.45% on all ten events), and 0.2% of the draws reach the observed value. A second placebo uses only the 20% of candidate times whose return over the preceding 30 minutes is closest to the event’s own (on average 0.49% for de-escalation events and 0.20% for escalation events). Its means are 0.05% and 0.16% (95th percentiles 0.20 and 0.36); no draw reaches the observed de-escalation value, and 1% of the draws reach the observed escalation value. Neither placebo is matched on news, so the placebos show that the post windows differ from comparable hours with comparable preceding drift, not that they differ from comparable news hours.</w:t>
      </w:r>
    </w:p>
    <w:p>
      <w:pPr>
        <w:keepNext/>
        <w:spacing w:after="0" w:before="240" w:line="240" w:lineRule="auto"/>
        <w:jc w:val="center"/>
      </w:pPr>
      <w:r>
        <w:drawing>
          <wp:inline distT="0" distB="0" distL="0" distR="0">
            <wp:extent cx="5715000" cy="2286000"/>
            <wp:effectExtent t="0" r="0" b="0" l="0"/>
            <wp:docPr id="3" name="fig_path_v3.png" descr="Figure 3. Directional WTI Return Around Human-Labelled Posts" title="Figure 3. Directional WTI Return Around Human-Labelled P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3. Directional WTI Return Around Human-Labelled Posts</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Return relative to the price at the post time; final human labels (de-escalation n = 32, escalation n = 10). Lines show the mean ± 1 SE and the median; the gray band is the 95% band of the mean at placebo times.</w:t>
      </w:r>
    </w:p>
    <w:p>
      <w:pPr>
        <w:spacing w:after="0" w:before="0" w:line="480" w:lineRule="auto"/>
        <w:ind w:firstLine="720"/>
      </w:pPr>
      <w:r>
        <w:rPr>
          <w:rFonts w:ascii="Times New Roman" w:cs="Times New Roman" w:eastAsia="Times New Roman" w:hAnsi="Times New Roman"/>
          <w:i/>
          <w:iCs/>
        </w:rPr>
        <w:t xml:space="preserve">Weekend and closed-market posts.</w:t>
      </w:r>
      <w:r>
        <w:rPr>
          <w:rFonts w:ascii="Times New Roman" w:cs="Times New Roman" w:eastAsia="Times New Roman" w:hAnsi="Times New Roman"/>
        </w:rPr>
        <w:t xml:space="preserve"> The signal posts without a window cannot be analysed at 30 minutes. As a descriptive check on the investigator-adjudicated labels, we computed the directional return from the last tick before the post to the first tick after the market reopened (median gap 49 hours, so the return contains all of the weekend’s news). For the 15 escalation posts, the mean is 4.14% (median 3.94%; 14 of 15 positive); for the 8 de-escalation posts, it is −0.10% (median −1.47%; 3 of 8 positive). The escalation gaps have the same sign as the weekday result, the de-escalation gaps are uninformative, and neither can be attributed to the post. We did not collect the forward tick data needed to repeat this check on the final labels.</w:t>
      </w:r>
    </w:p>
    <w:p>
      <w:pPr>
        <w:spacing w:after="0" w:before="0" w:line="480" w:lineRule="auto"/>
        <w:ind w:firstLine="720"/>
      </w:pPr>
      <w:r>
        <w:rPr>
          <w:rFonts w:ascii="Times New Roman" w:cs="Times New Roman" w:eastAsia="Times New Roman" w:hAnsi="Times New Roman"/>
          <w:i/>
          <w:iCs/>
        </w:rPr>
        <w:t xml:space="preserve">Pre-post drift.</w:t>
      </w:r>
      <w:r>
        <w:rPr>
          <w:rFonts w:ascii="Times New Roman" w:cs="Times New Roman" w:eastAsia="Times New Roman" w:hAnsi="Times New Roman"/>
        </w:rPr>
        <w:t xml:space="preserve"> On the 29 de-escalation events with a price 60 minutes before the post, the 30 minutes before the post also exceed the placebo (0.48%, against a placebo mean of 0.08% and a 95th percentile of 0.24), as does the preceding hour (0.76% against 0.12%); no placebo draw reaches either value, and tick counts in the half hour before a de-escalation post are 19% higher than in comparable hours. The mean path before de-escalation posts rises by about half a percentage point between 20 and 15 minutes before the post (Figure 3); the median shows no such step, so a few events moving together produce it. For escalation, the preceding 30 minutes are not distinguishable from the placebo (0.23% against 0.09%; 18% of the draws reach the observed value; nine events), and neither is the preceding hour. We describe the de-escalation drift as larger than in comparable hours and of unidentified cause. The market may be reacting to news that the post then repeats, or the same development may move both. The drift does not show leakage or any party’s conduct, and on the earlier labels whether an outside source reported a decision before the post made no difference to it (30 events, p = 0.90; Appendix E).</w:t>
      </w:r>
    </w:p>
    <w:p>
      <w:pPr>
        <w:spacing w:after="0" w:before="0" w:line="480" w:lineRule="auto"/>
        <w:ind w:firstLine="720"/>
      </w:pPr>
      <w:r>
        <w:rPr>
          <w:rFonts w:ascii="Times New Roman" w:cs="Times New Roman" w:eastAsia="Times New Roman" w:hAnsi="Times New Roman"/>
          <w:i/>
          <w:iCs/>
        </w:rPr>
        <w:t xml:space="preserve">Robustness.</w:t>
      </w:r>
      <w:r>
        <w:rPr>
          <w:rFonts w:ascii="Times New Roman" w:cs="Times New Roman" w:eastAsia="Times New Roman" w:hAnsi="Times New Roman"/>
        </w:rPr>
        <w:t xml:space="preserve"> Table 7 varies one feature of the analysis at a time. For de-escalation, the post-period move is positive with two-sided p ≤ 0.01 in every variant, including when the three events on March 23 and April 7 are dropped (mean 0.70%, median 0.47%) and when only posts on which both coders agreed are used. For escalation, the move is positive in every variant, but with ten events it reaches p &lt; 0.05 in only six of the ten variants (otherwise p = 0.084 to 0.098, and 0.38 over 60 minutes). The variants change the cluster rule, the window, or the labels of largely the same events, so they are not independent confirmations. The de-escalation median is stable at 0.46% to 0.47% across the 30-minute variants, whereas the mean is driven by a few events: the three largest de-escalation moves (2.7%, 3.3%, and 10.5%) make up 55% of the summed move, and leave-one-event-out means range from 0.63% to 1.00%. Three hours of tick data could not be retrieved; one of them affects the 60-minute window of one escalation event.</w:t>
      </w:r>
    </w:p>
    <w:p>
      <w:pPr>
        <w:spacing w:after="0" w:before="0" w:line="480" w:lineRule="auto"/>
        <w:ind w:firstLine="720"/>
      </w:pPr>
      <w:r>
        <w:rPr>
          <w:rFonts w:ascii="Times New Roman" w:cs="Times New Roman" w:eastAsia="Times New Roman" w:hAnsi="Times New Roman"/>
        </w:rPr>
        <w:t xml:space="preserve">The excess of the 30 minutes after a post over the 30 minutes before it is borderline for de-escalation (two-sided p between 0.044 and 0.100 across cluster rules) and absent for escalation (p between 0.41 and 0.52). The answer depends on the window. Over 5 and 15 minutes, the move after de-escalation posts is not preceded by drift (pre-window means −0.05% and −0.03%; paired excess 0.65 and 0.71 points; p = 0.004 and 0.009); for escalation, the paired excess is 0.56 and 0.44 points but not significant (p = 0.11 and 0.13). Over 60 minutes, the earlier drift has caught up for de-escalation (paired difference −0.10, p = 0.70). The short-window statement for de-escalation is the one we can defend, but we chose the windows to rely on after seeing the robustness results on the earlier labels, and a five-minute pre-window cannot capture drift that occurs 30 to 15 minutes before the post. Post time stamps come from the archive at one-second precision and are matched to a dealer quote feed whose latency we cannot test; a tick stamped in the same second as the post is counted as preceding it.</w:t>
      </w:r>
    </w:p>
    <w:p>
      <w:pPr>
        <w:keepNext/>
        <w:spacing w:after="120" w:before="240" w:line="240" w:lineRule="auto"/>
        <w:jc w:val="center"/>
      </w:pPr>
      <w:r>
        <w:rPr>
          <w:rFonts w:ascii="Times New Roman" w:cs="Times New Roman" w:eastAsia="Times New Roman" w:hAnsi="Times New Roman"/>
          <w:b/>
          <w:bCs/>
          <w:sz w:val="22"/>
          <w:szCs w:val="22"/>
        </w:rPr>
        <w:t xml:space="preserve">Table 7. Robustness of the Tick-Level Result (Final Human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4"/>
        <w:gridCol w:w="3532"/>
        <w:gridCol w:w="3474"/>
      </w:tblGrid>
      <w:tr>
        <w:trPr>
          <w:cantSplit/>
          <w:tblHeader/>
        </w:trPr>
        <w:tc>
          <w:tcPr>
            <w:tcW w:type="dxa" w:w="23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Variant</w:t>
            </w:r>
          </w:p>
        </w:tc>
        <w:tc>
          <w:tcPr>
            <w:tcW w:type="dxa" w:w="353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 n, post-30 mean (median), paired post − pre (p)</w:t>
            </w:r>
          </w:p>
        </w:tc>
        <w:tc>
          <w:tcPr>
            <w:tcW w:type="dxa" w:w="347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 n, post-30 mean (median), paired post − pre (p)</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Baseline (3-hour filter)</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32, 0.94 (0.46), +0.45 (.052)</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 0.45 (0.36), +0.25 (.49)</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No cluster filter</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36, 0.86 (0.46), +0.44 (.044)</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13, 0.43 (0.30), +0.20 (.52)</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6-hour filter</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27, 1.00 (0.47), +0.42 (.10)</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9, 0.48 (0.46), +0.27 (.50)</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Both coders agreed before adjudication</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1.03 (0.47), +0.44 (.090)</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7, 0.71 (0.54), +0.44 (.16)</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Window 5 minutes</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32, 0.60 (0.19), +0.65 (.004)</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 0.55 (0.19), +0.56 (.11)</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Window 15 minutes</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32, 0.68 (0.40), +0.71 (.009)</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 0.60 (0.44), +0.44 (.13)</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Window 60 minutes</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31, 1.09 (0.25), −0.10 (.70)</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 0.39 (0.20), +0.51 (.25)</w:t>
            </w:r>
          </w:p>
        </w:tc>
      </w:tr>
      <w:tr>
        <w:trPr>
          <w:cantSplit/>
          <w:tblHeader w:val="off"/>
        </w:trPr>
        <w:tc>
          <w:tcPr>
            <w:tcW w:type="dxa" w:w="23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Drop March 23 and April 7 (three events)</w:t>
            </w:r>
          </w:p>
        </w:tc>
        <w:tc>
          <w:tcPr>
            <w:tcW w:type="dxa" w:w="353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0.70 (0.47), +0.46 (.046)</w:t>
            </w:r>
          </w:p>
        </w:tc>
        <w:tc>
          <w:tcPr>
            <w:tcW w:type="dxa" w:w="347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10, 0.45 (0.36), +0.25 (.49)</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Mean directional returns in percent; p-values are two-sided Wilcoxon tests of post minus pre, computed on the events with both windows (28 and 9 events over 60 minutes; 12 escalation events without the cluster filter). The variants are not independent, and p-values are unadjusted.</w:t>
      </w:r>
    </w:p>
    <w:p>
      <w:pPr>
        <w:pStyle w:val="Heading1"/>
        <w:keepNext/>
        <w:spacing w:after="0" w:before="240" w:line="480" w:lineRule="auto"/>
        <w:jc w:val="center"/>
      </w:pPr>
      <w:r>
        <w:rPr>
          <w:rFonts w:ascii="Times New Roman" w:cs="Times New Roman" w:eastAsia="Times New Roman" w:hAnsi="Times New Roman"/>
          <w:b/>
          <w:bCs/>
        </w:rPr>
        <w:t xml:space="preserve">Discussion</w:t>
      </w:r>
    </w:p>
    <w:p>
      <w:pPr>
        <w:pStyle w:val="Heading2"/>
        <w:keepNext/>
        <w:spacing w:after="0" w:before="0" w:line="480" w:lineRule="auto"/>
      </w:pPr>
      <w:r>
        <w:rPr>
          <w:rFonts w:ascii="Times New Roman" w:cs="Times New Roman" w:eastAsia="Times New Roman" w:hAnsi="Times New Roman"/>
          <w:b/>
          <w:bCs/>
        </w:rPr>
        <w:t xml:space="preserve">What the Evidence Supports</w:t>
      </w:r>
    </w:p>
    <w:p>
      <w:pPr>
        <w:spacing w:after="0" w:before="0" w:line="480" w:lineRule="auto"/>
        <w:ind w:firstLine="720"/>
      </w:pPr>
      <w:r>
        <w:rPr>
          <w:rFonts w:ascii="Times New Roman" w:cs="Times New Roman" w:eastAsia="Times New Roman" w:hAnsi="Times New Roman"/>
        </w:rPr>
        <w:t xml:space="preserve">The evidence supports five statements. First, during the closure, oil moved in the direction of posts that humans labelled de-escalation (0.94% over 30 minutes; median 0.46%), and the direction is robust to the choices we varied. Second, oil also moved in the direction of posts that humans labelled escalation (0.45%), but this result rests on ten events, is carried by the seven on which the original coders agreed, and is not significant by the Wilcoxon test. Third, the move cannot be attributed to the post itself beyond short windows: for de-escalation, it is preceded by drift larger than in comparable hours, and its excess over the preceding 30 minutes is only borderline; for escalation, there is no detectable drift, but the post move is also not detectably larger than the move before the post. Fourth, the model labels, including four runs under the humans’ own codebook, agree with the human labels at κ below 0.5 and over-label escalation, and the resulting escalation estimate (0.17% to 0.35%) is smaller than the human one. An exact decomposition attributes the shortfall to posts that humans read as de-escalation or as unrelated, although with so few human escalation events the difference itself is not statistically distinguishable from zero. Fifth, correcting a model-label estimate with a validated subsample removes the bias but, at this scale, requires human labels for a large share of the corpus before it improves accuracy.</w:t>
      </w:r>
    </w:p>
    <w:p>
      <w:pPr>
        <w:pStyle w:val="Heading2"/>
        <w:keepNext/>
        <w:spacing w:after="0" w:before="0" w:line="480" w:lineRule="auto"/>
      </w:pPr>
      <w:r>
        <w:rPr>
          <w:rFonts w:ascii="Times New Roman" w:cs="Times New Roman" w:eastAsia="Times New Roman" w:hAnsi="Times New Roman"/>
          <w:b/>
          <w:bCs/>
        </w:rPr>
        <w:t xml:space="preserve">Contributions and Implications for IS Research</w:t>
      </w:r>
    </w:p>
    <w:p>
      <w:pPr>
        <w:spacing w:after="0" w:before="0" w:line="480" w:lineRule="auto"/>
        <w:ind w:firstLine="720"/>
      </w:pPr>
      <w:r>
        <w:rPr>
          <w:rFonts w:ascii="Times New Roman" w:cs="Times New Roman" w:eastAsia="Times New Roman" w:hAnsi="Times New Roman"/>
        </w:rPr>
        <w:t xml:space="preserve">The paper’s main contribution is a worked example of how the labelling of text changes an event-study estimate. Agreement between model runs was high (κ between 0.62 and 0.96, and between 0.69 and 0.84 across four runs of three model sizes), whereas agreement with human coders was moderate (0.28 to 0.56 by round, 0.48 overall), and re-running the same model with the humans’ codebook did not help. The error was concentrated in one class, and it changed the estimate by changing which events entered that class. The misclassification identity makes the mechanism visible: what matters is not only how many events are misclassified but where they come from and how their outcomes differ from those of the target class. The correction simulation adds a practical answer to the question researchers ask next, namely how much human labelling would be enough.</w:t>
      </w:r>
    </w:p>
    <w:p>
      <w:pPr>
        <w:spacing w:after="0" w:before="0" w:line="480" w:lineRule="auto"/>
        <w:ind w:firstLine="720"/>
      </w:pPr>
      <w:r>
        <w:rPr>
          <w:rFonts w:ascii="Times New Roman" w:cs="Times New Roman" w:eastAsia="Times New Roman" w:hAnsi="Times New Roman"/>
        </w:rPr>
        <w:t xml:space="preserve">LLMs are now common measurement instruments in IS research on platforms and digital traces. For such work, the case suggests a short checklist. Researchers should (1) report validity against human coders by class, using a prevalence-robust measure, and not only the consistency between model runs; (2) give the model and the human coders the same codebook and state who wrote it and when; (3) compare estimates under alternative label sets on the same events with clustered inference, and decompose any difference with the misclassification identity, which shows whether it comes from contamination by other classes or from a different response among correctly labelled events; (4) resolve coder disagreements without the investigator, or report the share of labels the investigator decided, by class, together with results with and without them; (5) report, by class, the events lost for lack of an outcome window; and (6) when only a subsample can be validated, check by simulation on the validated data whether a design-based correction is more accurate than the model-label estimate at the available sample size.</w:t>
      </w:r>
    </w:p>
    <w:p>
      <w:pPr>
        <w:spacing w:after="0" w:before="0" w:line="480" w:lineRule="auto"/>
        <w:ind w:firstLine="720"/>
      </w:pPr>
      <w:r>
        <w:rPr>
          <w:rFonts w:ascii="Times New Roman" w:cs="Times New Roman" w:eastAsia="Times New Roman" w:hAnsi="Times New Roman"/>
        </w:rPr>
        <w:t xml:space="preserve">A further, descriptive contribution is a documented case in which oil moves with a head of state’s posts within minutes, yet we cannot say that the post is the news. The paper does not offer a theory of platform-mediated speech, and no platform feature varies in our data.</w:t>
      </w:r>
    </w:p>
    <w:p>
      <w:pPr>
        <w:pStyle w:val="Heading2"/>
        <w:keepNext/>
        <w:spacing w:after="0" w:before="0" w:line="480" w:lineRule="auto"/>
      </w:pPr>
      <w:r>
        <w:rPr>
          <w:rFonts w:ascii="Times New Roman" w:cs="Times New Roman" w:eastAsia="Times New Roman" w:hAnsi="Times New Roman"/>
          <w:b/>
          <w:bCs/>
        </w:rPr>
        <w:t xml:space="preserve">Limitations</w:t>
      </w:r>
    </w:p>
    <w:p>
      <w:pPr>
        <w:spacing w:after="0" w:before="0" w:line="480" w:lineRule="auto"/>
        <w:ind w:firstLine="720"/>
      </w:pPr>
      <w:r>
        <w:rPr>
          <w:rFonts w:ascii="Times New Roman" w:cs="Times New Roman" w:eastAsia="Times New Roman" w:hAnsi="Times New Roman"/>
        </w:rPr>
        <w:t xml:space="preserve">Identification is weak. Posts follow volatile hours, all 20 cases we examined in market-wire coverage show other drivers, and for de-escalation the pre-post drift is about half the size of the post move over 30 minutes and as large over 60 minutes. The tick analysis separates the two only at 5 to 15 minutes, on 32 and 10 events from one conflict, one sender, and one asset, and it relies on a dealer quote feed rather than exchange futures, with contract rolls and time stamp alignment untested. The placebos are matched on clock hour, weekday, and preceding drift but not on news, and the check on weekend posts uses the investigator-adjudicated labels. Three events supply 55% of the de-escalation mean and 88% of the escalation mean, and because weekend and off-hours posts lack a window, half of the escalation signal posts are lost against 18% of de-escalation posts, so the two classes are selected differently.</w:t>
      </w:r>
    </w:p>
    <w:p>
      <w:pPr>
        <w:spacing w:after="0" w:before="0" w:line="480" w:lineRule="auto"/>
        <w:ind w:firstLine="720"/>
      </w:pPr>
      <w:r>
        <w:rPr>
          <w:rFonts w:ascii="Times New Roman" w:cs="Times New Roman" w:eastAsia="Times New Roman" w:hAnsi="Times New Roman"/>
        </w:rPr>
        <w:t xml:space="preserve">The human labels are a benchmark, not the truth. The original coders agree at κ = 0.51 to 0.69 and come from the authors’ department; the third coder has no training in the domain and agrees with the original consensus on the control posts at only κ = 0.45; and all three coders remembered the course of the war, so the labels may reflect hindsight. For the same reason, the decomposition is an accounting relative to that benchmark, and the correction simulation measures closeness to it rather than to a true response. The model comparison uses one vendor’s model family under one codebook, all runs used default sampling settings that we did not control, and no other family, few-shot, or reasoning variant was run. We set the decision rule for a prompt explanation ourselves (κ ≥ 0.60 and escalation precision ≥ 0.70). The label-set contrasts are not corrected for multiplicity. Finally, the primary sample was redefined four times after label quality and earlier outcomes were known, the plans are not an independent registry, and the windows we rely on were chosen after they were seen. The arrival-process, event-explanation, simulation, and theory-motivated analyses were run after, or independently of, the labelling question and are exploratory or low-powered (Appendices D to F).</w:t>
      </w:r>
    </w:p>
    <w:p>
      <w:pPr>
        <w:pStyle w:val="Heading2"/>
        <w:keepNext/>
        <w:spacing w:after="0" w:before="0" w:line="480" w:lineRule="auto"/>
      </w:pPr>
      <w:r>
        <w:rPr>
          <w:rFonts w:ascii="Times New Roman" w:cs="Times New Roman" w:eastAsia="Times New Roman" w:hAnsi="Times New Roman"/>
          <w:b/>
          <w:bCs/>
        </w:rPr>
        <w:t xml:space="preserve">Future Research</w:t>
      </w:r>
    </w:p>
    <w:p>
      <w:pPr>
        <w:spacing w:after="0" w:before="0" w:line="480" w:lineRule="auto"/>
        <w:ind w:firstLine="720"/>
      </w:pPr>
      <w:r>
        <w:rPr>
          <w:rFonts w:ascii="Times New Roman" w:cs="Times New Roman" w:eastAsia="Times New Roman" w:hAnsi="Times New Roman"/>
        </w:rPr>
        <w:t xml:space="preserve">The most informative next steps are replication on other episodes with human-validated labels, with independent coders trained in the domain who resolve disagreements without knowing the hypotheses; other model families and few-shot or reasoning variants; a latent-class analysis of all raters, for which the econometrics of misclassification supplies identification conditions (Hu 2008); exchange futures data with verified time stamps, together with next-open returns for weekend posts; and a placebo matched on news.</w:t>
      </w:r>
    </w:p>
    <w:p>
      <w:pPr>
        <w:pStyle w:val="Heading1"/>
        <w:keepNext/>
        <w:spacing w:after="0" w:before="240" w:line="480" w:lineRule="auto"/>
        <w:jc w:val="center"/>
      </w:pPr>
      <w:r>
        <w:rPr>
          <w:rFonts w:ascii="Times New Roman" w:cs="Times New Roman" w:eastAsia="Times New Roman" w:hAnsi="Times New Roman"/>
          <w:b/>
          <w:bCs/>
        </w:rPr>
        <w:t xml:space="preserve">Conclusion</w:t>
      </w:r>
    </w:p>
    <w:p>
      <w:pPr>
        <w:spacing w:after="0" w:before="0" w:line="480" w:lineRule="auto"/>
        <w:ind w:firstLine="720"/>
      </w:pPr>
      <w:r>
        <w:rPr>
          <w:rFonts w:ascii="Times New Roman" w:cs="Times New Roman" w:eastAsia="Times New Roman" w:hAnsi="Times New Roman"/>
        </w:rPr>
        <w:t xml:space="preserve">During the 2026 Hormuz closure, oil moved with posts that humans labelled de-escalation, and, on fewer and less certain events, with posts that humans labelled escalation. The model labels that first suggested a one-sided response understated the escalation response because they added posts that humans do not read as escalation, above all de-escalation posts, and an exact decomposition attributes the shortfall to those posts. A clearer codebook did not repair the labels, even for the same model, and an independent third coder showed that the investigator’s own adjudication had leaned toward escalation. Correcting the model-label estimate with a validated subsample would have required human labels for a large share of the posts. The co-movement itself cannot be separated from earlier drift beyond short windows. We offer the case as an audited example of why agreement with human coders, and not agreement between model runs, is the evidence a labelling needs before it is linked to market outcomes.</w:t>
      </w:r>
    </w:p>
    <w:p>
      <w:pPr>
        <w:pStyle w:val="Heading1"/>
        <w:keepNext/>
        <w:spacing w:after="0" w:before="240" w:line="480" w:lineRule="auto"/>
        <w:jc w:val="center"/>
      </w:pPr>
      <w:r>
        <w:rPr>
          <w:rFonts w:ascii="Times New Roman" w:cs="Times New Roman" w:eastAsia="Times New Roman" w:hAnsi="Times New Roman"/>
          <w:b/>
          <w:bCs/>
        </w:rPr>
        <w:t xml:space="preserve">Declarations</w:t>
      </w:r>
    </w:p>
    <w:p>
      <w:pPr>
        <w:spacing w:after="0" w:before="0" w:line="480" w:lineRule="auto"/>
      </w:pPr>
      <w:r>
        <w:rPr>
          <w:rFonts w:ascii="Times New Roman" w:cs="Times New Roman" w:eastAsia="Times New Roman" w:hAnsi="Times New Roman"/>
          <w:i/>
          <w:iCs/>
        </w:rPr>
        <w:t xml:space="preserve">Use of generative AI.</w:t>
      </w:r>
      <w:r>
        <w:rPr>
          <w:rFonts w:ascii="Times New Roman" w:cs="Times New Roman" w:eastAsia="Times New Roman" w:hAnsi="Times New Roman"/>
        </w:rPr>
        <w:t xml:space="preserve"> Large language models were used as classification instruments in the study, as described in the Labels section and Appendix B. Generative AI tools were also used to assist with analysis code and with drafting and editing the manuscript; the authors reviewed all content and take full responsibility for it. [Authors: check this statement against the journal’s current disclosure policy before submission.]</w:t>
      </w:r>
    </w:p>
    <w:p>
      <w:pPr>
        <w:spacing w:after="0" w:before="0" w:line="480" w:lineRule="auto"/>
      </w:pPr>
      <w:r>
        <w:rPr>
          <w:rFonts w:ascii="Times New Roman" w:cs="Times New Roman" w:eastAsia="Times New Roman" w:hAnsi="Times New Roman"/>
          <w:i/>
          <w:iCs/>
        </w:rPr>
        <w:t xml:space="preserve">Data and code availability.</w:t>
      </w:r>
      <w:r>
        <w:rPr>
          <w:rFonts w:ascii="Times New Roman" w:cs="Times New Roman" w:eastAsia="Times New Roman" w:hAnsi="Times New Roman"/>
        </w:rPr>
        <w:t xml:space="preserve"> Code, analysis plans, coder outputs, and results are held in an anonymized repository and are available on request; the post archive and market data come from public sources.</w:t>
      </w:r>
    </w:p>
    <w:p>
      <w:pPr>
        <w:pStyle w:val="Heading1"/>
        <w:keepNext/>
        <w:pageBreakBefore/>
        <w:spacing w:after="0" w:before="240" w:line="480" w:lineRule="auto"/>
        <w:jc w:val="center"/>
      </w:pPr>
      <w:r>
        <w:rPr>
          <w:rFonts w:ascii="Times New Roman" w:cs="Times New Roman" w:eastAsia="Times New Roman" w:hAnsi="Times New Roman"/>
          <w:b/>
          <w:bCs/>
        </w:rPr>
        <w:t xml:space="preserve">References</w:t>
      </w:r>
    </w:p>
    <w:p>
      <w:pPr>
        <w:spacing w:after="0" w:before="0" w:line="480" w:lineRule="auto"/>
        <w:ind w:left="720" w:hanging="720"/>
      </w:pPr>
      <w:r>
        <w:rPr>
          <w:rFonts w:ascii="Times New Roman" w:cs="Times New Roman" w:eastAsia="Times New Roman" w:hAnsi="Times New Roman"/>
        </w:rPr>
        <w:t xml:space="preserve">Aigner, D. J. 1973. “Regression with a Binary Independent Variable Subject to Errors of Observation,”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(1:1), pp. 49-59.</w:t>
      </w:r>
    </w:p>
    <w:p>
      <w:pPr>
        <w:spacing w:after="0" w:before="0" w:line="480" w:lineRule="auto"/>
        <w:ind w:left="720" w:hanging="720"/>
      </w:pPr>
      <w:r>
        <w:rPr>
          <w:rFonts w:ascii="Times New Roman" w:cs="Times New Roman" w:eastAsia="Times New Roman" w:hAnsi="Times New Roman"/>
        </w:rPr>
        <w:t xml:space="preserve">Angelopoulos, A. N., Bates, S., Fannjiang, C., Jordan, M. I., and Zrnic, T. 2023. “Prediction-Powered Inference,” </w:t>
      </w:r>
      <w:r>
        <w:rPr>
          <w:rFonts w:ascii="Times New Roman" w:cs="Times New Roman" w:eastAsia="Times New Roman" w:hAnsi="Times New Roman"/>
          <w:i/>
          <w:iCs/>
        </w:rPr>
        <w:t xml:space="preserve">Science</w:t>
      </w:r>
      <w:r>
        <w:rPr>
          <w:rFonts w:ascii="Times New Roman" w:cs="Times New Roman" w:eastAsia="Times New Roman" w:hAnsi="Times New Roman"/>
        </w:rPr>
        <w:t xml:space="preserve"> (382:6671), pp. 669-674.</w:t>
      </w:r>
    </w:p>
    <w:p>
      <w:pPr>
        <w:spacing w:after="0" w:before="0" w:line="480" w:lineRule="auto"/>
        <w:ind w:left="720" w:hanging="720"/>
      </w:pPr>
      <w:r>
        <w:rPr>
          <w:rFonts w:ascii="Times New Roman" w:cs="Times New Roman" w:eastAsia="Times New Roman" w:hAnsi="Times New Roman"/>
        </w:rPr>
        <w:t xml:space="preserve">Austin, J. L. 1962. </w:t>
      </w:r>
      <w:r>
        <w:rPr>
          <w:rFonts w:ascii="Times New Roman" w:cs="Times New Roman" w:eastAsia="Times New Roman" w:hAnsi="Times New Roman"/>
          <w:i/>
          <w:iCs/>
        </w:rPr>
        <w:t xml:space="preserve">How to Do Things with Words</w:t>
      </w:r>
      <w:r>
        <w:rPr>
          <w:rFonts w:ascii="Times New Roman" w:cs="Times New Roman" w:eastAsia="Times New Roman" w:hAnsi="Times New Roman"/>
        </w:rPr>
        <w:t xml:space="preserve">, Oxford, UK: Clarendon Press.</w:t>
      </w:r>
    </w:p>
    <w:p>
      <w:pPr>
        <w:spacing w:after="0" w:before="0" w:line="480" w:lineRule="auto"/>
        <w:ind w:left="720" w:hanging="720"/>
      </w:pPr>
      <w:r>
        <w:rPr>
          <w:rFonts w:ascii="Times New Roman" w:cs="Times New Roman" w:eastAsia="Times New Roman" w:hAnsi="Times New Roman"/>
        </w:rPr>
        <w:t xml:space="preserve">Barber, B. M., and Odean, T. 2008. “All That Glitters: The Effect of Attention and News on the Buying Behavior of Individual and Institutional Investors,” </w:t>
      </w:r>
      <w:r>
        <w:rPr>
          <w:rFonts w:ascii="Times New Roman" w:cs="Times New Roman" w:eastAsia="Times New Roman" w:hAnsi="Times New Roman"/>
          <w:i/>
          <w:iCs/>
        </w:rPr>
        <w:t xml:space="preserve">Review of Financial Studies</w:t>
      </w:r>
      <w:r>
        <w:rPr>
          <w:rFonts w:ascii="Times New Roman" w:cs="Times New Roman" w:eastAsia="Times New Roman" w:hAnsi="Times New Roman"/>
        </w:rPr>
        <w:t xml:space="preserve"> (21:2), pp. 785-818.</w:t>
      </w:r>
    </w:p>
    <w:p>
      <w:pPr>
        <w:spacing w:after="0" w:before="0" w:line="480" w:lineRule="auto"/>
        <w:ind w:left="720" w:hanging="720"/>
      </w:pPr>
      <w:r>
        <w:rPr>
          <w:rFonts w:ascii="Times New Roman" w:cs="Times New Roman" w:eastAsia="Times New Roman" w:hAnsi="Times New Roman"/>
        </w:rPr>
        <w:t xml:space="preserve">Blankespoor, E., Miller, G. S., and White, H. D. 2014. “The Role of Dissemination in Market Liquidity: Evidence from Firms’ Use of Twitter,” </w:t>
      </w:r>
      <w:r>
        <w:rPr>
          <w:rFonts w:ascii="Times New Roman" w:cs="Times New Roman" w:eastAsia="Times New Roman" w:hAnsi="Times New Roman"/>
          <w:i/>
          <w:iCs/>
        </w:rPr>
        <w:t xml:space="preserve">The Accounting Review</w:t>
      </w:r>
      <w:r>
        <w:rPr>
          <w:rFonts w:ascii="Times New Roman" w:cs="Times New Roman" w:eastAsia="Times New Roman" w:hAnsi="Times New Roman"/>
        </w:rPr>
        <w:t xml:space="preserve"> (89:1), pp. 79-112.</w:t>
      </w:r>
    </w:p>
    <w:p>
      <w:pPr>
        <w:spacing w:after="0" w:before="0" w:line="480" w:lineRule="auto"/>
        <w:ind w:left="720" w:hanging="720"/>
      </w:pPr>
      <w:r>
        <w:rPr>
          <w:rFonts w:ascii="Times New Roman" w:cs="Times New Roman" w:eastAsia="Times New Roman" w:hAnsi="Times New Roman"/>
        </w:rPr>
        <w:t xml:space="preserve">Bollen, J., Mao, H., and Zeng, X. 2011. “Twitter Mood Predicts the Stock Market,” </w:t>
      </w:r>
      <w:r>
        <w:rPr>
          <w:rFonts w:ascii="Times New Roman" w:cs="Times New Roman" w:eastAsia="Times New Roman" w:hAnsi="Times New Roman"/>
          <w:i/>
          <w:iCs/>
        </w:rPr>
        <w:t xml:space="preserve">Journal of Computational Science</w:t>
      </w:r>
      <w:r>
        <w:rPr>
          <w:rFonts w:ascii="Times New Roman" w:cs="Times New Roman" w:eastAsia="Times New Roman" w:hAnsi="Times New Roman"/>
        </w:rPr>
        <w:t xml:space="preserve"> (2:1), pp. 1-8.</w:t>
      </w:r>
    </w:p>
    <w:p>
      <w:pPr>
        <w:spacing w:after="0" w:before="0" w:line="480" w:lineRule="auto"/>
        <w:ind w:left="720" w:hanging="720"/>
      </w:pPr>
      <w:r>
        <w:rPr>
          <w:rFonts w:ascii="Times New Roman" w:cs="Times New Roman" w:eastAsia="Times New Roman" w:hAnsi="Times New Roman"/>
        </w:rPr>
        <w:t xml:space="preserve">Bollinger, C. R. 1996. “Bounding Mean Regressions When a Binary Regressor Is Mismeasured,”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(73:2), pp. 387-399.</w:t>
      </w:r>
    </w:p>
    <w:p>
      <w:pPr>
        <w:spacing w:after="0" w:before="0" w:line="480" w:lineRule="auto"/>
        <w:ind w:left="720" w:hanging="720"/>
      </w:pPr>
      <w:r>
        <w:rPr>
          <w:rFonts w:ascii="Times New Roman" w:cs="Times New Roman" w:eastAsia="Times New Roman" w:hAnsi="Times New Roman"/>
        </w:rPr>
        <w:t xml:space="preserve">Born, J. A., Myers, D. H., and Clark, W. J. 2017. “Trump Tweets and the Efficient Market Hypothesis,” </w:t>
      </w:r>
      <w:r>
        <w:rPr>
          <w:rFonts w:ascii="Times New Roman" w:cs="Times New Roman" w:eastAsia="Times New Roman" w:hAnsi="Times New Roman"/>
          <w:i/>
          <w:iCs/>
        </w:rPr>
        <w:t xml:space="preserve">Algorithmic Finance</w:t>
      </w:r>
      <w:r>
        <w:rPr>
          <w:rFonts w:ascii="Times New Roman" w:cs="Times New Roman" w:eastAsia="Times New Roman" w:hAnsi="Times New Roman"/>
        </w:rPr>
        <w:t xml:space="preserve"> (6:3-4), pp. 103-109.</w:t>
      </w:r>
    </w:p>
    <w:p>
      <w:pPr>
        <w:spacing w:after="0" w:before="0" w:line="480" w:lineRule="auto"/>
        <w:ind w:left="720" w:hanging="720"/>
      </w:pPr>
      <w:r>
        <w:rPr>
          <w:rFonts w:ascii="Times New Roman" w:cs="Times New Roman" w:eastAsia="Times New Roman" w:hAnsi="Times New Roman"/>
        </w:rPr>
        <w:t xml:space="preserve">Bound, J., Brown, C., and Mathiowetz, N. 2001. “Measurement Error in Survey Data,” in </w:t>
      </w:r>
      <w:r>
        <w:rPr>
          <w:rFonts w:ascii="Times New Roman" w:cs="Times New Roman" w:eastAsia="Times New Roman" w:hAnsi="Times New Roman"/>
          <w:i/>
          <w:iCs/>
        </w:rPr>
        <w:t xml:space="preserve">Handbook of Econometrics</w:t>
      </w:r>
      <w:r>
        <w:rPr>
          <w:rFonts w:ascii="Times New Roman" w:cs="Times New Roman" w:eastAsia="Times New Roman" w:hAnsi="Times New Roman"/>
        </w:rPr>
        <w:t xml:space="preserve"> (Volume 5), J. J. Heckman and E. Leamer (eds.), Amsterdam: North-Holland, pp. 3705-3843.</w:t>
      </w:r>
    </w:p>
    <w:p>
      <w:pPr>
        <w:spacing w:after="0" w:before="0" w:line="480" w:lineRule="auto"/>
        <w:ind w:left="720" w:hanging="720"/>
      </w:pPr>
      <w:r>
        <w:rPr>
          <w:rFonts w:ascii="Times New Roman" w:cs="Times New Roman" w:eastAsia="Times New Roman" w:hAnsi="Times New Roman"/>
        </w:rPr>
        <w:t xml:space="preserve">Cameron, A. C., and Trivedi, P. K. 2013. </w:t>
      </w:r>
      <w:r>
        <w:rPr>
          <w:rFonts w:ascii="Times New Roman" w:cs="Times New Roman" w:eastAsia="Times New Roman" w:hAnsi="Times New Roman"/>
          <w:i/>
          <w:iCs/>
        </w:rPr>
        <w:t xml:space="preserve">Regression Analysis of Count Data</w:t>
      </w:r>
      <w:r>
        <w:rPr>
          <w:rFonts w:ascii="Times New Roman" w:cs="Times New Roman" w:eastAsia="Times New Roman" w:hAnsi="Times New Roman"/>
        </w:rPr>
        <w:t xml:space="preserve"> (2nd ed.), Cambridge, UK: Cambridge University Press.</w:t>
      </w:r>
    </w:p>
    <w:p>
      <w:pPr>
        <w:spacing w:after="0" w:before="0" w:line="480" w:lineRule="auto"/>
        <w:ind w:left="720" w:hanging="720"/>
      </w:pPr>
      <w:r>
        <w:rPr>
          <w:rFonts w:ascii="Times New Roman" w:cs="Times New Roman" w:eastAsia="Times New Roman" w:hAnsi="Times New Roman"/>
        </w:rPr>
        <w:t xml:space="preserve">Chen, H., De, P., Hu, Y. J., and Hwang, B.-H. 2014. “Wisdom of Crowds: The Value of Stock Opinions Transmitted Through Social Media,” </w:t>
      </w:r>
      <w:r>
        <w:rPr>
          <w:rFonts w:ascii="Times New Roman" w:cs="Times New Roman" w:eastAsia="Times New Roman" w:hAnsi="Times New Roman"/>
          <w:i/>
          <w:iCs/>
        </w:rPr>
        <w:t xml:space="preserve">Review of Financial Studies</w:t>
      </w:r>
      <w:r>
        <w:rPr>
          <w:rFonts w:ascii="Times New Roman" w:cs="Times New Roman" w:eastAsia="Times New Roman" w:hAnsi="Times New Roman"/>
        </w:rPr>
        <w:t xml:space="preserve"> (27:5), pp. 1367-1403.</w:t>
      </w:r>
    </w:p>
    <w:p>
      <w:pPr>
        <w:spacing w:after="0" w:before="0" w:line="480" w:lineRule="auto"/>
        <w:ind w:left="720" w:hanging="720"/>
      </w:pPr>
      <w:r>
        <w:rPr>
          <w:rFonts w:ascii="Times New Roman" w:cs="Times New Roman" w:eastAsia="Times New Roman" w:hAnsi="Times New Roman"/>
        </w:rPr>
        <w:t xml:space="preserve">Clauset, A. 2020. “On the Frequency and Severity of Interstate Wars,” in </w:t>
      </w:r>
      <w:r>
        <w:rPr>
          <w:rFonts w:ascii="Times New Roman" w:cs="Times New Roman" w:eastAsia="Times New Roman" w:hAnsi="Times New Roman"/>
          <w:i/>
          <w:iCs/>
        </w:rPr>
        <w:t xml:space="preserve">Lewis Fry Richardson: His Intellectual Legacy and Influence in the Social Sciences</w:t>
      </w:r>
      <w:r>
        <w:rPr>
          <w:rFonts w:ascii="Times New Roman" w:cs="Times New Roman" w:eastAsia="Times New Roman" w:hAnsi="Times New Roman"/>
        </w:rPr>
        <w:t xml:space="preserve">, N. P. Gleditsch (ed.), Cham, Switzerland: Springer, pp. 113-127.</w:t>
      </w:r>
    </w:p>
    <w:p>
      <w:pPr>
        <w:spacing w:after="0" w:before="0" w:line="480" w:lineRule="auto"/>
        <w:ind w:left="720" w:hanging="720"/>
      </w:pPr>
      <w:r>
        <w:rPr>
          <w:rFonts w:ascii="Times New Roman" w:cs="Times New Roman" w:eastAsia="Times New Roman" w:hAnsi="Times New Roman"/>
        </w:rPr>
        <w:t xml:space="preserve">Cohen, J. 1960. “A Coefficient of Agreement for Nominal Scales,” </w:t>
      </w:r>
      <w:r>
        <w:rPr>
          <w:rFonts w:ascii="Times New Roman" w:cs="Times New Roman" w:eastAsia="Times New Roman" w:hAnsi="Times New Roman"/>
          <w:i/>
          <w:iCs/>
        </w:rPr>
        <w:t xml:space="preserve">Educational and Psychological Measurement</w:t>
      </w:r>
      <w:r>
        <w:rPr>
          <w:rFonts w:ascii="Times New Roman" w:cs="Times New Roman" w:eastAsia="Times New Roman" w:hAnsi="Times New Roman"/>
        </w:rPr>
        <w:t xml:space="preserve"> (20:1), pp. 37-46.</w:t>
      </w:r>
    </w:p>
    <w:p>
      <w:pPr>
        <w:spacing w:after="0" w:before="0" w:line="480" w:lineRule="auto"/>
        <w:ind w:left="720" w:hanging="720"/>
      </w:pPr>
      <w:r>
        <w:rPr>
          <w:rFonts w:ascii="Times New Roman" w:cs="Times New Roman" w:eastAsia="Times New Roman" w:hAnsi="Times New Roman"/>
        </w:rPr>
        <w:t xml:space="preserve">Cover, T. M., and Thomas, J. A. 2006. </w:t>
      </w:r>
      <w:r>
        <w:rPr>
          <w:rFonts w:ascii="Times New Roman" w:cs="Times New Roman" w:eastAsia="Times New Roman" w:hAnsi="Times New Roman"/>
          <w:i/>
          <w:iCs/>
        </w:rPr>
        <w:t xml:space="preserve">Elements of Information Theory</w:t>
      </w:r>
      <w:r>
        <w:rPr>
          <w:rFonts w:ascii="Times New Roman" w:cs="Times New Roman" w:eastAsia="Times New Roman" w:hAnsi="Times New Roman"/>
        </w:rPr>
        <w:t xml:space="preserve"> (2nd ed.), Hoboken, NJ: Wiley.</w:t>
      </w:r>
    </w:p>
    <w:p>
      <w:pPr>
        <w:spacing w:after="0" w:before="0" w:line="480" w:lineRule="auto"/>
        <w:ind w:left="720" w:hanging="720"/>
      </w:pPr>
      <w:r>
        <w:rPr>
          <w:rFonts w:ascii="Times New Roman" w:cs="Times New Roman" w:eastAsia="Times New Roman" w:hAnsi="Times New Roman"/>
        </w:rPr>
        <w:t xml:space="preserve">Crawford, V. P., and Sobel, J. 1982. “Strategic Information Transmission,”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(50:6), pp. 1431-1451.</w:t>
      </w:r>
    </w:p>
    <w:p>
      <w:pPr>
        <w:spacing w:after="0" w:before="0" w:line="480" w:lineRule="auto"/>
        <w:ind w:left="720" w:hanging="720"/>
      </w:pPr>
      <w:r>
        <w:rPr>
          <w:rFonts w:ascii="Times New Roman" w:cs="Times New Roman" w:eastAsia="Times New Roman" w:hAnsi="Times New Roman"/>
        </w:rPr>
        <w:t xml:space="preserve">Egami, N., Hinck, M., Stewart, B., and Wei, H. 2023. “Using Imperfect Surrogates for Downstream Inference: Design-Based Supervised Learning for Social Science Applications of Large Language Models,” in </w:t>
      </w:r>
      <w:r>
        <w:rPr>
          <w:rFonts w:ascii="Times New Roman" w:cs="Times New Roman" w:eastAsia="Times New Roman" w:hAnsi="Times New Roman"/>
          <w:i/>
          <w:iCs/>
        </w:rPr>
        <w:t xml:space="preserve">Advances in Neural Information Processing Systems 36</w:t>
      </w:r>
      <w:r>
        <w:rPr>
          <w:rFonts w:ascii="Times New Roman" w:cs="Times New Roman" w:eastAsia="Times New Roman" w:hAnsi="Times New Roman"/>
        </w:rPr>
        <w:t xml:space="preserve">, pp. 68589-68601.</w:t>
      </w:r>
    </w:p>
    <w:p>
      <w:pPr>
        <w:spacing w:after="0" w:before="0" w:line="480" w:lineRule="auto"/>
        <w:ind w:left="720" w:hanging="720"/>
      </w:pPr>
      <w:r>
        <w:rPr>
          <w:rFonts w:ascii="Times New Roman" w:cs="Times New Roman" w:eastAsia="Times New Roman" w:hAnsi="Times New Roman"/>
        </w:rPr>
        <w:t xml:space="preserve">Ge, Q., Kurov, A., and Wolfe, M. H. 2019. “Do Investors Care About Presidential Company-Specific Tweets?,” </w:t>
      </w:r>
      <w:r>
        <w:rPr>
          <w:rFonts w:ascii="Times New Roman" w:cs="Times New Roman" w:eastAsia="Times New Roman" w:hAnsi="Times New Roman"/>
          <w:i/>
          <w:iCs/>
        </w:rPr>
        <w:t xml:space="preserve">Journal of Financial Research</w:t>
      </w:r>
      <w:r>
        <w:rPr>
          <w:rFonts w:ascii="Times New Roman" w:cs="Times New Roman" w:eastAsia="Times New Roman" w:hAnsi="Times New Roman"/>
        </w:rPr>
        <w:t xml:space="preserve"> (42:2), pp. 213-242.</w:t>
      </w:r>
    </w:p>
    <w:p>
      <w:pPr>
        <w:spacing w:after="0" w:before="0" w:line="480" w:lineRule="auto"/>
        <w:ind w:left="720" w:hanging="720"/>
      </w:pPr>
      <w:r>
        <w:rPr>
          <w:rFonts w:ascii="Times New Roman" w:cs="Times New Roman" w:eastAsia="Times New Roman" w:hAnsi="Times New Roman"/>
        </w:rPr>
        <w:t xml:space="preserve">Gilardi, F., Alizadeh, M., and Kubli, M. 2023. “ChatGPT Outperforms Crowd Workers for Text-Annotation Tasks,” </w:t>
      </w:r>
      <w:r>
        <w:rPr>
          <w:rFonts w:ascii="Times New Roman" w:cs="Times New Roman" w:eastAsia="Times New Roman" w:hAnsi="Times New Roman"/>
          <w:i/>
          <w:iCs/>
        </w:rPr>
        <w:t xml:space="preserve">Proceedings of the National Academy of Sciences</w:t>
      </w:r>
      <w:r>
        <w:rPr>
          <w:rFonts w:ascii="Times New Roman" w:cs="Times New Roman" w:eastAsia="Times New Roman" w:hAnsi="Times New Roman"/>
        </w:rPr>
        <w:t xml:space="preserve"> (120:30), e2305016120.</w:t>
      </w:r>
    </w:p>
    <w:p>
      <w:pPr>
        <w:spacing w:after="0" w:before="0" w:line="480" w:lineRule="auto"/>
        <w:ind w:left="720" w:hanging="720"/>
      </w:pPr>
      <w:r>
        <w:rPr>
          <w:rFonts w:ascii="Times New Roman" w:cs="Times New Roman" w:eastAsia="Times New Roman" w:hAnsi="Times New Roman"/>
        </w:rPr>
        <w:t xml:space="preserve">Grimmer, J., and Stewart, B. M. 2013. “Text as Data: The Promise and Pitfalls of Automatic Content Analysis Methods for Political Texts,” </w:t>
      </w:r>
      <w:r>
        <w:rPr>
          <w:rFonts w:ascii="Times New Roman" w:cs="Times New Roman" w:eastAsia="Times New Roman" w:hAnsi="Times New Roman"/>
          <w:i/>
          <w:iCs/>
        </w:rPr>
        <w:t xml:space="preserve">Political Analysis</w:t>
      </w:r>
      <w:r>
        <w:rPr>
          <w:rFonts w:ascii="Times New Roman" w:cs="Times New Roman" w:eastAsia="Times New Roman" w:hAnsi="Times New Roman"/>
        </w:rPr>
        <w:t xml:space="preserve"> (21:3), pp. 267-297.</w:t>
      </w:r>
    </w:p>
    <w:p>
      <w:pPr>
        <w:spacing w:after="0" w:before="0" w:line="480" w:lineRule="auto"/>
        <w:ind w:left="720" w:hanging="720"/>
      </w:pPr>
      <w:r>
        <w:rPr>
          <w:rFonts w:ascii="Times New Roman" w:cs="Times New Roman" w:eastAsia="Times New Roman" w:hAnsi="Times New Roman"/>
        </w:rPr>
        <w:t xml:space="preserve">Gürkaynak, R. S., Sack, B., and Swanson, E. 2005. “Do Actions Speak Louder Than Words? The Response of Asset Prices to Monetary Policy Actions and Statements,” </w:t>
      </w:r>
      <w:r>
        <w:rPr>
          <w:rFonts w:ascii="Times New Roman" w:cs="Times New Roman" w:eastAsia="Times New Roman" w:hAnsi="Times New Roman"/>
          <w:i/>
          <w:iCs/>
        </w:rPr>
        <w:t xml:space="preserve">International Journal of Central Banking</w:t>
      </w:r>
      <w:r>
        <w:rPr>
          <w:rFonts w:ascii="Times New Roman" w:cs="Times New Roman" w:eastAsia="Times New Roman" w:hAnsi="Times New Roman"/>
        </w:rPr>
        <w:t xml:space="preserve"> (1:1), pp. 55-93.</w:t>
      </w:r>
    </w:p>
    <w:p>
      <w:pPr>
        <w:spacing w:after="0" w:before="0" w:line="480" w:lineRule="auto"/>
        <w:ind w:left="720" w:hanging="720"/>
      </w:pPr>
      <w:r>
        <w:rPr>
          <w:rFonts w:ascii="Times New Roman" w:cs="Times New Roman" w:eastAsia="Times New Roman" w:hAnsi="Times New Roman"/>
        </w:rPr>
        <w:t xml:space="preserve">Holm, S. 1979. “A Simple Sequentially Rejective Multiple Test Procedure,” </w:t>
      </w:r>
      <w:r>
        <w:rPr>
          <w:rFonts w:ascii="Times New Roman" w:cs="Times New Roman" w:eastAsia="Times New Roman" w:hAnsi="Times New Roman"/>
          <w:i/>
          <w:iCs/>
        </w:rPr>
        <w:t xml:space="preserve">Scandinavian Journal of Statistics</w:t>
      </w:r>
      <w:r>
        <w:rPr>
          <w:rFonts w:ascii="Times New Roman" w:cs="Times New Roman" w:eastAsia="Times New Roman" w:hAnsi="Times New Roman"/>
        </w:rPr>
        <w:t xml:space="preserve"> (6:2), pp. 65-70.</w:t>
      </w:r>
    </w:p>
    <w:p>
      <w:pPr>
        <w:spacing w:after="0" w:before="0" w:line="480" w:lineRule="auto"/>
        <w:ind w:left="720" w:hanging="720"/>
      </w:pPr>
      <w:r>
        <w:rPr>
          <w:rFonts w:ascii="Times New Roman" w:cs="Times New Roman" w:eastAsia="Times New Roman" w:hAnsi="Times New Roman"/>
        </w:rPr>
        <w:t xml:space="preserve">Holthausen, R. W., and Verrecchia, R. E. 1988. “The Effect of Sequential Information Releases on the Variance of Price Changes in an Intertemporal Multi-Asset Market,” </w:t>
      </w:r>
      <w:r>
        <w:rPr>
          <w:rFonts w:ascii="Times New Roman" w:cs="Times New Roman" w:eastAsia="Times New Roman" w:hAnsi="Times New Roman"/>
          <w:i/>
          <w:iCs/>
        </w:rPr>
        <w:t xml:space="preserve">Journal of Accounting Research</w:t>
      </w:r>
      <w:r>
        <w:rPr>
          <w:rFonts w:ascii="Times New Roman" w:cs="Times New Roman" w:eastAsia="Times New Roman" w:hAnsi="Times New Roman"/>
        </w:rPr>
        <w:t xml:space="preserve"> (26:1), pp. 82-106.</w:t>
      </w:r>
    </w:p>
    <w:p>
      <w:pPr>
        <w:spacing w:after="0" w:before="0" w:line="480" w:lineRule="auto"/>
        <w:ind w:left="720" w:hanging="720"/>
      </w:pPr>
      <w:r>
        <w:rPr>
          <w:rFonts w:ascii="Times New Roman" w:cs="Times New Roman" w:eastAsia="Times New Roman" w:hAnsi="Times New Roman"/>
        </w:rPr>
        <w:t xml:space="preserve">Houweling, H. W., and Kuné, J. B. 1984. “Do Outbreaks of War Follow a Poisson-Process?,” </w:t>
      </w:r>
      <w:r>
        <w:rPr>
          <w:rFonts w:ascii="Times New Roman" w:cs="Times New Roman" w:eastAsia="Times New Roman" w:hAnsi="Times New Roman"/>
          <w:i/>
          <w:iCs/>
        </w:rPr>
        <w:t xml:space="preserve">Journal of Conflict Resolution</w:t>
      </w:r>
      <w:r>
        <w:rPr>
          <w:rFonts w:ascii="Times New Roman" w:cs="Times New Roman" w:eastAsia="Times New Roman" w:hAnsi="Times New Roman"/>
        </w:rPr>
        <w:t xml:space="preserve"> (28:1), pp. 51-61.</w:t>
      </w:r>
    </w:p>
    <w:p>
      <w:pPr>
        <w:spacing w:after="0" w:before="0" w:line="480" w:lineRule="auto"/>
        <w:ind w:left="720" w:hanging="720"/>
      </w:pPr>
      <w:r>
        <w:rPr>
          <w:rFonts w:ascii="Times New Roman" w:cs="Times New Roman" w:eastAsia="Times New Roman" w:hAnsi="Times New Roman"/>
        </w:rPr>
        <w:t xml:space="preserve">Hu, Y. 2008. “Identification and Estimation of Nonlinear Models with Misclassification Error Using Instrumental Variables: A General Solution,”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(144:1), pp. 27-61.</w:t>
      </w:r>
    </w:p>
    <w:p>
      <w:pPr>
        <w:spacing w:after="0" w:before="0" w:line="480" w:lineRule="auto"/>
        <w:ind w:left="720" w:hanging="720"/>
      </w:pPr>
      <w:r>
        <w:rPr>
          <w:rFonts w:ascii="Times New Roman" w:cs="Times New Roman" w:eastAsia="Times New Roman" w:hAnsi="Times New Roman"/>
        </w:rPr>
        <w:t xml:space="preserve">Kamenica, E., and Gentzkow, M. 2011. “Bayesian Persuasion,” </w:t>
      </w:r>
      <w:r>
        <w:rPr>
          <w:rFonts w:ascii="Times New Roman" w:cs="Times New Roman" w:eastAsia="Times New Roman" w:hAnsi="Times New Roman"/>
          <w:i/>
          <w:iCs/>
        </w:rPr>
        <w:t xml:space="preserve">American Economic Review</w:t>
      </w:r>
      <w:r>
        <w:rPr>
          <w:rFonts w:ascii="Times New Roman" w:cs="Times New Roman" w:eastAsia="Times New Roman" w:hAnsi="Times New Roman"/>
        </w:rPr>
        <w:t xml:space="preserve"> (101:6), pp. 2590-2615.</w:t>
      </w:r>
    </w:p>
    <w:p>
      <w:pPr>
        <w:spacing w:after="0" w:before="0" w:line="480" w:lineRule="auto"/>
        <w:ind w:left="720" w:hanging="720"/>
      </w:pPr>
      <w:r>
        <w:rPr>
          <w:rFonts w:ascii="Times New Roman" w:cs="Times New Roman" w:eastAsia="Times New Roman" w:hAnsi="Times New Roman"/>
        </w:rPr>
        <w:t xml:space="preserve">Kim, O., and Verrecchia, R. E. 1991. “Trading Volume and Price Reactions to Public Announcements,” </w:t>
      </w:r>
      <w:r>
        <w:rPr>
          <w:rFonts w:ascii="Times New Roman" w:cs="Times New Roman" w:eastAsia="Times New Roman" w:hAnsi="Times New Roman"/>
          <w:i/>
          <w:iCs/>
        </w:rPr>
        <w:t xml:space="preserve">Journal of Accounting Research</w:t>
      </w:r>
      <w:r>
        <w:rPr>
          <w:rFonts w:ascii="Times New Roman" w:cs="Times New Roman" w:eastAsia="Times New Roman" w:hAnsi="Times New Roman"/>
        </w:rPr>
        <w:t xml:space="preserve"> (29:2), pp. 302-321.</w:t>
      </w:r>
    </w:p>
    <w:p>
      <w:pPr>
        <w:spacing w:after="0" w:before="0" w:line="480" w:lineRule="auto"/>
        <w:ind w:left="720" w:hanging="720"/>
      </w:pPr>
      <w:r>
        <w:rPr>
          <w:rFonts w:ascii="Times New Roman" w:cs="Times New Roman" w:eastAsia="Times New Roman" w:hAnsi="Times New Roman"/>
        </w:rPr>
        <w:t xml:space="preserve">Kullback, S., and Leibler, R. A. 1951. “On Information and Sufficiency,” </w:t>
      </w:r>
      <w:r>
        <w:rPr>
          <w:rFonts w:ascii="Times New Roman" w:cs="Times New Roman" w:eastAsia="Times New Roman" w:hAnsi="Times New Roman"/>
          <w:i/>
          <w:iCs/>
        </w:rPr>
        <w:t xml:space="preserve">Annals of Mathematical Statistics</w:t>
      </w:r>
      <w:r>
        <w:rPr>
          <w:rFonts w:ascii="Times New Roman" w:cs="Times New Roman" w:eastAsia="Times New Roman" w:hAnsi="Times New Roman"/>
        </w:rPr>
        <w:t xml:space="preserve"> (22:1), pp. 79-86.</w:t>
      </w:r>
    </w:p>
    <w:p>
      <w:pPr>
        <w:spacing w:after="0" w:before="0" w:line="480" w:lineRule="auto"/>
        <w:ind w:left="720" w:hanging="720"/>
      </w:pPr>
      <w:r>
        <w:rPr>
          <w:rFonts w:ascii="Times New Roman" w:cs="Times New Roman" w:eastAsia="Times New Roman" w:hAnsi="Times New Roman"/>
        </w:rPr>
        <w:t xml:space="preserve">Leetaru, K., and Schrodt, P. A. 2013. “GDELT: Global Data on Events, Location and Tone, 1979-2012,” paper presented at the International Studies Association Annual Convention, San Francisco, CA, April.</w:t>
      </w:r>
    </w:p>
    <w:p>
      <w:pPr>
        <w:spacing w:after="0" w:before="0" w:line="480" w:lineRule="auto"/>
        <w:ind w:left="720" w:hanging="720"/>
      </w:pPr>
      <w:r>
        <w:rPr>
          <w:rFonts w:ascii="Times New Roman" w:cs="Times New Roman" w:eastAsia="Times New Roman" w:hAnsi="Times New Roman"/>
        </w:rPr>
        <w:t xml:space="preserve">Lewbel, A. 2007. “Estimation of Average Treatment Effects with Misclassification,”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(75:2), pp. 537-551.</w:t>
      </w:r>
    </w:p>
    <w:p>
      <w:pPr>
        <w:spacing w:after="0" w:before="0" w:line="480" w:lineRule="auto"/>
        <w:ind w:left="720" w:hanging="720"/>
      </w:pPr>
      <w:r>
        <w:rPr>
          <w:rFonts w:ascii="Times New Roman" w:cs="Times New Roman" w:eastAsia="Times New Roman" w:hAnsi="Times New Roman"/>
        </w:rPr>
        <w:t xml:space="preserve">Lewis, E., Mohler, G., Brantingham, P. J., and Bertozzi, A. L. 2012. “Self-Exciting Point Process Models of Civilian Deaths in Iraq,” </w:t>
      </w:r>
      <w:r>
        <w:rPr>
          <w:rFonts w:ascii="Times New Roman" w:cs="Times New Roman" w:eastAsia="Times New Roman" w:hAnsi="Times New Roman"/>
          <w:i/>
          <w:iCs/>
        </w:rPr>
        <w:t xml:space="preserve">Security Journal</w:t>
      </w:r>
      <w:r>
        <w:rPr>
          <w:rFonts w:ascii="Times New Roman" w:cs="Times New Roman" w:eastAsia="Times New Roman" w:hAnsi="Times New Roman"/>
        </w:rPr>
        <w:t xml:space="preserve"> (25:3), pp. 244-264.</w:t>
      </w:r>
    </w:p>
    <w:p>
      <w:pPr>
        <w:spacing w:after="0" w:before="0" w:line="480" w:lineRule="auto"/>
        <w:ind w:left="720" w:hanging="720"/>
      </w:pPr>
      <w:r>
        <w:rPr>
          <w:rFonts w:ascii="Times New Roman" w:cs="Times New Roman" w:eastAsia="Times New Roman" w:hAnsi="Times New Roman"/>
        </w:rPr>
        <w:t xml:space="preserve">Mahajan, A. 2006. “Identification and Estimation of Regression Models with Misclassification,”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(74:3), pp. 631-665.</w:t>
      </w:r>
    </w:p>
    <w:p>
      <w:pPr>
        <w:spacing w:after="0" w:before="0" w:line="480" w:lineRule="auto"/>
        <w:ind w:left="720" w:hanging="720"/>
      </w:pPr>
      <w:r>
        <w:rPr>
          <w:rFonts w:ascii="Times New Roman" w:cs="Times New Roman" w:eastAsia="Times New Roman" w:hAnsi="Times New Roman"/>
        </w:rPr>
        <w:t xml:space="preserve">Nosek, B. A., Ebersole, C. R., DeHaven, A. C., and Mellor, D. T. 2018. “The Preregistration Revolution,” </w:t>
      </w:r>
      <w:r>
        <w:rPr>
          <w:rFonts w:ascii="Times New Roman" w:cs="Times New Roman" w:eastAsia="Times New Roman" w:hAnsi="Times New Roman"/>
          <w:i/>
          <w:iCs/>
        </w:rPr>
        <w:t xml:space="preserve">Proceedings of the National Academy of Sciences</w:t>
      </w:r>
      <w:r>
        <w:rPr>
          <w:rFonts w:ascii="Times New Roman" w:cs="Times New Roman" w:eastAsia="Times New Roman" w:hAnsi="Times New Roman"/>
        </w:rPr>
        <w:t xml:space="preserve"> (115:11), pp. 2600-2606.</w:t>
      </w:r>
    </w:p>
    <w:p>
      <w:pPr>
        <w:spacing w:after="0" w:before="0" w:line="480" w:lineRule="auto"/>
        <w:ind w:left="720" w:hanging="720"/>
      </w:pPr>
      <w:r>
        <w:rPr>
          <w:rFonts w:ascii="Times New Roman" w:cs="Times New Roman" w:eastAsia="Times New Roman" w:hAnsi="Times New Roman"/>
        </w:rPr>
        <w:t xml:space="preserve">Richardson, L. F. 1960. </w:t>
      </w:r>
      <w:r>
        <w:rPr>
          <w:rFonts w:ascii="Times New Roman" w:cs="Times New Roman" w:eastAsia="Times New Roman" w:hAnsi="Times New Roman"/>
          <w:i/>
          <w:iCs/>
        </w:rPr>
        <w:t xml:space="preserve">Statistics of Deadly Quarrels</w:t>
      </w:r>
      <w:r>
        <w:rPr>
          <w:rFonts w:ascii="Times New Roman" w:cs="Times New Roman" w:eastAsia="Times New Roman" w:hAnsi="Times New Roman"/>
        </w:rPr>
        <w:t xml:space="preserve">, Q. Wright and C. C. Lienau (eds.), Pittsburgh, PA: Boxwood Press.</w:t>
      </w:r>
    </w:p>
    <w:p>
      <w:pPr>
        <w:spacing w:after="0" w:before="0" w:line="480" w:lineRule="auto"/>
        <w:ind w:left="720" w:hanging="720"/>
      </w:pPr>
      <w:r>
        <w:rPr>
          <w:rFonts w:ascii="Times New Roman" w:cs="Times New Roman" w:eastAsia="Times New Roman" w:hAnsi="Times New Roman"/>
        </w:rPr>
        <w:t xml:space="preserve">Searle, J. R. 1969. </w:t>
      </w:r>
      <w:r>
        <w:rPr>
          <w:rFonts w:ascii="Times New Roman" w:cs="Times New Roman" w:eastAsia="Times New Roman" w:hAnsi="Times New Roman"/>
          <w:i/>
          <w:iCs/>
        </w:rPr>
        <w:t xml:space="preserve">Speech Acts: An Essay in the Philosophy of Language</w:t>
      </w:r>
      <w:r>
        <w:rPr>
          <w:rFonts w:ascii="Times New Roman" w:cs="Times New Roman" w:eastAsia="Times New Roman" w:hAnsi="Times New Roman"/>
        </w:rPr>
        <w:t xml:space="preserve">, Cambridge, UK: Cambridge University Press.</w:t>
      </w:r>
    </w:p>
    <w:p>
      <w:pPr>
        <w:spacing w:after="0" w:before="0" w:line="480" w:lineRule="auto"/>
        <w:ind w:left="720" w:hanging="720"/>
      </w:pPr>
      <w:r>
        <w:rPr>
          <w:rFonts w:ascii="Times New Roman" w:cs="Times New Roman" w:eastAsia="Times New Roman" w:hAnsi="Times New Roman"/>
        </w:rPr>
        <w:t xml:space="preserve">Shannon, C. E. 1948. “A Mathematical Theory of Communication,” </w:t>
      </w:r>
      <w:r>
        <w:rPr>
          <w:rFonts w:ascii="Times New Roman" w:cs="Times New Roman" w:eastAsia="Times New Roman" w:hAnsi="Times New Roman"/>
          <w:i/>
          <w:iCs/>
        </w:rPr>
        <w:t xml:space="preserve">Bell System Technical Journal</w:t>
      </w:r>
      <w:r>
        <w:rPr>
          <w:rFonts w:ascii="Times New Roman" w:cs="Times New Roman" w:eastAsia="Times New Roman" w:hAnsi="Times New Roman"/>
        </w:rPr>
        <w:t xml:space="preserve"> (27:3), pp. 379-423.</w:t>
      </w:r>
    </w:p>
    <w:p>
      <w:pPr>
        <w:spacing w:after="0" w:before="0" w:line="480" w:lineRule="auto"/>
        <w:ind w:left="720" w:hanging="720"/>
      </w:pPr>
      <w:r>
        <w:rPr>
          <w:rFonts w:ascii="Times New Roman" w:cs="Times New Roman" w:eastAsia="Times New Roman" w:hAnsi="Times New Roman"/>
        </w:rPr>
        <w:t xml:space="preserve">Sims, C. A. 2003. “Implications of Rational Inattention,” </w:t>
      </w:r>
      <w:r>
        <w:rPr>
          <w:rFonts w:ascii="Times New Roman" w:cs="Times New Roman" w:eastAsia="Times New Roman" w:hAnsi="Times New Roman"/>
          <w:i/>
          <w:iCs/>
        </w:rPr>
        <w:t xml:space="preserve">Journal of Monetary Economics</w:t>
      </w:r>
      <w:r>
        <w:rPr>
          <w:rFonts w:ascii="Times New Roman" w:cs="Times New Roman" w:eastAsia="Times New Roman" w:hAnsi="Times New Roman"/>
        </w:rPr>
        <w:t xml:space="preserve"> (50:3), pp. 665-690.</w:t>
      </w:r>
    </w:p>
    <w:p>
      <w:pPr>
        <w:spacing w:after="0" w:before="0" w:line="480" w:lineRule="auto"/>
        <w:ind w:left="720" w:hanging="720"/>
      </w:pPr>
      <w:r>
        <w:rPr>
          <w:rFonts w:ascii="Times New Roman" w:cs="Times New Roman" w:eastAsia="Times New Roman" w:hAnsi="Times New Roman"/>
        </w:rPr>
        <w:t xml:space="preserve">Tetlock, P. C. 2007. “Giving Content to Investor Sentiment: The Role of Media in the Stock Market,” </w:t>
      </w:r>
      <w:r>
        <w:rPr>
          <w:rFonts w:ascii="Times New Roman" w:cs="Times New Roman" w:eastAsia="Times New Roman" w:hAnsi="Times New Roman"/>
          <w:i/>
          <w:iCs/>
        </w:rPr>
        <w:t xml:space="preserve">Journal of Finance</w:t>
      </w:r>
      <w:r>
        <w:rPr>
          <w:rFonts w:ascii="Times New Roman" w:cs="Times New Roman" w:eastAsia="Times New Roman" w:hAnsi="Times New Roman"/>
        </w:rPr>
        <w:t xml:space="preserve"> (62:3), pp. 1139-1168.</w:t>
      </w:r>
    </w:p>
    <w:p>
      <w:pPr>
        <w:spacing w:after="0" w:before="0" w:line="480" w:lineRule="auto"/>
        <w:ind w:left="720" w:hanging="720"/>
      </w:pPr>
      <w:r>
        <w:rPr>
          <w:rFonts w:ascii="Times New Roman" w:cs="Times New Roman" w:eastAsia="Times New Roman" w:hAnsi="Times New Roman"/>
        </w:rPr>
        <w:t xml:space="preserve">Tetlock, P. C. 2011. “All the News That’s Fit to Reprint: Do Investors React to Stale Information?,” </w:t>
      </w:r>
      <w:r>
        <w:rPr>
          <w:rFonts w:ascii="Times New Roman" w:cs="Times New Roman" w:eastAsia="Times New Roman" w:hAnsi="Times New Roman"/>
          <w:i/>
          <w:iCs/>
        </w:rPr>
        <w:t xml:space="preserve">Review of Financial Studies</w:t>
      </w:r>
      <w:r>
        <w:rPr>
          <w:rFonts w:ascii="Times New Roman" w:cs="Times New Roman" w:eastAsia="Times New Roman" w:hAnsi="Times New Roman"/>
        </w:rPr>
        <w:t xml:space="preserve"> (24:5), pp. 1481-1512.</w:t>
      </w:r>
    </w:p>
    <w:p>
      <w:pPr>
        <w:spacing w:after="0" w:before="0" w:line="480" w:lineRule="auto"/>
        <w:ind w:left="720" w:hanging="720"/>
      </w:pPr>
      <w:r>
        <w:rPr>
          <w:rFonts w:ascii="Times New Roman" w:cs="Times New Roman" w:eastAsia="Times New Roman" w:hAnsi="Times New Roman"/>
        </w:rPr>
        <w:t xml:space="preserve">Ziems, C., Held, W., Shaikh, O., Chen, J., Zhang, Z., and Yang, D. 2024. “Can Large Language Models Transform Computational Social Science?,” </w:t>
      </w:r>
      <w:r>
        <w:rPr>
          <w:rFonts w:ascii="Times New Roman" w:cs="Times New Roman" w:eastAsia="Times New Roman" w:hAnsi="Times New Roman"/>
          <w:i/>
          <w:iCs/>
        </w:rPr>
        <w:t xml:space="preserve">Computational Linguistics</w:t>
      </w:r>
      <w:r>
        <w:rPr>
          <w:rFonts w:ascii="Times New Roman" w:cs="Times New Roman" w:eastAsia="Times New Roman" w:hAnsi="Times New Roman"/>
        </w:rPr>
        <w:t xml:space="preserve"> (50:1), pp. 237-291.</w:t>
      </w:r>
    </w:p>
    <w:p>
      <w:pPr>
        <w:pStyle w:val="Heading1"/>
        <w:keepNext/>
        <w:pageBreakBefore/>
        <w:spacing w:after="0" w:before="240" w:line="480" w:lineRule="auto"/>
        <w:jc w:val="center"/>
      </w:pPr>
      <w:r>
        <w:rPr>
          <w:rFonts w:ascii="Times New Roman" w:cs="Times New Roman" w:eastAsia="Times New Roman" w:hAnsi="Times New Roman"/>
          <w:b/>
          <w:bCs/>
        </w:rPr>
        <w:t xml:space="preserve">Appendix A. Analysis Plans, Status, and Outcomes</w:t>
      </w:r>
    </w:p>
    <w:p>
      <w:pPr>
        <w:spacing w:after="0" w:before="0" w:line="480" w:lineRule="auto"/>
        <w:ind w:firstLine="720"/>
      </w:pPr>
      <w:r>
        <w:rPr>
          <w:rFonts w:ascii="Times New Roman" w:cs="Times New Roman" w:eastAsia="Times New Roman" w:hAnsi="Times New Roman"/>
        </w:rPr>
        <w:t xml:space="preserve">The plans are files in the project repository, dated October 13 and 14, 2026, in the commit history; they are not independently time-stamped. Table A1 gives the status of each result in the main text, and Table A2 lists the plans with their outcomes. Labels such as H5a or H7b refer to hypotheses in the individual plans, and P1 to P7 are the propositions of Appendix F.</w:t>
      </w:r>
    </w:p>
    <w:p>
      <w:pPr>
        <w:keepNext/>
        <w:spacing w:after="120" w:before="240" w:line="240" w:lineRule="auto"/>
        <w:jc w:val="center"/>
      </w:pPr>
      <w:r>
        <w:rPr>
          <w:rFonts w:ascii="Times New Roman" w:cs="Times New Roman" w:eastAsia="Times New Roman" w:hAnsi="Times New Roman"/>
          <w:b/>
          <w:bCs/>
          <w:sz w:val="22"/>
          <w:szCs w:val="22"/>
        </w:rPr>
        <w:t xml:space="preserve">Table A1. Status of the Results Reported in the Main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6"/>
        <w:gridCol w:w="2066"/>
        <w:gridCol w:w="3648"/>
      </w:tblGrid>
      <w:tr>
        <w:trPr>
          <w:cantSplit/>
          <w:tblHeader/>
        </w:trPr>
        <w:tc>
          <w:tcPr>
            <w:tcW w:type="dxa" w:w="364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Result</w:t>
            </w:r>
          </w:p>
        </w:tc>
        <w:tc>
          <w:tcPr>
            <w:tcW w:type="dxa" w:w="206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Section</w:t>
            </w:r>
          </w:p>
        </w:tc>
        <w:tc>
          <w:tcPr>
            <w:tcW w:type="dxa" w:w="364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Status</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Posting overdispersed; follows volatile hours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Data and Design</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Pre-specified for dispersion; exploratory for the logit</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Model-labelled hourly co-movement; cross-asset responses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first stage</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Amended (headline arose from an amendment); Holm within assets; superseded by the human-label result</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 validation κ</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validation</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Descriptive; round-2 and round-3 plans written before the labels returned</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 re-labelling under codebook v2; label-set comparison</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codebook and label sets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before the labels were produced</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Misclassification decomposition</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misclassification account</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Post hoc; accounting identity applied after the event-level split was known</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Correction simulation (naive, human-only, PPI, DSL)</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how much validation</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Exploratory; designed after the main results were known</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Tick-level human-label direction, 5 and 30 minutes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Amended (primary sample redefined after round 2)</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Post − pre excess at 30 minutes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Amended; borderline in robustness</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Placebo and pre-post drift</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before placebo data were analysed; applied to human labels after the sample was fixed</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Adjudication split; two-sided and day-clustered re-statement</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after the round-3 review, before computation</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Independent third coder; final labels; all human-label results on the final labels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Data and Design; Results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Pre-specified (plan committed before the labels were seen); one deviation: a missing coder label casts no vote</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Robustness variants (Table 7)</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after the baseline was known; unadjusted</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P1–P3; P4</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Appendix F</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Pre-specified; not supported; P4 marginal</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Bayesian restatement of the propositions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Appendix F.1</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Written after the tests; changes no result; the placebo-scaled test of P2 is proposed, not run</w:t>
            </w:r>
          </w:p>
        </w:tc>
      </w:tr>
      <w:tr>
        <w:trPr>
          <w:cantSplit/>
          <w:tblHeader w:val="off"/>
        </w:trPr>
        <w:tc>
          <w:tcPr>
            <w:tcW w:type="dxa" w:w="364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Appendices D and E</w:t>
            </w:r>
          </w:p>
        </w:tc>
        <w:tc>
          <w:tcPr>
            <w:tcW w:type="dxa" w:w="206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Appendices</w:t>
            </w:r>
          </w:p>
        </w:tc>
        <w:tc>
          <w:tcPr>
            <w:tcW w:type="dxa" w:w="364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Exploratory or model-labelled</w:t>
            </w:r>
          </w:p>
        </w:tc>
      </w:tr>
    </w:tbl>
    <w:p>
      <w:pPr>
        <w:spacing w:after="240" w:before="0" w:line="240" w:lineRule="auto"/>
      </w:pPr>
    </w:p>
    <w:p>
      <w:pPr>
        <w:keepNext/>
        <w:spacing w:after="120" w:before="240" w:line="240" w:lineRule="auto"/>
        <w:jc w:val="center"/>
      </w:pPr>
      <w:r>
        <w:rPr>
          <w:rFonts w:ascii="Times New Roman" w:cs="Times New Roman" w:eastAsia="Times New Roman" w:hAnsi="Times New Roman"/>
          <w:b/>
          <w:bCs/>
          <w:sz w:val="22"/>
          <w:szCs w:val="22"/>
        </w:rPr>
        <w:t xml:space="preserve">Table A2. Ledger of Analysis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Block</w:t>
            </w:r>
          </w:p>
        </w:tc>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Plan</w:t>
            </w:r>
          </w:p>
        </w:tc>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Outcome</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Arrivals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poisson_posts/ANALYSIS_PLAN.md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Overdispersed; conditionally Poisson</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Weekly market tests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ANALYSIS_PLAN_MARKETS.md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Null</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Intraday core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hf/ANALYSIS_PLAN.md (Amendment 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De-escalation co-movement; none for escalation (exploratory after amendment)</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Instrumental variables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ANALYSIS_PLAN_IV.md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Weak first stage (F = 2.8)</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Extension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ANALYSIS_PLAN_EXT.md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Coder-robust; partial pre-war replication; reversal for other oil posts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Binding constraint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THEORY_AND_PAPER_PLAN.md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Partly supported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Salience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THEORY_V2_SALIENCE.md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Rejected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Habituation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THEORY_V3_HABITUATION.md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Underpowered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Content analysis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ANALYSIS_PLAN_QUAL.md (Amendments 1–2)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Five themes; four propositions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Held-out tests of propositions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ANALYSIS_PLAN_QUAL_TESTS.md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Pre-trend control</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ANALYSIS_PLAN_PRETREND.md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Estimate unchanged; control uninformative</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First source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ANALYSIS_PLAN_WIRE.md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 (p = 0.176)</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Tick-level timing</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ANALYSIS_PLAN_5MIN.md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H5a, H5b supported for de-escalation posts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Matched-hour placebo (H5c) and anticipatory drift (H8)</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ANALYSIS_PLAN_H5C_H8.md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H5c supported on the 26 and 14 events of the drift sample (+0.62 and +0.53 against placebo 95th percentiles 0.22 and 0.26); re-run on the headline 29 and 16 events: +1.04 and +0.48 against 0.20 and 0.20; H8a: pre-post drift also exceeds placebo for de-escalation and partly for escalation; H8c: no difference by first source (p = 0.90); cause not identified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Twitter-era oil/Iran sample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twitter/ANALYSIS_PLAN_TWITTER.md (Amendment 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HI1–HI3 not supported (Holm p ≥ 0.45); H10 supported for escalation (p = 0.001), not for de-escalation</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Twitter-era tariff/trade sample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twitter/ANALYSIS_PLAN_TARIFF.md (Amendment 1: P6/H12 state-dependent sign)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HI2 supported (Holm p &lt; 0.001; volatility caveat); HI1, HI3 not supported; H10 supported (small); H12 not supported, opposite sign (β = −0.097)</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 validation, H7 (human-labelled sample)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ANALYSIS_PLAN_HUMAN.md (Amendments 1–2)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H7a, H7b for de-escalation (one-sided p = 0.0002 and 0.030; two-sided p = 0.0003 and 0.059); escalation +0.48% (one-sided p = 0.007; two-sided p = 0.013)</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 validation (round 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ANALYSIS_PLAN_HUMAN.md (Amendment 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Round 1 κ 0.43–0.56; round 2 (61 war-period posts, adjudicated) κ 0.29, H6a supported, H6c not supported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Revision analyses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ANALYSIS_PLAN_REVISION.md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Revised primary not supported; robust inference supports; posting follows volatility</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Timing surprisal (P7)</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arrivals/ANALYSIS_PLAN_TIMING.md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 (pooled β = +0.04 SD, p = 0.27; n = 685)</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Arrival models and Musk account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none (descriptive; arrivals/RESULTS_ARRIVALS_MODELS.md)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Poisson rejected; NB ≈ Poisson–lognormal; dynamic NB-INGARCH best in multi-year series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Event explanation of dispersion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arrivals/ANALYSIS_PLAN_EVENTS.md (exploratory)</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Lagged GDELT conflict events significant in all six pairings but remove 9–25% of NB dispersion (never ≥ 50%); event series not Poisson; Calendar-week effects remove 66% (all Twitter)</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LLM release arrival</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arrivals/ANALYSIS_PLAN_LLM_RELEASES.md (exploratory)</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Over-dispersed after trend (LR p = 0.0001); weekend share 4% vs 29% expected; geometric gaps rejected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LLM release stock reaction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arrivals/ANALYSIS_PLAN_LLM_STOCK.md (exploratory)</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Direction not supported (+0.40 pp, p = 0.55); magnitude larger than random windows (p = 0.008; Holm 0.015); n = 31</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Matched-account comparison (HA1–HA2)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arrivals/ANALYSIS_PLAN_ACCOUNTS.md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Registered, not run; data availability not established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Information-theoretic hypotheses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ANALYSIS_PLAN_INFO.md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P1–P3 not supported (p = 0.08, 0.07, 0.52); P4 marginal (p = 0.041; Holm over HI1–HI4 would give 0.16) and not counted as support</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Robustness of the human-label headline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hf/ANALYSIS_PLAN_ROBUST_HEADLINE.md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Direction robust in every variant; post − pre excess borderline and window-dependent (Table 6)</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 re-labelling under codebook v2; label-set comparison; adjudication split; same-sample placebo; two-sided and day-clustered re-statement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hf/ANALYSIS_PLAN_V2RELABEL.md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κ 0.48–0.51 under v2 (no improvement); escalation attenuated under all model label sets (human minus original model +0.31, p = 0.038; minus v2 majority +0.16, p = 0.27); 66% of escalation labels adjudicated (Tables 2, 3, 5)</w:t>
            </w:r>
          </w:p>
        </w:tc>
      </w:tr>
      <w:tr>
        <w:trPr>
          <w:cantSplit/>
          <w:tblHeader w:val="off"/>
        </w:trPr>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Independent third coder</w:t>
            </w:r>
          </w:p>
        </w:tc>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hf/ANALYSIS_PLAN_THIRD_CODER.md</w:t>
            </w:r>
          </w:p>
        </w:tc>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Controls κ = 0.45 (reliable by the plan’s threshold of 0.40); 24 of 45 labels change; escalation class 41 → 28 posts; under v3, escalation +0.45% (n = 10; CI 0.01 to 0.90), de-escalation +0.94% (n = 32)</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Paths are relative to the anonymized repository.</w:t>
      </w:r>
    </w:p>
    <w:p>
      <w:pPr>
        <w:pStyle w:val="Heading1"/>
        <w:keepNext/>
        <w:spacing w:after="0" w:before="240" w:line="480" w:lineRule="auto"/>
        <w:jc w:val="center"/>
      </w:pPr>
      <w:r>
        <w:rPr>
          <w:rFonts w:ascii="Times New Roman" w:cs="Times New Roman" w:eastAsia="Times New Roman" w:hAnsi="Times New Roman"/>
          <w:b/>
          <w:bCs/>
        </w:rPr>
        <w:t xml:space="preserve">Appendix B. Coding Protocol</w:t>
      </w:r>
    </w:p>
    <w:p>
      <w:pPr>
        <w:spacing w:after="0" w:before="0" w:line="480" w:lineRule="auto"/>
        <w:ind w:firstLine="720"/>
      </w:pPr>
      <w:r>
        <w:rPr>
          <w:rFonts w:ascii="Times New Roman" w:cs="Times New Roman" w:eastAsia="Times New Roman" w:hAnsi="Times New Roman"/>
          <w:i/>
          <w:iCs/>
        </w:rPr>
        <w:t xml:space="preserve">B.1 Model labelling, first stage.</w:t>
      </w:r>
      <w:r>
        <w:rPr>
          <w:rFonts w:ascii="Times New Roman" w:cs="Times New Roman" w:eastAsia="Times New Roman" w:hAnsi="Times New Roman"/>
        </w:rPr>
        <w:t xml:space="preserve"> Two independent runs of claude-sonnet-5-5, run as sub-agents of the Claude Code agent (version 2.1.300) on October 14, 2026, with default sampling settings, each received only the text of a post, with no market data, time stamp, or other posts. Each returned a direction class (escalation, de-escalation, mixed, or other) and a type (action or rhetoric). Prompts, outputs, and the code that merges them are in the anonymized repository. The labels of the first run were adopted as primary in a dated amendment after a first pass with keyword classes proved misleading (the keyword “threat” class contained the principal de-escalation posts).</w:t>
      </w:r>
    </w:p>
    <w:p>
      <w:pPr>
        <w:spacing w:after="0" w:before="0" w:line="480" w:lineRule="auto"/>
        <w:ind w:firstLine="720"/>
      </w:pPr>
      <w:r>
        <w:rPr>
          <w:rFonts w:ascii="Times New Roman" w:cs="Times New Roman" w:eastAsia="Times New Roman" w:hAnsi="Times New Roman"/>
          <w:i/>
          <w:iCs/>
        </w:rPr>
        <w:t xml:space="preserve">B.2 Human coders.</w:t>
      </w:r>
      <w:r>
        <w:rPr>
          <w:rFonts w:ascii="Times New Roman" w:cs="Times New Roman" w:eastAsia="Times New Roman" w:hAnsi="Times New Roman"/>
        </w:rPr>
        <w:t xml:space="preserve"> Two coders, doctoral students in information systems, coded independently from a spreadsheet that contained the codebook and, for each item, only the post text. They were instructed to use only the text shown, not to look anything up or consult prices, not to discuss items with each other, and to code the post’s own stance (for a re-post or link, the stance of a quoted headline if clear, and otherwise “other”). Items appeared in a different random order for each coder in the second round, and each item received a confidence rating (1 = clear, 2 = somewhat unclear). The coders did not know the research question. The lead investigator adjudicated disagreements from the text alone, without market information; a post for which no resolution could be reached would have been excluded (in a sensitivity analysis, it would be treated as mixed). The independent third coder (see the Labels section) received the same instructions and a sheet with 60 items in random order, with no model or coder labels and no marker of the control items; adjudication by the investigator played no part in the v3 labels.</w:t>
      </w:r>
    </w:p>
    <w:p>
      <w:pPr>
        <w:spacing w:after="0" w:before="0" w:line="480" w:lineRule="auto"/>
        <w:ind w:firstLine="720"/>
      </w:pPr>
      <w:r>
        <w:rPr>
          <w:rFonts w:ascii="Times New Roman" w:cs="Times New Roman" w:eastAsia="Times New Roman" w:hAnsi="Times New Roman"/>
          <w:i/>
          <w:iCs/>
        </w:rPr>
        <w:t xml:space="preserve">B.3 Codebook v1 (first round; 150 posts from 2024 to 2026 matching keywords about Iran, oil, or oil-producing countries).</w:t>
      </w:r>
      <w:r>
        <w:rPr>
          <w:rFonts w:ascii="Times New Roman" w:cs="Times New Roman" w:eastAsia="Times New Roman" w:hAnsi="Times New Roman"/>
        </w:rPr>
        <w:t xml:space="preserve"> Exactly one class is assigned per post. ESC: the post raises the risk of military conflict or oil-supply disruption; it threatens, warns of, announces, or celebrates attacks, strikes, blockades, or destruction (for example, on Iran); it issues ultimatums; it announces new sanctions or secondary tariffs on oil buyers or oil-exporting countries, or threatens such countries or their energy infrastructure. DEESC: the post lowers that risk; it announces or hints at holding off, cancelling, or postponing strikes, or reports a ceasefire, progress toward a deal, memorandum, or agreement, talks, the reopening of routes (for example, the Strait of Hormuz), peace, sanctions relief, or higher oil production or lower oil prices through supply. MIXED: clear escalation and clear de-escalation in the same post (for example, “deal or we strike”). OTHER: the post is not about the military or diplomatic course of conflicts involving oil-producing countries or about oil supply; this includes polls, domestic politics, attacks on the media, tariffs on non-oil goods, unrelated mentions, and re-posts or links to others’ commentary without a clear stance.</w:t>
      </w:r>
    </w:p>
    <w:p>
      <w:pPr>
        <w:spacing w:after="0" w:before="0" w:line="480" w:lineRule="auto"/>
        <w:ind w:firstLine="720"/>
      </w:pPr>
      <w:r>
        <w:rPr>
          <w:rFonts w:ascii="Times New Roman" w:cs="Times New Roman" w:eastAsia="Times New Roman" w:hAnsi="Times New Roman"/>
          <w:i/>
          <w:iCs/>
        </w:rPr>
        <w:t xml:space="preserve">B.4 Codebook v2 (second and third rounds; 61 and 130 war-period posts).</w:t>
      </w:r>
      <w:r>
        <w:rPr>
          <w:rFonts w:ascii="Times New Roman" w:cs="Times New Roman" w:eastAsia="Times New Roman" w:hAnsi="Times New Roman"/>
        </w:rPr>
        <w:t xml:space="preserve"> The revision was written after the first round showed moderate agreement (κ = 0.51) and a dominant model error (a de-escalation label on unrelated posts). ESC now includes demands or conditions addressed to Iran that are backed by pressure (“Iran must …, or …”) and criticism that the other side is failing to agree, when no pause, concession, or progress is announced; it covers posts that raise or maintain the risk. DEESC requires an announced or clearly signalled pause, postponement, or cancellation of strikes, a ceasefire, an agreement or deal, progress in talks, the reopening of the strait or lifting of the blockade, sanctions relief, or other relief; a post that only describes terms or demands is not DEESC. MIXED requires a clear announcement of de-escalation together with a clear threat or escalation (“we will hold off, but if they do not sign we will strike”). OTHER covers domestic politics, attacks on the media or critics without a stance on the conflict, boasts without a stance on what happens next, polls, unrelated topics, and re-posts and bare links with no stated stance in the visible text; if the visible text quotes a headline with a clear stance, the stance of that headline is coded. Eighteen of the 61 second-round posts had been coded in the first round and provide a test–retest comparison. Codebook v2 was written after the investigators knew where the model had gone wrong, and it was fixed before the second- and third-round labels were returned. This is a researcher degree of freedom that Table 7 partly addresses by repeating the main result on posts on which the coders agreed before adjudication.</w:t>
      </w:r>
    </w:p>
    <w:p>
      <w:pPr>
        <w:spacing w:after="0" w:before="0" w:line="480" w:lineRule="auto"/>
        <w:ind w:firstLine="720"/>
      </w:pPr>
      <w:r>
        <w:rPr>
          <w:rFonts w:ascii="Times New Roman" w:cs="Times New Roman" w:eastAsia="Times New Roman" w:hAnsi="Times New Roman"/>
          <w:i/>
          <w:iCs/>
        </w:rPr>
        <w:t xml:space="preserve">B.5 Model re-labelling under codebook v2.</w:t>
      </w:r>
      <w:r>
        <w:rPr>
          <w:rFonts w:ascii="Times New Roman" w:cs="Times New Roman" w:eastAsia="Times New Roman" w:hAnsi="Times New Roman"/>
        </w:rPr>
        <w:t xml:space="preserve"> Four runs, using claude-opus-5-5 (run 1), claude-sonnet-5-5 (runs 2 and 4), and claude-haiku-5-5 (run 3), were run as sub-agents of the Claude Code agent (version 2.1.300) on October 14, 2026, with default sampling settings. Each received the text of codebook v2 exactly as the human coders saw it and the 191 post texts as the coders saw them, in a different random order per run, with no identifiers, times, prices, source labels, or earlier labels. Each wrote one class and a confidence rating per item to a file outside the repository, and each was instructed not to write keyword rules or open any other file. The runs were launched after the plan was committed. The “v2 majority” is the majority label of the four runs; ties (15 posts) were resolved by the label of the largest model (run 1).</w:t>
      </w:r>
    </w:p>
    <w:p>
      <w:pPr>
        <w:spacing w:after="0" w:before="0" w:line="480" w:lineRule="auto"/>
        <w:ind w:firstLine="720"/>
      </w:pPr>
      <w:r>
        <w:rPr>
          <w:rFonts w:ascii="Times New Roman" w:cs="Times New Roman" w:eastAsia="Times New Roman" w:hAnsi="Times New Roman"/>
          <w:i/>
          <w:iCs/>
        </w:rPr>
        <w:t xml:space="preserve">B.6 Content analysis for hypothesis generation (Appendix E.2).</w:t>
      </w:r>
      <w:r>
        <w:rPr>
          <w:rFonts w:ascii="Times New Roman" w:cs="Times New Roman" w:eastAsia="Times New Roman" w:hAnsi="Times New Roman"/>
        </w:rPr>
        <w:t xml:space="preserve"> A total of 136 posts were shuffled, stripped of labels and market data, and coded by two model-instance analysts; their codebooks were reconciled and fixed before reactions were attached.</w:t>
      </w:r>
    </w:p>
    <w:p>
      <w:pPr>
        <w:pStyle w:val="Heading1"/>
        <w:keepNext/>
        <w:spacing w:after="0" w:before="240" w:line="480" w:lineRule="auto"/>
        <w:jc w:val="center"/>
      </w:pPr>
      <w:r>
        <w:rPr>
          <w:rFonts w:ascii="Times New Roman" w:cs="Times New Roman" w:eastAsia="Times New Roman" w:hAnsi="Times New Roman"/>
          <w:b/>
          <w:bCs/>
        </w:rPr>
        <w:t xml:space="preserve">Appendix C. Human Validation, First Round</w:t>
      </w:r>
    </w:p>
    <w:p>
      <w:pPr>
        <w:spacing w:after="0" w:before="0" w:line="480" w:lineRule="auto"/>
        <w:ind w:firstLine="720"/>
      </w:pPr>
      <w:r>
        <w:rPr>
          <w:rFonts w:ascii="Times New Roman" w:cs="Times New Roman" w:eastAsia="Times New Roman" w:hAnsi="Times New Roman"/>
        </w:rPr>
        <w:t xml:space="preserve">Two human coders coded 150 posts independently from text only (67 war-period posts, 23 pre-war posts about Iran, and 60 other posts on oil geopolitics). Four-class κ is 0.51 between the humans and 0.74 between the two model runs; against the human consensus (97 posts), model 1 reaches 0.43 and model 2 reaches 0.56 (three-class: 0.48 and 0.59). Against the consensus, de-escalation precision is 0.52 for model 1 and 0.54 for model 2, with recall of 0.77 and 0.88. Of the 12 posts in the model-labelled tick-level de-escalation sample that fall in the first-round human sample, the human consensus is de-escalation for 3, escalation for 2, and other for 1, and there is no consensus for 6. In the second round (all 61 war-period signal posts, codebook v2; κ between humans 0.69; 13 disagreements adjudicated), the final human labels are 25 de-escalation, 11 escalation, 12 mixed, and 13 other, and model 1 agrees with them at κ = 0.29. On the 25 human-labelled de-escalation posts, the 30-minute directional return is 1.03% (p = 0.0015), and its excess over the preceding 30 minutes is 0.35% (p = 0.082).</w:t>
      </w:r>
    </w:p>
    <w:p>
      <w:pPr>
        <w:pStyle w:val="Heading1"/>
        <w:keepNext/>
        <w:spacing w:after="0" w:before="240" w:line="480" w:lineRule="auto"/>
        <w:jc w:val="center"/>
      </w:pPr>
      <w:r>
        <w:rPr>
          <w:rFonts w:ascii="Times New Roman" w:cs="Times New Roman" w:eastAsia="Times New Roman" w:hAnsi="Times New Roman"/>
          <w:b/>
          <w:bCs/>
        </w:rPr>
        <w:t xml:space="preserve">Appendix D. Exploratory Analyses of Arrival and Other Self-Timed Events</w:t>
      </w:r>
    </w:p>
    <w:p>
      <w:pPr>
        <w:spacing w:after="0" w:before="0" w:line="480" w:lineRule="auto"/>
        <w:ind w:firstLine="720"/>
      </w:pPr>
      <w:r>
        <w:rPr>
          <w:rFonts w:ascii="Times New Roman" w:cs="Times New Roman" w:eastAsia="Times New Roman" w:hAnsi="Times New Roman"/>
        </w:rPr>
        <w:t xml:space="preserve">These analyses were run after the main results were known. Their definitions were fixed in dated plans before the relevant data were downloaded or parsed (Table A2), but none of them is confirmatory.</w:t>
      </w:r>
    </w:p>
    <w:p>
      <w:pPr>
        <w:keepNext/>
        <w:spacing w:after="0" w:before="240" w:line="240" w:lineRule="auto"/>
        <w:jc w:val="center"/>
      </w:pPr>
      <w:r>
        <w:drawing>
          <wp:inline distT="0" distB="0" distL="0" distR="0">
            <wp:extent cx="5715000" cy="2219325"/>
            <wp:effectExtent t="0" r="0" b="0" l="0"/>
            <wp:docPr id="4" name="image3.png" descr="Figure D1. Arrival of Iran-Related Posts with Threat Terms (n = 108)" title="Figure D1. Arrival of Iran-Related Posts with Threat Terms (n =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19325"/>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D1. Arrival of Iran-Related Posts with Threat Terms (n = 108)</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Panel A: observed daily counts against Poisson and negative binomial fits. Panel B: weekly counts.</w:t>
      </w:r>
    </w:p>
    <w:p>
      <w:pPr>
        <w:spacing w:after="0" w:before="0" w:line="480" w:lineRule="auto"/>
        <w:ind w:firstLine="720"/>
      </w:pPr>
      <w:r>
        <w:rPr>
          <w:rFonts w:ascii="Times New Roman" w:cs="Times New Roman" w:eastAsia="Times New Roman" w:hAnsi="Times New Roman"/>
          <w:i/>
          <w:iCs/>
        </w:rPr>
        <w:t xml:space="preserve">D.1 Alternative arrival models and a second account.</w:t>
      </w:r>
      <w:r>
        <w:rPr>
          <w:rFonts w:ascii="Times New Roman" w:cs="Times New Roman" w:eastAsia="Times New Roman" w:hAnsi="Times New Roman"/>
        </w:rPr>
        <w:t xml:space="preserve"> The negative binomial, a Poisson–gamma mixture, is only one candidate model. Table D1 compares daily-count models by AIC for the Truth Social series, for the president’s 2017 to 2021 Twitter series (all original tweets and the two topic subsets of Appendix E), and for Elon Musk’s account as a second influential poster (a public third-party extract of 3,218 tweets from 2012 to 2017, whose completeness and time zone we could not verify). A homogeneous Poisson process is rejected in every series (ΔAIC between 150 and 3,700). The negative binomial and a Poisson–lognormal mixture fit about equally well (within roughly 13 AIC units), so the data do not favor a gamma over a lognormal mixing distribution. In the multi-year Twitter series, a dynamic negative binomial INGARCH(1,1) model, in which today’s rate depends on yesterday’s count and rate, is far better than every static mixture (ΔAIC 57 to 626); the 227-day Truth Social series is too short for this model, and the static negative binomial suffices. Waiting times follow no power law (the Pareto fit is worst in every series); the best fit is Weibull for all of the president’s tweets, gamma for the topic subsets, and lognormal for Truth Social and Musk (coefficients of variation 1.7 to 2.5). We read this as evidence that human posting is bursty and self-exciting, not that the pattern is specific to people whose words carry weight, because we have no comparison with ordinary accounts. A comparison with matched ordinary accounts has been specified but not run, because we have not established that data of sufficient quality exist.</w:t>
      </w:r>
    </w:p>
    <w:p>
      <w:pPr>
        <w:keepNext/>
        <w:spacing w:after="120" w:before="240" w:line="240" w:lineRule="auto"/>
        <w:jc w:val="center"/>
      </w:pPr>
      <w:r>
        <w:rPr>
          <w:rFonts w:ascii="Times New Roman" w:cs="Times New Roman" w:eastAsia="Times New Roman" w:hAnsi="Times New Roman"/>
          <w:b/>
          <w:bCs/>
          <w:sz w:val="22"/>
          <w:szCs w:val="22"/>
        </w:rPr>
        <w:t xml:space="preserve">Table D1. Alternative Models for the Arrival of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1"/>
        <w:gridCol w:w="634"/>
        <w:gridCol w:w="1269"/>
        <w:gridCol w:w="1903"/>
        <w:gridCol w:w="1507"/>
        <w:gridCol w:w="1826"/>
      </w:tblGrid>
      <w:tr>
        <w:trPr>
          <w:cantSplit/>
          <w:tblHeader/>
        </w:trPr>
        <w:tc>
          <w:tcPr>
            <w:tcW w:type="dxa" w:w="222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Series</w:t>
            </w:r>
          </w:p>
        </w:tc>
        <w:tc>
          <w:tcPr>
            <w:tcW w:type="dxa" w:w="63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Days</w:t>
            </w:r>
          </w:p>
        </w:tc>
        <w:tc>
          <w:tcPr>
            <w:tcW w:type="dxa" w:w="126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Static NB (ΔAIC)</w:t>
            </w:r>
          </w:p>
        </w:tc>
        <w:tc>
          <w:tcPr>
            <w:tcW w:type="dxa" w:w="190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Poisson–lognormal (ΔAIC)</w:t>
            </w:r>
          </w:p>
        </w:tc>
        <w:tc>
          <w:tcPr>
            <w:tcW w:type="dxa" w:w="150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NB-INGARCH (ΔAIC)</w:t>
            </w:r>
          </w:p>
        </w:tc>
        <w:tc>
          <w:tcPr>
            <w:tcW w:type="dxa" w:w="182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Best waiting-time model</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Truth Social 2026</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227</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 (collapses to NB)</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Lognormal</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Twitter, all original</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1,448</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626</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639</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Weibull</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Twitter, oil/Iran</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1,448</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57</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62</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Gamma</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Twitter, tariff/trade</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1,448</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137</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129</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Gamma</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Musk, Twitter 2012–17</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1,779</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238</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249</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Lognormal</w:t>
            </w:r>
          </w:p>
        </w:tc>
      </w:tr>
      <w:tr>
        <w:trPr>
          <w:cantSplit/>
          <w:tblHeader w:val="off"/>
        </w:trPr>
        <w:tc>
          <w:tcPr>
            <w:tcW w:type="dxa" w:w="222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Musk, Twitter 2016–17</w:t>
            </w:r>
          </w:p>
        </w:tc>
        <w:tc>
          <w:tcPr>
            <w:tcW w:type="dxa" w:w="63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638</w:t>
            </w:r>
          </w:p>
        </w:tc>
        <w:tc>
          <w:tcPr>
            <w:tcW w:type="dxa" w:w="126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59</w:t>
            </w:r>
          </w:p>
        </w:tc>
        <w:tc>
          <w:tcPr>
            <w:tcW w:type="dxa" w:w="190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66</w:t>
            </w:r>
          </w:p>
        </w:tc>
        <w:tc>
          <w:tcPr>
            <w:tcW w:type="dxa" w:w="150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Lognormal</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ΔAIC relative to the best model in each row; the Poisson model has ΔAIC between 150 and 3,700 in every row. Descriptive, not pre-specified.</w:t>
      </w:r>
    </w:p>
    <w:p>
      <w:pPr>
        <w:spacing w:after="0" w:before="0" w:line="480" w:lineRule="auto"/>
        <w:ind w:firstLine="720"/>
      </w:pPr>
      <w:r>
        <w:rPr>
          <w:rFonts w:ascii="Times New Roman" w:cs="Times New Roman" w:eastAsia="Times New Roman" w:hAnsi="Times New Roman"/>
          <w:i/>
          <w:iCs/>
        </w:rPr>
        <w:t xml:space="preserve">D.2 Do external events explain the overdispersion?</w:t>
      </w:r>
      <w:r>
        <w:rPr>
          <w:rFonts w:ascii="Times New Roman" w:cs="Times New Roman" w:eastAsia="Times New Roman" w:hAnsi="Times New Roman"/>
        </w:rPr>
        <w:t xml:space="preserve"> If a head of state mostly reports external events and those events arrive as a Poisson process, posting would be overdispersed only because each event triggers several posts. The onsets of separate interstate wars are roughly Poisson at an annual scale (Richardson 1960; Clauset 2020), although this has been questioned (Houweling and Kuné 1984), and violent events within a war are usually modelled as self-exciting (Lewis et al. 2012). We tested the idea directly in an exploratory analysis whose definitions were fixed before the event counts were downloaded. We counted GDELT conflict events per day (Leetaru and Schrodt 2013) and added the previous day’s count, the average of the previous two to seven days, and total event volume to a negative binomial model of daily posts. The event terms are significant in all six pairings but remove only a small part of the dispersion: 9% for all Truth Social posts, 11% for tariff tweets, 17% to 20% for all tweets, and about 22% to 25% for oil and Iran posts; in no pairing do they remove half. Calendar-week fixed effects, by contrast, remove 66% of the dispersion of all tweets, so the overdispersion mostly reflects a slowly moving rate that daily conflict counts do not capture. The event series are themselves far from Poisson (variance-to-mean ratios of about 550 and 900 for Iran-related events; lag-1 autocorrelations of 0.85 and 0.96). Because these counts reflect media coverage, which the posts also influence, the tests do not identify causal direction, and the block-bootstrap intervals rest on only 100 resamples.</w:t>
      </w:r>
    </w:p>
    <w:p>
      <w:pPr>
        <w:spacing w:after="0" w:before="0" w:line="480" w:lineRule="auto"/>
        <w:ind w:firstLine="720"/>
      </w:pPr>
      <w:r>
        <w:rPr>
          <w:rFonts w:ascii="Times New Roman" w:cs="Times New Roman" w:eastAsia="Times New Roman" w:hAnsi="Times New Roman"/>
          <w:i/>
          <w:iCs/>
        </w:rPr>
        <w:t xml:space="preserve">D.3 Other actors who time their own events.</w:t>
      </w:r>
      <w:r>
        <w:rPr>
          <w:rFonts w:ascii="Times New Roman" w:cs="Times New Roman" w:eastAsia="Times New Roman" w:hAnsi="Times New Roman"/>
        </w:rPr>
        <w:t xml:space="preserve"> A head of state who announces a war and a company that releases a model both choose when the event occurs. If the pattern generalizes, the arrival of such events should not be Poisson, and markets should react more strongly on event days. We probed both questions using Wikipedia’s list of large language models (fetched on October 14, 2026; 187 rows with at least a month and 126 with a full date, nearly all from 2025 and 2026). The list is crowd-edited and selective, so the tests are descriptive. Monthly release counts remain overdispersed around a log trend (Pearson χ²/df = 1.7; negative binomial α = 0.25; likelihood-ratio p = 0.0001), and only 4% of the 125 releases with a full date since 2023 fell on a weekend, against 29% expected under a homogeneous process (χ² = 62.1, 6 df; Holm p &lt; 10⁻¹⁰). Individual developers release more regularly than a Poisson process (coefficients of variation 0.67 for Anthropic, 0.81 for OpenAI, and 1.12 for Google DeepMind), so the clustering appears only after pooling. For the 31 releases by listed developers, the mean abnormal return over the release day and the following trading day is 0.40 percentage points (SE 0.68; Wilcoxon p = 0.76), but the standardized absolute abnormal return is larger than in random two-day windows of the same firms (1.11 against 0.75; permutation p = 0.008; Holm p = 0.015). This magnitude effect without a direction shrinks by about 40% when three releases likely to coincide with other news are removed. The two settings agree that self-timed events do not arrive as a Poisson process, but they differ in the market response, and without a comparison group of externally caused events we do not claim a common market signature.</w:t>
      </w:r>
    </w:p>
    <w:p>
      <w:pPr>
        <w:pStyle w:val="Heading1"/>
        <w:keepNext/>
        <w:spacing w:after="0" w:before="240" w:line="480" w:lineRule="auto"/>
        <w:jc w:val="center"/>
      </w:pPr>
      <w:r>
        <w:rPr>
          <w:rFonts w:ascii="Times New Roman" w:cs="Times New Roman" w:eastAsia="Times New Roman" w:hAnsi="Times New Roman"/>
          <w:b/>
          <w:bCs/>
        </w:rPr>
        <w:t xml:space="preserve">Appendix E. Supplementary Analyses (Model-Labelled or Exploratory)</w:t>
      </w:r>
    </w:p>
    <w:p>
      <w:pPr>
        <w:spacing w:after="0" w:before="0" w:line="480" w:lineRule="auto"/>
        <w:ind w:firstLine="720"/>
      </w:pPr>
      <w:r>
        <w:rPr>
          <w:rFonts w:ascii="Times New Roman" w:cs="Times New Roman" w:eastAsia="Times New Roman" w:hAnsi="Times New Roman"/>
        </w:rPr>
        <w:t xml:space="preserve">The analyses in this appendix either use model labels that humans accept for only about half of the model-agreed signals, were generated from the cases they describe, or were run after the main results were known. They are not evidence for the account in Appendix F. In particular, the opposite signs of the oil responses in 2026 and in 2017 to 2021 are an unvalidated observation: the 2017 to 2021 oil sample has model labels only, and the pre-specified test of the proposition that would have explained the reversal (P6) failed in the opposite direction (E.5).</w:t>
      </w:r>
    </w:p>
    <w:p>
      <w:pPr>
        <w:keepNext/>
        <w:spacing w:after="0" w:before="240" w:line="240" w:lineRule="auto"/>
        <w:jc w:val="center"/>
      </w:pPr>
      <w:r>
        <w:drawing>
          <wp:inline distT="0" distB="0" distL="0" distR="0">
            <wp:extent cx="5715000" cy="2362200"/>
            <wp:effectExtent t="0" r="0" b="0" l="0"/>
            <wp:docPr id="5" name="image4.png" descr="Figure E1. WTI Path Around War-Period Posts, Model Labels (First Stage)" title="Figure E1. WTI Path Around War-Period Posts, Model Labels (Firs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6220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E1. WTI Path Around War-Period Posts, Model Labels (First Stage)</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De-escalation n = 33; escalation n = 27 with complete windows. Panel A: mean ± 1 SE. Panel B: median.</w:t>
      </w:r>
    </w:p>
    <w:p>
      <w:pPr>
        <w:keepNext/>
        <w:spacing w:after="0" w:before="240" w:line="240" w:lineRule="auto"/>
        <w:jc w:val="center"/>
      </w:pPr>
      <w:r>
        <w:drawing>
          <wp:inline distT="0" distB="0" distL="0" distR="0">
            <wp:extent cx="5715000" cy="2952750"/>
            <wp:effectExtent t="0" r="0" b="0" l="0"/>
            <wp:docPr id="6" name="image5.png" descr="Figure E2. Directional WTI Return by Hour Relative to the Bar Containing the Post" title="Figure E2. Directional WTI Return by Hour Relative to the Bar Containing the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5275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E2. Directional WTI Return by Hour Relative to the Bar Containing the Post</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Model-labelled de-escalation posts, mean ± 1 SE; the hour before the post bar already carries 0.36%.</w:t>
      </w:r>
    </w:p>
    <w:p>
      <w:pPr>
        <w:spacing w:after="0" w:before="0" w:line="480" w:lineRule="auto"/>
        <w:ind w:firstLine="720"/>
      </w:pPr>
      <w:r>
        <w:rPr>
          <w:rFonts w:ascii="Times New Roman" w:cs="Times New Roman" w:eastAsia="Times New Roman" w:hAnsi="Times New Roman"/>
          <w:i/>
          <w:iCs/>
        </w:rPr>
        <w:t xml:space="preserve">E.1 Earlier pre-specified mechanisms.</w:t>
      </w:r>
      <w:r>
        <w:rPr>
          <w:rFonts w:ascii="Times New Roman" w:cs="Times New Roman" w:eastAsia="Times New Roman" w:hAnsi="Times New Roman"/>
        </w:rPr>
        <w:t xml:space="preserve"> Three mechanisms were pre-specified before the Bayesian account. Under the binding-constraint mechanism, oil de-escalation posts moved WTI by 1.40% during the war and by 0.01% before it (p = 0.014; Holm-adjusted 0.056), but the other three primary comparisons did not support the prediction (oil escalation p = 0.86; tariff escalation, opposite sign, p = 0.09; tariff relief, three pre-period posts). Under salience, the coefficient of log posts in the previous seven days is 0.045 in the hold-out topics (p = 0.44), and those topics show no hourly reaction at all. Habituation is −0.24 pooled in-sample (p = 0.036, exploratory) and −0.09 (SE 0.29) in the pre-specified 2022 to 2024 test, whose minimum detectable effect (0.82) is more than three times the in-sample estimate, so that test can neither confirm nor refute it. The difference between action and rhetoric posts was 0.56 points for oil (p = 0.12) and not significant when pooled (p = 0.20). Before the war, de-escalation posts about Iran show the same sign at about a quarter of the size, significant only for posts on which both coders agree (−0.62%, n = 8, p = 0.008); posts about monetary policy and non-tariff China matters show no hourly reaction, although the samples are too small to call this an absence of response.</w:t>
      </w:r>
    </w:p>
    <w:p>
      <w:pPr>
        <w:spacing w:after="0" w:before="0" w:line="480" w:lineRule="auto"/>
        <w:ind w:firstLine="720"/>
      </w:pPr>
      <w:r>
        <w:rPr>
          <w:rFonts w:ascii="Times New Roman" w:cs="Times New Roman" w:eastAsia="Times New Roman" w:hAnsi="Times New Roman"/>
          <w:i/>
          <w:iCs/>
        </w:rPr>
        <w:t xml:space="preserve">E.2 Content analysis for hypothesis generation.</w:t>
      </w:r>
      <w:r>
        <w:rPr>
          <w:rFonts w:ascii="Times New Roman" w:cs="Times New Roman" w:eastAsia="Times New Roman" w:hAnsi="Times New Roman"/>
        </w:rPr>
        <w:t xml:space="preserve"> To generate hypotheses about which posts were consequential, 136 posts were coded by two model-instance analysts (Appendix B.6), and 20 cases (the eight largest reactions, six moves opposite to the post’s direction, and six near-zero de-escalation posts) were compared with contemporaneous market-wire coverage collected without access to our reaction values. Because the analysts are model instances and no human interpreter was involved, we describe this as LLM-assisted content analysis for hypothesis generation, not as interpretive research. Post-level agreement on shared concepts ranged from κ = 0.37 (claims of agreement) and 0.42 (boasts) to 0.96 (amplification). Five themes were retained: pressure-then-pause cycles; concrete acts versus atmospheric statements; counterparty denial and partial retracement (after the March 23 postponement, the Iranian government denied that talks had taken place, and oil rebounded in the next session); posts that are themselves the first announcement of a decision (four of the eight largest reactions); and multi-causality (all 20 cases show other reported drivers, seven of which were not mentioned in market coverage). Two propositions derived from these themes were tested on held-out data and not supported: that re-posts and links produce no reaction while original posts do (difference −0.13 standard deviations; CI −0.57 to 0.31; minimum detectable effect 0.75), and that after-hours posts are better measured at the next open (−0.10 points, p = 0.63).</w:t>
      </w:r>
    </w:p>
    <w:p>
      <w:pPr>
        <w:spacing w:after="0" w:before="0" w:line="480" w:lineRule="auto"/>
        <w:ind w:firstLine="720"/>
      </w:pPr>
      <w:r>
        <w:rPr>
          <w:rFonts w:ascii="Times New Roman" w:cs="Times New Roman" w:eastAsia="Times New Roman" w:hAnsi="Times New Roman"/>
          <w:i/>
          <w:iCs/>
        </w:rPr>
        <w:t xml:space="preserve">E.3 Timing surprisal (P7), first source, and redundancy (P5).</w:t>
      </w:r>
      <w:r>
        <w:rPr>
          <w:rFonts w:ascii="Times New Roman" w:cs="Times New Roman" w:eastAsia="Times New Roman" w:hAnsi="Times New Roman"/>
        </w:rPr>
        <w:t xml:space="preserve"> For each post, we computed the surprisal of its waiting time under a lognormal predictive model fitted to the poster’s own gaps over the preceding 60 days, separately by trading-session bucket. Pooled over three tick-level samples, a one-standard-deviation increase in timing surprisal is associated with a 0.04 SD larger standardized reaction (SE 0.065; one-sided p = 0.27; n = 685), controlling for novelty, prior uncertainty, the preceding 30-minute reaction, the number of posts in the prior hour, session, and sample; the estimates are 0.08 for tariff tweets, −0.02 for oil tweets, and −0.01 for the 2026 posts (Holm p ≥ 0.60). The confidence interval (about −0.09 to 0.17 SD) excludes a medium effect but not a small one, so P7 is not supported. We also classified all 61 war-period signal posts by whether an outside public source had reported the decision earlier, with searchers seeing only the post’s time and text: 32 were first reported by the post, 14 by another source, 10 simultaneously, and 5 could not be determined. The mean directional reaction was 0.73% when the post came first and 0.04% when another source did (difference 0.70; permutation p = 0.176). Because “post first” means only that keyword search found no earlier report, the classification is an upper bound on how often the post came first. Redundancy (P5) was examined as the correlation between novelty and the number of same-topic posts in the previous 24 hours (−0.10, in the expected direction but uninformative).</w:t>
      </w:r>
    </w:p>
    <w:p>
      <w:pPr>
        <w:spacing w:after="0" w:before="0" w:line="480" w:lineRule="auto"/>
        <w:ind w:firstLine="720"/>
      </w:pPr>
      <w:r>
        <w:rPr>
          <w:rFonts w:ascii="Times New Roman" w:cs="Times New Roman" w:eastAsia="Times New Roman" w:hAnsi="Times New Roman"/>
          <w:i/>
          <w:iCs/>
        </w:rPr>
        <w:t xml:space="preserve">E.4 Twitter-era oil and Iran tweets (model labels).</w:t>
      </w:r>
      <w:r>
        <w:rPr>
          <w:rFonts w:ascii="Times New Roman" w:cs="Times New Roman" w:eastAsia="Times New Roman" w:hAnsi="Times New Roman"/>
        </w:rPr>
        <w:t xml:space="preserve"> We pre-specified a confirmatory analysis of the president’s original tweets from January 20, 2017, to January 8, 2021, that mention Iran, oil, OPEC, Saudi Arabia, or related energy terms (341 tweets; two model instances, κ = 0.77). After the three-hour cluster filter, 278 tweets remained, and 191 had a tick window. The outcome is the 30-minute absolute return scaled by the prior 60-day volatility, so the tests of P1 to P3 do not depend on any label. None is supported (novelty −0.27, SE 0.74; prior uncertainty 0.18, SE 0.18; interaction −0.37, SE 1.81; Holm-adjusted p = 1.00, 0.45, and 1.00). A lexical novelty measure registered as a robustness check is positive (1.14, SE 0.44; p = 0.005), but the plan designated the compression measure as the test, so we do not read the lexical result as confirmation. Among tweets that both model instances label escalation (n = 32), oil rose by 0.51% over 30 minutes (median 0.09%; one-sided Wilcoxon p = 0.001), with an excess over the preceding 30 minutes of 0.50 points (p = 0.010); de-escalation tweets (n = 11) show 0.18% (p = 0.22). This is the reverse of the 2026 pattern on model labels. A Bayesian account can accommodate the reversal, since a message is informative when it moves beliefs toward a state the market considers unlikely, but we had not pre-specified it and offer it only as a post hoc reading, tested as P6 in E.5. The standardized reaction is also larger in 2026 (1.39 against 0.84; exploratory permutation p = 0.002), a comparison confounded with the war.</w:t>
      </w:r>
    </w:p>
    <w:p>
      <w:pPr>
        <w:spacing w:after="0" w:before="0" w:line="480" w:lineRule="auto"/>
        <w:ind w:firstLine="720"/>
      </w:pPr>
      <w:r>
        <w:rPr>
          <w:rFonts w:ascii="Times New Roman" w:cs="Times New Roman" w:eastAsia="Times New Roman" w:hAnsi="Times New Roman"/>
          <w:i/>
          <w:iCs/>
        </w:rPr>
        <w:t xml:space="preserve">E.5 Tariff and trade tweets (model labels; state-dependent sign).</w:t>
      </w:r>
      <w:r>
        <w:rPr>
          <w:rFonts w:ascii="Times New Roman" w:cs="Times New Roman" w:eastAsia="Times New Roman" w:hAnsi="Times New Roman"/>
        </w:rPr>
        <w:t xml:space="preserve"> For the tariff, trade, and China tweets of 2017 to 2021 (937 original tweets; 632 after the cluster filter; 410 with an S&amp;P 500 tick window; two model instances, κ = 0.80), we registered the tests before any return was examined. The coefficient of prior uncertainty on the standardized reaction is 0.40 (SE 0.10; Holm-adjusted p = 0.0001), but because both the regressor and the outcome are scaled by long-run volatility, this is what volatility persistence predicts without any updating on the post (Appendix F). Novelty and the interaction are not supported. Among tweets with an agreed label, the S&amp;P 500 rose by 0.085% after de-escalation tweets (n = 70; one-sided p = 0.0007) and fell by 0.046% after escalation tweets (n = 50; p = 0.024). Human validation tells a different story. Two coders labelled 150 of these tweets (κ = 0.54; 44 disagreements adjudicated), and the model labels agree with the final human labels only weakly (κ = 0.39 and 0.34): of the 60 tweets that both models call escalation or de-escalation, humans assign the same label to 33, call 19 “other,” and reverse the sign of 8. On the human labels, the de-escalation response seen with model labels is not reproduced (−0.10%, n = 20; one-sided p = 0.49), and the escalation response is borderline (0.058%, n = 30; p = 0.069). A regime variable, computed from labels alone as the balance of escalatory and de-escalatory tweets over the preceding 30 days, was used to test P6, which predicts that a message running against the regime moves prices more than one continuing it. The coefficient is −0.097 (SE 0.032; one-sided p = 0.9987), the opposite of the prediction, and the human-labelled subset gives the same answer (−0.041, SE 0.079). P6 is not supported, and the reversal between the two oil samples carries no theoretical weight.</w:t>
      </w:r>
    </w:p>
    <w:p>
      <w:pPr>
        <w:pStyle w:val="Heading1"/>
        <w:keepNext/>
        <w:spacing w:after="0" w:before="240" w:line="480" w:lineRule="auto"/>
        <w:jc w:val="center"/>
      </w:pPr>
      <w:r>
        <w:rPr>
          <w:rFonts w:ascii="Times New Roman" w:cs="Times New Roman" w:eastAsia="Times New Roman" w:hAnsi="Times New Roman"/>
          <w:b/>
          <w:bCs/>
        </w:rPr>
        <w:t xml:space="preserve">Appendix F. Motivation from Bayesian Updating, and Tests</w:t>
      </w:r>
    </w:p>
    <w:p>
      <w:pPr>
        <w:spacing w:after="0" w:before="0" w:line="480" w:lineRule="auto"/>
        <w:ind w:firstLine="720"/>
      </w:pPr>
      <w:r>
        <w:rPr>
          <w:rFonts w:ascii="Times New Roman" w:cs="Times New Roman" w:eastAsia="Times New Roman" w:hAnsi="Times New Roman"/>
        </w:rPr>
        <w:t xml:space="preserve">These analyses motivated the study. We report them here because they do not bear on the labelling question. They use hourly signal posts selected with model labels, but their outcome is the size of the reaction, which does not depend on the label of direction. The tests have low power, and “not supported” means only that they could not detect an effect.</w:t>
      </w:r>
    </w:p>
    <w:p>
      <w:pPr>
        <w:spacing w:after="0" w:before="0" w:line="480" w:lineRule="auto"/>
        <w:ind w:firstLine="720"/>
      </w:pPr>
      <w:r>
        <w:rPr>
          <w:rFonts w:ascii="Times New Roman" w:cs="Times New Roman" w:eastAsia="Times New Roman" w:hAnsi="Times New Roman"/>
          <w:i/>
          <w:iCs/>
        </w:rPr>
        <w:t xml:space="preserve">F.1 Motivation and propositions.</w:t>
      </w:r>
      <w:r>
        <w:rPr>
          <w:rFonts w:ascii="Times New Roman" w:cs="Times New Roman" w:eastAsia="Times New Roman" w:hAnsi="Times New Roman"/>
        </w:rPr>
        <w:t xml:space="preserve"> When the author of a message is also the decision maker, the message may be the decision’s first public form (Austin 1962; Searle 1969). A platform lowers the cost of producing messages and removes the intermediaries that would otherwise filter or confirm them, so receivers must infer how reliable the channel is (Crawford and Sobel 1982; Kamenica and Gentzkow 2011). We first stated this in information-theoretic terms (Shannon 1948; Cover and Thomas 2006): a message that moves the market’s belief about a state from π to π′ conveys KL(π′ ‖ π) (Kullback and Leibler 1951). These quantities restate Bayesian updating, and the standard model of price reactions to public announcements (Kim and Verrecchia 1991) yields the same implications with its parameters explicit. Let V be the asset value implied by the state, with prior V ~ N(m, σ₀²) held by the market before the post. A post is a public signal y = V + ε, with ε ~ N(0, 1/s) independent of V, where the precision s captures how reliably the post reveals the decision. If the price equals the posterior mean, the price revision at the post is</w:t>
      </w:r>
    </w:p>
    <w:p>
      <w:pPr>
        <w:spacing w:after="0" w:before="0" w:line="480" w:lineRule="auto"/>
        <w:jc w:val="center"/>
      </w:pPr>
      <w:r>
        <w:rPr>
          <w:rFonts w:ascii="Times New Roman" w:cs="Times New Roman" w:eastAsia="Times New Roman" w:hAnsi="Times New Roman"/>
        </w:rPr>
        <w:t xml:space="preserve">ΔP = w · (y − m),   where w = s σ₀² / (1 + s σ₀²),     (F1)</w:t>
      </w:r>
    </w:p>
    <w:p>
      <w:pPr>
        <w:spacing w:after="0" w:before="0" w:line="480" w:lineRule="auto"/>
      </w:pPr>
      <w:r>
        <w:rPr>
          <w:rFonts w:ascii="Times New Roman" w:cs="Times New Roman" w:eastAsia="Times New Roman" w:hAnsi="Times New Roman"/>
        </w:rPr>
        <w:t xml:space="preserve">and its variance across posts is</w:t>
      </w:r>
    </w:p>
    <w:p>
      <w:pPr>
        <w:spacing w:after="0" w:before="0" w:line="480" w:lineRule="auto"/>
        <w:jc w:val="center"/>
      </w:pPr>
      <w:r>
        <w:rPr>
          <w:rFonts w:ascii="Times New Roman" w:cs="Times New Roman" w:eastAsia="Times New Roman" w:hAnsi="Times New Roman"/>
        </w:rPr>
        <w:t xml:space="preserve">Var(ΔP) = w · σ₀².     (F2)</w:t>
      </w:r>
    </w:p>
    <w:p>
      <w:pPr>
        <w:spacing w:after="0" w:before="0" w:line="480" w:lineRule="auto"/>
        <w:ind w:firstLine="720"/>
      </w:pPr>
      <w:r>
        <w:rPr>
          <w:rFonts w:ascii="Times New Roman" w:cs="Times New Roman" w:eastAsia="Times New Roman" w:hAnsi="Times New Roman"/>
        </w:rPr>
        <w:t xml:space="preserve">The propositions follow. For a given precision, the size of the reaction increases in the surprise y − m (P1, surprisal). A post that repeats information the market already holds carries a smaller surprise and, when it is correlated with earlier public signals, a smaller incremental precision (P5, redundancy; Holthausen and Verrecchia 1988; Tetlock 2011). For a given surprise, the reaction increases in prior uncertainty σ₀² because w does (P2), and because the surprise is multiplied by w, its effect is larger when prior uncertainty is higher (P3). The reaction also increases in precision s, the reliability channel. The sign of ΔP is the sign of y − m, so a de-escalation post moves oil down only to the extent that the market had not already expected de-escalation, which is the logic of the state-dependent sign (P6). P4 states that the mutual information between post class and the direction of the subsequent price move is positive when prior uncertainty is high and close to zero otherwise, and P7 extends the surprise to the timing of a post. In this Gaussian case, the information-theoretic quantity is a function of the same terms, KL(π′ ‖ π) = ½[ΔP²/σ₀² − w − ln(1 − w)], which is large when the standardized revision is large and when w is large. The restatement therefore adds no prediction; it makes the parameters explicit and shows what each proxy has to measure.</w:t>
      </w:r>
    </w:p>
    <w:p>
      <w:pPr>
        <w:spacing w:after="0" w:before="0" w:line="480" w:lineRule="auto"/>
        <w:ind w:firstLine="720"/>
      </w:pPr>
      <w:r>
        <w:rPr>
          <w:rFonts w:ascii="Times New Roman" w:cs="Times New Roman" w:eastAsia="Times New Roman" w:hAnsi="Times New Roman"/>
        </w:rPr>
        <w:t xml:space="preserve">The proxies are crude. Prior uncertainty is measured as relative volatility, not as the prior variance σ₀² of beliefs about the strait, and novelty is a lexical measure computed on the poster’s own recent text, not on the market’s information set. We therefore treat failures as failures of these tests, not of the model, and we do not claim that the account organizes the evidence. The restatement also clarifies what the tests could and could not detect. Equation (F2) scales with σ₀², and so does the variance of returns in hours without a post when volatility is persistent. The outcome |z|, scaled by long-run volatility, therefore rises with recent volatility whether or not the market updates on the post. What the model attributes to the post is w, the share of prior variance that the post resolves, which can be estimated as the ratio of the return variance at posts to that in comparable hours without a post. A test of P2 that is not confounded by volatility persistence would scale the post-window return by the volatility of matched placebo windows rather than by long-run volatility and ask whether the scaled reaction rises with prior uncertainty. We have not run this test; it is a design implication, not a result. Two further gaps remain. The novelty measure N_c measures the surprise y − m only if the market’s expectation m is formed from the poster’s recent messages, and the precision s has no proxy in our data.</w:t>
      </w:r>
    </w:p>
    <w:p>
      <w:pPr>
        <w:spacing w:after="0" w:before="0" w:line="480" w:lineRule="auto"/>
        <w:ind w:firstLine="720"/>
      </w:pPr>
      <w:r>
        <w:rPr>
          <w:rFonts w:ascii="Times New Roman" w:cs="Times New Roman" w:eastAsia="Times New Roman" w:hAnsi="Times New Roman"/>
          <w:i/>
          <w:iCs/>
        </w:rPr>
        <w:t xml:space="preserve">F.2 Measures.</w:t>
      </w:r>
      <w:r>
        <w:rPr>
          <w:rFonts w:ascii="Times New Roman" w:cs="Times New Roman" w:eastAsia="Times New Roman" w:hAnsi="Times New Roman"/>
        </w:rPr>
        <w:t xml:space="preserve"> Novelty N_c is a conditional compression ratio: the compressed length of the post appended to the account’s last 30,000 characters of posts from the preceding seven days, minus the compressed length of that context, divided by the compressed length of the post alone. A TF-IDF measure (one minus the maximum cosine similarity to any post in the previous seven days) serves as a robustness check. Prior uncertainty U is the log ratio of the standard deviation of the previous 24 one-bar returns to that of the previous 300 in the post’s primary asset. Mutual information is estimated between post class (de-escalation, escalation, or none) and the sign of the two-hour return over all war-period bars, with a permutation null. Because U shares the long-run volatility denominator with |z|, a positive coefficient on U is also what volatility persistence predicts.</w:t>
      </w:r>
    </w:p>
    <w:p>
      <w:pPr>
        <w:spacing w:after="0" w:before="0" w:line="480" w:lineRule="auto"/>
        <w:ind w:firstLine="720"/>
      </w:pPr>
      <w:r>
        <w:rPr>
          <w:rFonts w:ascii="Times New Roman" w:cs="Times New Roman" w:eastAsia="Times New Roman" w:hAnsi="Times New Roman"/>
          <w:i/>
          <w:iCs/>
        </w:rPr>
        <w:t xml:space="preserve">F.3 Tests.</w:t>
      </w:r>
      <w:r>
        <w:rPr>
          <w:rFonts w:ascii="Times New Roman" w:cs="Times New Roman" w:eastAsia="Times New Roman" w:hAnsi="Times New Roman"/>
        </w:rPr>
        <w:t xml:space="preserve"> Table F1 reports the pre-specified tests on 271 hourly signal posts across four topics (oil 112, tariffs 74, Federal Reserve 47, China 38), with topic fixed effects and standard errors clustered by day; the outcome is |z|. The coefficients of novelty and prior uncertainty have the predicted sign in the 2026 sample and its replication, but none reaches p &lt; 0.05, and the interaction is absent. In the two 2017 to 2021 samples, novelty is negative or zero. With 271 posts, the standard error of the novelty coefficient is 0.56 against an estimate of 0.77, so effects below about 1.5 in these units cannot be excluded. The only coefficient that clears its threshold, prior uncertainty in the tariff tweets, is the one that volatility persistence predicts without any updating, and it did not appear in the oil samples. The mutual-information result, about one thousandth of a bit per hourly bar, is one of four tests in its plan family; a Holm adjustment over the four would give p = 0.16, and we do not count it as support.</w:t>
      </w:r>
    </w:p>
    <w:p>
      <w:pPr>
        <w:keepNext/>
        <w:spacing w:after="120" w:before="240" w:line="240" w:lineRule="auto"/>
        <w:jc w:val="center"/>
      </w:pPr>
      <w:r>
        <w:rPr>
          <w:rFonts w:ascii="Times New Roman" w:cs="Times New Roman" w:eastAsia="Times New Roman" w:hAnsi="Times New Roman"/>
          <w:b/>
          <w:bCs/>
          <w:sz w:val="22"/>
          <w:szCs w:val="22"/>
        </w:rPr>
        <w:t xml:space="preserve">Table F1. Pre-Specified Tests of the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8"/>
        <w:gridCol w:w="1931"/>
        <w:gridCol w:w="1114"/>
        <w:gridCol w:w="3567"/>
      </w:tblGrid>
      <w:tr>
        <w:trPr>
          <w:cantSplit/>
          <w:tblHeader/>
        </w:trPr>
        <w:tc>
          <w:tcPr>
            <w:tcW w:type="dxa" w:w="274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Proposition</w:t>
            </w:r>
          </w:p>
        </w:tc>
        <w:tc>
          <w:tcPr>
            <w:tcW w:type="dxa" w:w="193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Estimate</w:t>
            </w:r>
          </w:p>
        </w:tc>
        <w:tc>
          <w:tcPr>
            <w:tcW w:type="dxa" w:w="111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One-sided p</w:t>
            </w:r>
          </w:p>
        </w:tc>
        <w:tc>
          <w:tcPr>
            <w:tcW w:type="dxa" w:w="356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Decision</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novelty N_c, 2026 sample</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+0.77 (SE 0.56)</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0.084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 same sign in all four topics</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2022–24 daily (n = 49)</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+0.26 (SE 0.37)</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Same sign</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2017–21 oil/Iran tweets (n = 191)</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−0.27 (SE 0.74)</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2017–21 tariff tweets (n = 410)</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−0.05 (SE 0.68)</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Holm 0.74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P2 prior uncertainty U, 2026</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+0.29 (SE 0.20)</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0.072</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P2, 2017–21 oil/Iran</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+0.18 (SE 0.18)</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0.15</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P2, 2017–21 tariff</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+0.40 (SE 0.10)</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&lt; 0.001</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Supported; confounded with volatility clustering</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P3 N_c × U, 2026</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−0.08 (SE 1.52)</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0.52</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P3, 2017–21 oil/Iran; tariff</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−0.37 (1.81); +0.32 (0.97)</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0.58; Holm 0.74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P4 mutual information, war</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0.0014 bits (null 0.0004)</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0.041</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Marginal; Holm over HI1–HI4 would give 0.16</w:t>
            </w:r>
          </w:p>
        </w:tc>
      </w:tr>
      <w:tr>
        <w:trPr>
          <w:cantSplit/>
          <w:tblHeader w:val="off"/>
        </w:trPr>
        <w:tc>
          <w:tcPr>
            <w:tcW w:type="dxa" w:w="274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P4 mutual information, pre-war</w:t>
            </w:r>
          </w:p>
        </w:tc>
        <w:tc>
          <w:tcPr>
            <w:tcW w:type="dxa" w:w="193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0.0003 bits (null 0.0002)</w:t>
            </w:r>
          </w:p>
        </w:tc>
        <w:tc>
          <w:tcPr>
            <w:tcW w:type="dxa" w:w="111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0.28</w:t>
            </w:r>
          </w:p>
        </w:tc>
        <w:tc>
          <w:tcPr>
            <w:tcW w:type="dxa" w:w="356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different from null</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Analysis plans are listed in Table A2.</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fbc097b75899aa5eb09024c472fe10242058ea1.png"/><Relationship Id="rId9" Type="http://schemas.openxmlformats.org/officeDocument/2006/relationships/image" Target="media/3c68d1c17b9a3b18e4659abc3750a139da30cba6.png"/><Relationship Id="rId10" Type="http://schemas.openxmlformats.org/officeDocument/2006/relationships/image" Target="media/6b4dd8996c103efd985af474697e665461127e73.png"/><Relationship Id="rId11" Type="http://schemas.openxmlformats.org/officeDocument/2006/relationships/image" Target="media/a06a6b5ed7e26bdc6f356fac00f68f31f8c22040.png"/><Relationship Id="rId12" Type="http://schemas.openxmlformats.org/officeDocument/2006/relationships/image" Target="media/4780fa26979f04e87e585156fd05db44f8cb1a9a.png"/><Relationship Id="rId13" Type="http://schemas.openxmlformats.org/officeDocument/2006/relationships/image" Target="media/24573b50938683eaa65237c7eb7f3012eb7767c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cp:lastModifiedBy>Un-named</cp:lastModifiedBy>
  <cp:revision>1</cp:revision>
  <dcterms:created xsi:type="dcterms:W3CDTF">2026-10-15T23:29:45.383Z</dcterms:created>
  <dcterms:modified xsi:type="dcterms:W3CDTF">2026-10-15T23:29:45.388Z</dcterms:modified>
</cp:coreProperties>
</file>

<file path=docProps/custom.xml><?xml version="1.0" encoding="utf-8"?>
<Properties xmlns="http://schemas.openxmlformats.org/officeDocument/2006/custom-properties" xmlns:vt="http://schemas.openxmlformats.org/officeDocument/2006/docPropsVTypes"/>
</file>