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The central result is that this rent lasts only until rivals imitate the capital or until the developer itself productizes the use, so that an adopter’s profitable window depends on its supplier as well as on its competitors.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4.5 then lets the developer choose</w:t>
      </w:r>
      <w:r>
        <w:t xml:space="preserve"> </w:t>
      </w:r>
      <m:oMath>
        <m:r>
          <m:t>η</m:t>
        </m:r>
      </m:oMath>
      <w:r>
        <w:t xml:space="preserve"> </w:t>
      </w:r>
      <w:r>
        <w:t xml:space="preserve">and shows how contract terms that limit its use of adopters’ data change that choice and, through it, the adopter’s incentive to invest. Section 4.6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4.5);</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4.6)</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Start w:id="36" w:name="Xb251667487cf04b98c628b0f1577ec4895e93a1"/>
    <w:p>
      <w:pPr>
        <w:pStyle w:val="Heading2"/>
      </w:pPr>
      <w:r>
        <w:t xml:space="preserve">4.5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developer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developer’s use of the adopter’s data, fine-tuning, or deployment information. The developer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developer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developer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developer’s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developer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developer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developer’s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developer’s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4 gives a numerical illustration. Protection clears for uses with small rents and fails for uses with large rents, because the developer’s gain from productizing grows with the rent. The pattern depends on the parameters and is not general, since in a simulation with randomly drawn parameters the willingness to pay fell short of the developer’s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4. Willingness to pay for protection versus the developer’s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Developer’s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developer. Competition among vendors is added in Section 4.6.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6"/>
    <w:bookmarkStart w:id="37" w:name="competition-among-vendors"/>
    <w:p>
      <w:pPr>
        <w:pStyle w:val="Heading2"/>
      </w:pPr>
      <w:r>
        <w:t xml:space="preserve">4.6 Competition among vendors</w:t>
      </w:r>
    </w:p>
    <w:p>
      <w:pPr>
        <w:pStyle w:val="FirstParagraph"/>
      </w:pPr>
      <w:r>
        <w:t xml:space="preserve">Section 4.5 has a single developer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4.5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5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5.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4.5. Vendors are symmetric apart from their access to the adopter’s data, the rate of each vendor is constant, and a vendor whose rival wins earns nothing. Letting the winner share the use, or letting vendors differentiate their offerings, would soften the race.</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9"/>
    <w:bookmarkStart w:id="40"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2"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4 suggests that such terms may be hardest to obtain for the most valuable uses, which is a reason for adopters to negotiate them before a use proves valuable and not after. Table 5 adds that, when many vendors can build the use, a clause with one supplier buys little, so that the adopter’s protection comes mainly from the difficulty of replicating the use.</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2026-10-20T23:32:06Z</dcterms:created>
  <dcterms:modified xsi:type="dcterms:W3CDTF">2026-10-20T23:32:06Z</dcterms:modified>
</cp:coreProperties>
</file>

<file path=docProps/custom.xml><?xml version="1.0" encoding="utf-8"?>
<Properties xmlns="http://schemas.openxmlformats.org/officeDocument/2006/custom-properties" xmlns:vt="http://schemas.openxmlformats.org/officeDocument/2006/docPropsVTypes"/>
</file>