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reflects user activity and accumulated work more clearly than responsiveness to degradation and should not be read as a validated signal of it.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show no measurable rise with release age relative to total issues, releases respond to the volume of user issues but not distinguishably to bug reports as such, and they show no detectable response to upstream model launches. Release timing also tends to track the accumulation of merged work. Release cadence therefore looks more like a signal of user activity and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pPr>
      <w:r>
        <w:t xml:space="preserve">The answer to RQ3 is that release probabilities respond to the volume of user issues but not distinguishably to bug reports as such. With non-bug issues held fixed, one standard deviation more bug reports in the previous week raises the log-odds of a release by 0.26 (wild cluster bootstrap p = 0.01), a response of about the same size as that to non-bug issues (0.22), and the additional response to bug reports at a given total volume is positive but not significant (0.19; wild cluster bootstrap p = 0.18). Releases show no detectable response to 38 upstream model launches, although release notes often mention a new model after its launch, which suggests that the content of releases responds while their timing does not. </w:t>
      </w:r>
    </w:p>
    <w:p>
      <w:pPr>
        <w:pStyle w:val="BodyText"/>
      </w:pPr>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the volume of user issues but not distinguishably to bug reports as such or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as the documented procedures of two of our repositories show (Section 5.2).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 and that the comparative statics of the threshold agree in direction numerically.</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Two retained repositories (anthropic-sdk-python and openai-python) document an automated release pull-request pipeline (Section 5.2). We keep them, because the pipeline does not remove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which is about the size of the response to non-bug issues that the data detect (Section 5.3);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whose release pipelines are automated (anthropic-sdk-python and openai-python), (ii) separately for the weekly releasers (a median gap of at most one week between release weeks)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 The evidence against an accumulating error state is thus weaker than the estimate under (b) alone suggests.</w:t>
      </w:r>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The point estimate on non-bug issues in the same model is 0.220, close to that on bug reports, so releases follow the overall flow of user reports at least as much as they follow defects.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0.18), and the three-week average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0.02) for the one-week lag and 0.318 (0.098; wild cluster bootstrap p = 0.02) for the three-week average with non-bug issues held fixed, and 0.143 (0.129; wild cluster bootstrap p = 0.32) and 0.218 (0.120; wild cluster bootstrap p = 0.10) with total issues held fixed.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A hand check of 12 randomly drawn entries found the three flagged as fixes to be fixes and the nine others to be other changes;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with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conflates development activity with a control response to degradation.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shows no sign of being a valid signal of responsiveness to degradation: it covaries with user activity in general and not distinguishably with the defects that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and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in Sections 5.1 to 5.6 and in Table 1,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find no clear sign that it follows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p>
      <w:pPr>
        <w:pStyle w:val="TableCaption"/>
      </w:pPr>
      <w:r>
        <w:t xml:space="preserve">Table A1. Optimal drift threshold by refresh cost (other parameters as in Section 3.5)</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p>
      <w:pPr>
        <w:pStyle w:val="TableCaption"/>
      </w:pPr>
      <w:r>
        <w:t xml:space="preserve">Table A2. Optimal drift threshold by drift speed (other parameters as in Section 3.5)</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p>
      <w:pPr>
        <w:pStyle w:val="TableCaption"/>
      </w:pPr>
      <w:r>
        <w:t xml:space="preserve">Table A3. Optimal drift threshold by discount factor (other parameters as in Section 3.5)</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ageBreakBefore/>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pp. 38–67.</w:t>
      </w:r>
    </w:p>
    <w:p>
      <w:pPr>
        <w:pStyle w:val="Bibliography"/>
      </w:pPr>
      <w:r>
        <w:t xml:space="preserve">Alvarez, F. E., Lippi, F., and Paciello, L. 2011. “Optimal Price Setting with Observation and Menu Costs,” </w:t>
      </w:r>
      <w:r>
        <w:rPr>
          <w:i/>
          <w:iCs/>
        </w:rPr>
        <w:t xml:space="preserve">Quarterly Journal of Economics</w:t>
      </w:r>
      <w:r>
        <w:t xml:space="preserve"> (126:4), pp.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pp. 291–300.</w:t>
      </w:r>
    </w:p>
    <w:p>
      <w:pPr>
        <w:pStyle w:val="Bibliography"/>
      </w:pPr>
      <w:r>
        <w:t xml:space="preserve">Banker, R. D., Datar, S. M., Kemerer, C. F., and Zweig, D. 1993. “Software Complexity and Maintenance Costs,” </w:t>
      </w:r>
      <w:r>
        <w:rPr>
          <w:i/>
          <w:iCs/>
        </w:rPr>
        <w:t xml:space="preserve">Communications of the ACM</w:t>
      </w:r>
      <w:r>
        <w:t xml:space="preserve"> (36:11), pp. 81–94.</w:t>
      </w:r>
    </w:p>
    <w:p>
      <w:pPr>
        <w:pStyle w:val="Bibliography"/>
      </w:pPr>
      <w:r>
        <w:t xml:space="preserve">Barlow, R., and Hunter, L. 1960. “Optimum Preventive Maintenance Policies,” </w:t>
      </w:r>
      <w:r>
        <w:rPr>
          <w:i/>
          <w:iCs/>
        </w:rPr>
        <w:t xml:space="preserve">Operations Research</w:t>
      </w:r>
      <w:r>
        <w:t xml:space="preserve"> (8:1), pp.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pp. 783–826.</w:t>
      </w:r>
    </w:p>
    <w:p>
      <w:pPr>
        <w:pStyle w:val="Bibliography"/>
      </w:pPr>
      <w:r>
        <w:t xml:space="preserve">Calvo, G. A. 1983. “Staggered Prices in a Utility-Maximizing Framework,” </w:t>
      </w:r>
      <w:r>
        <w:rPr>
          <w:i/>
          <w:iCs/>
        </w:rPr>
        <w:t xml:space="preserve">Journal of Monetary Economics</w:t>
      </w:r>
      <w:r>
        <w:t xml:space="preserve"> (12:3), pp. 383–398.</w:t>
      </w:r>
    </w:p>
    <w:p>
      <w:pPr>
        <w:pStyle w:val="Bibliography"/>
      </w:pPr>
      <w:r>
        <w:t xml:space="preserve">Cameron, A. C., Gelbach, J. B., and Miller, D. L. 2008. “Bootstrap-Based Improvements for Inference with Clustered Errors,” </w:t>
      </w:r>
      <w:r>
        <w:rPr>
          <w:i/>
          <w:iCs/>
        </w:rPr>
        <w:t xml:space="preserve">Review of Economics and Statistics</w:t>
      </w:r>
      <w:r>
        <w:t xml:space="preserve"> (90:3), pp.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Chen, W., Liu, X., Krishnan, V., and Zhu, K. 2026. “Strategic Release and Co-Creation: Empirical Insights for Managing Open-Source Software,” </w:t>
      </w:r>
      <w:r>
        <w:rPr>
          <w:i/>
          <w:iCs/>
        </w:rPr>
        <w:t xml:space="preserve">Information Systems Research</w:t>
      </w:r>
      <w:r>
        <w:t xml:space="preserve"> (articles in advance) (https://doi.org/10.1287/isre.2021.0601).</w:t>
      </w:r>
    </w:p>
    <w:p>
      <w:pPr>
        <w:pStyle w:val="Bibliography"/>
      </w:pPr>
      <w:r>
        <w:t xml:space="preserve">Connelly, B. L., Certo, S. T., Ireland, R. D., and Reutzel, C. R. 2011. “Signaling Theory: A Review and Assessment,” </w:t>
      </w:r>
      <w:r>
        <w:rPr>
          <w:i/>
          <w:iCs/>
        </w:rPr>
        <w:t xml:space="preserve">Journal of Management</w:t>
      </w:r>
      <w:r>
        <w:t xml:space="preserve"> (37:1), pp. 39–67.</w:t>
      </w:r>
    </w:p>
    <w:p>
      <w:pPr>
        <w:pStyle w:val="Bibliography"/>
      </w:pPr>
      <w:r>
        <w:t xml:space="preserve">DerSimonian, R., and Laird, N. 1986. “Meta-Analysis in Clinical Trials,” </w:t>
      </w:r>
      <w:r>
        <w:rPr>
          <w:i/>
          <w:iCs/>
        </w:rPr>
        <w:t xml:space="preserve">Controlled Clinical Trials</w:t>
      </w:r>
      <w:r>
        <w:t xml:space="preserve"> (7:3), pp.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pp.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pp.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pp.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pp. 497–529.</w:t>
      </w:r>
    </w:p>
    <w:p>
      <w:pPr>
        <w:pStyle w:val="Bibliography"/>
      </w:pPr>
      <w:r>
        <w:t xml:space="preserve">Jenkins, S. P. 1995. “Easy Estimation Methods for Discrete-Time Duration Models,” </w:t>
      </w:r>
      <w:r>
        <w:rPr>
          <w:i/>
          <w:iCs/>
        </w:rPr>
        <w:t xml:space="preserve">Oxford Bulletin of Economics and Statistics</w:t>
      </w:r>
      <w:r>
        <w:t xml:space="preserve"> (57:1), pp. 129–138.</w:t>
      </w:r>
    </w:p>
    <w:p>
      <w:pPr>
        <w:pStyle w:val="Bibliography"/>
      </w:pPr>
      <w:r>
        <w:t xml:space="preserve">Kemerer, C. F., and Slaughter, S. 1999. “An Empirical Approach to Studying Software Evolution,” </w:t>
      </w:r>
      <w:r>
        <w:rPr>
          <w:i/>
          <w:iCs/>
        </w:rPr>
        <w:t xml:space="preserve">IEEE Transactions on Software Engineering</w:t>
      </w:r>
      <w:r>
        <w:t xml:space="preserve"> (25:4), pp.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pp.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pp. 863–904.</w:t>
      </w:r>
    </w:p>
    <w:p>
      <w:pPr>
        <w:pStyle w:val="Bibliography"/>
      </w:pPr>
      <w:r>
        <w:t xml:space="preserve">Lazaridou, A., Kuncoro, A., Gribovskaya, E., Agrawal, D., Liska, A., Terzi, T., et al. 2021. “Mind the Gap: Assessing Temporal Generalization in Neural Language Models,” in </w:t>
      </w:r>
      <w:r>
        <w:rPr>
          <w:i/>
          <w:iCs/>
        </w:rPr>
        <w:t xml:space="preserve">Advances in Neural Information Processing Systems</w:t>
      </w:r>
      <w:r>
        <w:t xml:space="preserve"> (34).</w:t>
      </w:r>
    </w:p>
    <w:p>
      <w:pPr>
        <w:pStyle w:val="Bibliography"/>
      </w:pPr>
      <w:r>
        <w:t xml:space="preserve">Lehman, M. M. 1980. “Programs, Life Cycles, and Laws of Software Evolution,” </w:t>
      </w:r>
      <w:r>
        <w:rPr>
          <w:i/>
          <w:iCs/>
        </w:rPr>
        <w:t xml:space="preserve">Proceedings of the IEEE</w:t>
      </w:r>
      <w:r>
        <w:t xml:space="preserve"> (68:9), pp. 1060–1076.</w:t>
      </w:r>
    </w:p>
    <w:p>
      <w:pPr>
        <w:pStyle w:val="Bibliography"/>
      </w:pPr>
      <w:r>
        <w:t xml:space="preserve">Lerner, J., and Tirole, J. 2002. “Some Simple Economics of Open Source,” </w:t>
      </w:r>
      <w:r>
        <w:rPr>
          <w:i/>
          <w:iCs/>
        </w:rPr>
        <w:t xml:space="preserve">Journal of Industrial Economics</w:t>
      </w:r>
      <w:r>
        <w:t xml:space="preserve"> (50:2), pp.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pp. 1295–1328.</w:t>
      </w:r>
    </w:p>
    <w:p>
      <w:pPr>
        <w:pStyle w:val="Bibliography"/>
      </w:pPr>
      <w:r>
        <w:t xml:space="preserve">Nakamura, E., and Steinsson, J. 2008. “Five Facts about Prices: A Reevaluation of Menu Cost Models,” </w:t>
      </w:r>
      <w:r>
        <w:rPr>
          <w:i/>
          <w:iCs/>
        </w:rPr>
        <w:t xml:space="preserve">Quarterly Journal of Economics</w:t>
      </w:r>
      <w:r>
        <w:t xml:space="preserve"> (123:4), pp. 1415–1464.</w:t>
      </w:r>
    </w:p>
    <w:p>
      <w:pPr>
        <w:pStyle w:val="Bibliography"/>
      </w:pPr>
      <w:r>
        <w:t xml:space="preserve">Reis, R. 2006. “Inattentive Producers,” </w:t>
      </w:r>
      <w:r>
        <w:rPr>
          <w:i/>
          <w:iCs/>
        </w:rPr>
        <w:t xml:space="preserve">Review of Economic Studies</w:t>
      </w:r>
      <w:r>
        <w:t xml:space="preserve"> (73:3), pp. 793–821.</w:t>
      </w:r>
    </w:p>
    <w:p>
      <w:pPr>
        <w:pStyle w:val="Bibliography"/>
      </w:pPr>
      <w:r>
        <w:t xml:space="preserve">Rust, J. 1987. “Optimal Replacement of GMC Bus Engines: An Empirical Model of Harold Zurcher,” </w:t>
      </w:r>
      <w:r>
        <w:rPr>
          <w:i/>
          <w:iCs/>
        </w:rPr>
        <w:t xml:space="preserve">Econometrica</w:t>
      </w:r>
      <w:r>
        <w:t xml:space="preserve"> (55:5), pp. 999–1033.</w:t>
      </w:r>
    </w:p>
    <w:p>
      <w:pPr>
        <w:pStyle w:val="Bibliography"/>
      </w:pPr>
      <w:r>
        <w:t xml:space="preserve">Sculley, D., Holt, G., Golovin, D., Davydov, E., Phillips, T., Ebner, D., et al. 2015. “Hidden Technical Debt in Machine Learning Systems,” in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pp. 287–303.</w:t>
      </w:r>
    </w:p>
    <w:p>
      <w:pPr>
        <w:pStyle w:val="Bibliography"/>
      </w:pPr>
      <w:r>
        <w:t xml:space="preserve">Sims, C. A. 2003. “Implications of Rational Inattention,” </w:t>
      </w:r>
      <w:r>
        <w:rPr>
          <w:i/>
          <w:iCs/>
        </w:rPr>
        <w:t xml:space="preserve">Journal of Monetary Economics</w:t>
      </w:r>
      <w:r>
        <w:t xml:space="preserve"> (50:3), pp. 665–690.</w:t>
      </w:r>
    </w:p>
    <w:p>
      <w:pPr>
        <w:pStyle w:val="Bibliography"/>
      </w:pPr>
      <w:r>
        <w:t xml:space="preserve">Song, F., Agarwal, A., and Wen, W. 2026. “The Impact of Generative AI on Collaborative Open-Source Software Development: Evidence from GitHub Copilot,” </w:t>
      </w:r>
      <w:r>
        <w:rPr>
          <w:i/>
          <w:iCs/>
        </w:rPr>
        <w:t xml:space="preserve">Information Systems Research</w:t>
      </w:r>
      <w:r>
        <w:t xml:space="preserve"> (articles in advance) (https://doi.org/10.1287/isre.2024.1361).</w:t>
      </w:r>
    </w:p>
    <w:p>
      <w:pPr>
        <w:pStyle w:val="Bibliography"/>
      </w:pPr>
      <w:r>
        <w:t xml:space="preserve">Spence, M. 1973. “Job Market Signaling,” </w:t>
      </w:r>
      <w:r>
        <w:rPr>
          <w:i/>
          <w:iCs/>
        </w:rPr>
        <w:t xml:space="preserve">Quarterly Journal of Economics</w:t>
      </w:r>
      <w:r>
        <w:t xml:space="preserve"> (87:3), pp. 355–374.</w:t>
      </w:r>
    </w:p>
    <w:p>
      <w:pPr>
        <w:pStyle w:val="Bibliography"/>
      </w:pPr>
      <w:r>
        <w:t xml:space="preserve">Swanson, E. B. 1976. “The Dimensions of Maintenance,” in </w:t>
      </w:r>
      <w:r>
        <w:rPr>
          <w:i/>
          <w:iCs/>
        </w:rPr>
        <w:t xml:space="preserve">Proceedings of the 2nd International Conference on Software Engineering</w:t>
      </w:r>
      <w:r>
        <w:t xml:space="preserve">, pp. 492–497.</w:t>
      </w:r>
    </w:p>
    <w:p>
      <w:pPr>
        <w:pStyle w:val="Bibliography"/>
      </w:pPr>
      <w:r>
        <w:t xml:space="preserve">Taylor, J. B. 1980. “Aggregate Dynamics and Staggered Contracts,” </w:t>
      </w:r>
      <w:r>
        <w:rPr>
          <w:i/>
          <w:iCs/>
        </w:rPr>
        <w:t xml:space="preserve">Journal of Political Economy</w:t>
      </w:r>
      <w:r>
        <w:t xml:space="preserve"> (88:1), pp.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pp. 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